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07E6" w:rsidP="006107E6">
      <w:pPr>
        <w:pStyle w:val="Title"/>
      </w:pPr>
      <w:r>
        <w:fldChar w:fldCharType="begin"/>
      </w:r>
      <w:r>
        <w:instrText xml:space="preserve"> TITLE   \* MERGEFORMAT </w:instrText>
      </w:r>
      <w:r>
        <w:fldChar w:fldCharType="separate"/>
      </w:r>
      <w:r>
        <w:t>FNSCNV503A Analyse and interpret legal requirements for a transaction</w:t>
      </w:r>
      <w:r>
        <w:fldChar w:fldCharType="end"/>
      </w:r>
    </w:p>
    <w:p w:rsidR="006107E6" w:rsidP="006107E6">
      <w:pPr>
        <w:pStyle w:val="Version"/>
        <w:sectPr w:rsidSect="00B21B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21BF2" w:rsidP="00B21BF2">
      <w:pPr>
        <w:pStyle w:val="SuperHeading"/>
      </w:pPr>
      <w:r w:rsidRPr="00B21BF2">
        <w:t>FNSCNV503A Analyse and interpret legal requirements for a transaction</w:t>
      </w:r>
    </w:p>
    <w:p w:rsidR="00000000" w:rsidRPr="00B21BF2" w:rsidP="00B21BF2">
      <w:pPr>
        <w:pStyle w:val="SuperHeading"/>
      </w:pPr>
    </w:p>
    <w:p w:rsidR="00000000" w:rsidRPr="00B21BF2" w:rsidP="00B21BF2">
      <w:pPr>
        <w:pStyle w:val="Heading1"/>
      </w:pPr>
      <w:bookmarkStart w:id="1" w:name="O_77799"/>
      <w:bookmarkEnd w:id="1"/>
      <w:r w:rsidRPr="00B21BF2">
        <w:t>Modification History</w:t>
      </w:r>
    </w:p>
    <w:p w:rsidR="00000000" w:rsidRPr="00B21BF2" w:rsidP="00B21BF2">
      <w:pPr>
        <w:pStyle w:val="BodyText"/>
      </w:pPr>
      <w:r w:rsidRPr="00B21BF2">
        <w:t>Not applicable.</w:t>
      </w:r>
    </w:p>
    <w:p w:rsidR="00000000" w:rsidRPr="00B21BF2" w:rsidP="00B21BF2">
      <w:pPr>
        <w:pStyle w:val="AllowPageBreak"/>
      </w:pPr>
    </w:p>
    <w:p w:rsidR="00000000" w:rsidRPr="00B21BF2" w:rsidP="00B21BF2">
      <w:pPr>
        <w:pStyle w:val="Heading1"/>
      </w:pPr>
      <w:bookmarkStart w:id="2" w:name="O_77800"/>
      <w:bookmarkEnd w:id="2"/>
      <w:r w:rsidRPr="00B21BF2">
        <w:t>Unit Descriptor</w:t>
      </w:r>
    </w:p>
    <w:tbl>
      <w:tblPr>
        <w:tblW w:w="0" w:type="auto"/>
        <w:tblLayout w:type="fixed"/>
        <w:tblCellMar>
          <w:left w:w="62" w:type="dxa"/>
          <w:right w:w="62" w:type="dxa"/>
        </w:tblCellMar>
        <w:tblLook w:val="0000"/>
      </w:tblPr>
      <w:tblGrid>
        <w:gridCol w:w="2632"/>
        <w:gridCol w:w="5890"/>
      </w:tblGrid>
      <w:tr w:rsidTr="006107E6">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rPr>
                <w:rStyle w:val="SpecialBold"/>
              </w:rPr>
              <w:t>Unit descriptor</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BF2" w:rsidP="00B21BF2">
            <w:pPr>
              <w:pStyle w:val="BodyText"/>
            </w:pPr>
            <w:r w:rsidRPr="00B21BF2">
              <w:t>This unit describes the performance outcomes, skills and knowledge requ</w:t>
            </w:r>
            <w:r w:rsidRPr="00B21BF2">
              <w:t>ired to analyse and interpret legal requirements for a conveyancing transaction within a range of contexts and environments.</w:t>
            </w:r>
          </w:p>
          <w:p w:rsidR="00000000" w:rsidRPr="00B21BF2" w:rsidP="00B21BF2">
            <w:pPr>
              <w:pStyle w:val="BodyText"/>
            </w:pPr>
          </w:p>
          <w:p w:rsidR="00000000" w:rsidRPr="00B21BF2" w:rsidP="00B21BF2">
            <w:pPr>
              <w:pStyle w:val="BodyText"/>
            </w:pPr>
            <w:r w:rsidRPr="00B21BF2">
              <w:t>It encompasses identifying and applying statutory interpretation techniques, identifying and tracking changes to relevant legislat</w:t>
            </w:r>
            <w:r w:rsidRPr="00B21BF2">
              <w:t>ion and codes of conduct and maintaining appropriate records.</w:t>
            </w:r>
          </w:p>
          <w:p w:rsidR="00000000" w:rsidRPr="00B21BF2" w:rsidP="00B21BF2">
            <w:pPr>
              <w:pStyle w:val="BodyText"/>
            </w:pPr>
          </w:p>
          <w:p w:rsidR="00000000" w:rsidRPr="00B21BF2" w:rsidP="00B21BF2">
            <w:pPr>
              <w:pStyle w:val="BodyText"/>
            </w:pPr>
            <w:r w:rsidRPr="00B21BF2">
              <w:t>This unit may apply to job roles subject to licensing, legislative, regulatory or certification requirements so Commonwealth, State or Territory requirements should be confirmed with the relevant body.</w:t>
            </w:r>
          </w:p>
        </w:tc>
      </w:tr>
    </w:tbl>
    <w:p w:rsidR="00000000" w:rsidRPr="00B21BF2" w:rsidP="00B21BF2">
      <w:pPr>
        <w:pStyle w:val="BodyText"/>
      </w:pPr>
    </w:p>
    <w:p w:rsidR="00000000" w:rsidRPr="00B21BF2" w:rsidP="00B21BF2">
      <w:pPr>
        <w:pStyle w:val="AllowPageBreak"/>
      </w:pPr>
    </w:p>
    <w:p w:rsidR="00000000" w:rsidRPr="00B21BF2" w:rsidP="00B21BF2">
      <w:pPr>
        <w:pStyle w:val="Heading1"/>
      </w:pPr>
      <w:bookmarkStart w:id="3" w:name="O_77801"/>
      <w:bookmarkEnd w:id="3"/>
      <w:r w:rsidRPr="00B21BF2">
        <w:t>Application of the Unit</w:t>
      </w:r>
    </w:p>
    <w:tbl>
      <w:tblPr>
        <w:tblW w:w="0" w:type="auto"/>
        <w:tblLayout w:type="fixed"/>
        <w:tblCellMar>
          <w:left w:w="62" w:type="dxa"/>
          <w:right w:w="62" w:type="dxa"/>
        </w:tblCellMar>
        <w:tblLook w:val="0000"/>
      </w:tblPr>
      <w:tblGrid>
        <w:gridCol w:w="2720"/>
        <w:gridCol w:w="5802"/>
      </w:tblGrid>
      <w:tr w:rsidTr="006107E6">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rPr>
                <w:rStyle w:val="SpecialBold"/>
              </w:rPr>
              <w:t>Application o</w:t>
            </w:r>
            <w:r w:rsidRPr="00B21BF2">
              <w:rPr>
                <w:rStyle w:val="SpecialBold"/>
              </w:rPr>
              <w:t>f the unit</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BF2" w:rsidP="00B21BF2">
            <w:pPr>
              <w:pStyle w:val="BodyText"/>
            </w:pPr>
            <w:r w:rsidRPr="00B21BF2">
              <w:t>The unit has application to job roles involving conveyancing transactions in real estate, business or personal assets.</w:t>
            </w:r>
          </w:p>
        </w:tc>
      </w:tr>
    </w:tbl>
    <w:p w:rsidR="00000000" w:rsidRPr="00B21BF2" w:rsidP="00B21BF2">
      <w:pPr>
        <w:pStyle w:val="BodyText"/>
      </w:pPr>
    </w:p>
    <w:p w:rsidR="00000000" w:rsidRPr="00B21BF2" w:rsidP="00B21BF2">
      <w:pPr>
        <w:pStyle w:val="AllowPageBreak"/>
      </w:pPr>
    </w:p>
    <w:p w:rsidR="00000000" w:rsidRPr="00B21BF2" w:rsidP="00B21BF2">
      <w:pPr>
        <w:pStyle w:val="Heading1"/>
      </w:pPr>
      <w:bookmarkStart w:id="4" w:name="O_77802"/>
      <w:bookmarkEnd w:id="4"/>
      <w:r w:rsidRPr="00B21BF2">
        <w:t>Licensing/Regulatory Information</w:t>
      </w:r>
    </w:p>
    <w:p w:rsidR="00000000" w:rsidRPr="00B21BF2" w:rsidP="00B21BF2">
      <w:pPr>
        <w:pStyle w:val="BodyText"/>
      </w:pPr>
      <w:r w:rsidRPr="00B21BF2">
        <w:t>Not applicable.</w:t>
      </w:r>
    </w:p>
    <w:p w:rsidR="00000000" w:rsidRPr="00B21BF2" w:rsidP="00B21BF2">
      <w:pPr>
        <w:pStyle w:val="AllowPageBreak"/>
      </w:pPr>
    </w:p>
    <w:p w:rsidR="00000000" w:rsidRPr="00B21BF2" w:rsidP="00B21BF2">
      <w:pPr>
        <w:pStyle w:val="Heading1"/>
      </w:pPr>
      <w:bookmarkStart w:id="5" w:name="O_77803"/>
      <w:bookmarkEnd w:id="5"/>
      <w:r w:rsidRPr="00B21BF2">
        <w:t>Pre-Requisites</w:t>
      </w:r>
    </w:p>
    <w:tbl>
      <w:tblPr>
        <w:tblW w:w="0" w:type="auto"/>
        <w:tblLayout w:type="fixed"/>
        <w:tblCellMar>
          <w:left w:w="62" w:type="dxa"/>
          <w:right w:w="62" w:type="dxa"/>
        </w:tblCellMar>
        <w:tblLook w:val="0000"/>
      </w:tblPr>
      <w:tblGrid>
        <w:gridCol w:w="2745"/>
        <w:gridCol w:w="1301"/>
        <w:gridCol w:w="4476"/>
      </w:tblGrid>
      <w:tr w:rsidTr="006107E6">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p>
        </w:tc>
      </w:tr>
      <w:tr w:rsidTr="006107E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p>
        </w:tc>
      </w:tr>
      <w:tr w:rsidTr="006107E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BF2" w:rsidP="00B21BF2">
            <w:pPr>
              <w:pStyle w:val="BodyText"/>
            </w:pPr>
          </w:p>
        </w:tc>
      </w:tr>
    </w:tbl>
    <w:p w:rsidR="00000000" w:rsidRPr="00B21BF2" w:rsidP="00B21BF2">
      <w:pPr>
        <w:pStyle w:val="BodyText"/>
      </w:pPr>
    </w:p>
    <w:p w:rsidR="00000000" w:rsidRPr="00B21BF2" w:rsidP="00B21BF2">
      <w:pPr>
        <w:pStyle w:val="AllowPageBreak"/>
      </w:pPr>
    </w:p>
    <w:p w:rsidR="00000000" w:rsidRPr="00B21BF2" w:rsidP="00B21BF2">
      <w:pPr>
        <w:pStyle w:val="Heading1"/>
      </w:pPr>
      <w:bookmarkStart w:id="6" w:name="O_77804"/>
      <w:bookmarkEnd w:id="6"/>
      <w:r w:rsidRPr="00B21BF2">
        <w:t>Employability Skills Information</w:t>
      </w:r>
    </w:p>
    <w:tbl>
      <w:tblPr>
        <w:tblW w:w="0" w:type="auto"/>
        <w:tblLayout w:type="fixed"/>
        <w:tblCellMar>
          <w:left w:w="62" w:type="dxa"/>
          <w:right w:w="62" w:type="dxa"/>
        </w:tblCellMar>
        <w:tblLook w:val="0000"/>
      </w:tblPr>
      <w:tblGrid>
        <w:gridCol w:w="2762"/>
        <w:gridCol w:w="5760"/>
      </w:tblGrid>
      <w:tr w:rsidTr="006107E6">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BF2" w:rsidP="00B21BF2">
            <w:pPr>
              <w:pStyle w:val="BodyText"/>
            </w:pPr>
            <w:r w:rsidRPr="00B21BF2">
              <w:t>This unit contains employability skills.</w:t>
            </w:r>
          </w:p>
        </w:tc>
      </w:tr>
    </w:tbl>
    <w:p w:rsidR="00000000" w:rsidRPr="00B21BF2" w:rsidP="00B21BF2">
      <w:pPr>
        <w:pStyle w:val="BodyText"/>
      </w:pPr>
    </w:p>
    <w:p w:rsidR="00000000" w:rsidRPr="00B21BF2" w:rsidP="00B21BF2">
      <w:pPr>
        <w:pStyle w:val="AllowPageBreak"/>
      </w:pPr>
    </w:p>
    <w:p w:rsidR="00000000" w:rsidRPr="00B21BF2" w:rsidP="00B21BF2">
      <w:pPr>
        <w:pStyle w:val="Heading1"/>
      </w:pPr>
      <w:bookmarkStart w:id="7" w:name="O_77805"/>
      <w:bookmarkEnd w:id="7"/>
      <w:r w:rsidRPr="00B21BF2">
        <w:t>Elements and Performance Criteria Pre-Content</w:t>
      </w:r>
    </w:p>
    <w:tbl>
      <w:tblPr>
        <w:tblW w:w="0" w:type="auto"/>
        <w:tblLayout w:type="fixed"/>
        <w:tblCellMar>
          <w:left w:w="62" w:type="dxa"/>
          <w:right w:w="62" w:type="dxa"/>
        </w:tblCellMar>
        <w:tblLook w:val="0000"/>
      </w:tblPr>
      <w:tblGrid>
        <w:gridCol w:w="2561"/>
        <w:gridCol w:w="5961"/>
      </w:tblGrid>
      <w:tr w:rsidTr="006107E6">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BF2" w:rsidP="00B21BF2">
            <w:pPr>
              <w:pStyle w:val="BodyText"/>
            </w:pPr>
            <w:r w:rsidRPr="00B21BF2">
              <w:t>Performance criteria describe the performance needed to demonstrate achievement of the element. Where bold italicised text is used, further information is detailed in the required skills and knowledge section and the range statement. Assessment of performa</w:t>
            </w:r>
            <w:r w:rsidRPr="00B21BF2">
              <w:t>nce is to be consistent with the evidence guide.</w:t>
            </w:r>
          </w:p>
        </w:tc>
      </w:tr>
    </w:tbl>
    <w:p w:rsidR="00000000" w:rsidRPr="00B21BF2" w:rsidP="00B21BF2">
      <w:pPr>
        <w:pStyle w:val="BodyText"/>
      </w:pPr>
    </w:p>
    <w:p w:rsidR="00000000" w:rsidRPr="00B21BF2" w:rsidP="00B21BF2">
      <w:pPr>
        <w:pStyle w:val="AllowPageBreak"/>
      </w:pPr>
    </w:p>
    <w:p w:rsidR="00000000" w:rsidRPr="00B21BF2" w:rsidP="00B21BF2">
      <w:pPr>
        <w:pStyle w:val="Heading1"/>
      </w:pPr>
      <w:bookmarkStart w:id="8" w:name="O_77806"/>
      <w:bookmarkEnd w:id="8"/>
      <w:r w:rsidRPr="00B21BF2">
        <w:t>Elements and Performance Criteria</w:t>
      </w:r>
    </w:p>
    <w:tbl>
      <w:tblPr>
        <w:tblW w:w="0" w:type="auto"/>
        <w:tblLayout w:type="fixed"/>
        <w:tblCellMar>
          <w:left w:w="62" w:type="dxa"/>
          <w:right w:w="62" w:type="dxa"/>
        </w:tblCellMar>
        <w:tblLook w:val="0000"/>
      </w:tblPr>
      <w:tblGrid>
        <w:gridCol w:w="2561"/>
        <w:gridCol w:w="5961"/>
      </w:tblGrid>
      <w:tr w:rsidTr="006107E6">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BF2" w:rsidP="00B21BF2">
            <w:pPr>
              <w:pStyle w:val="BodyText"/>
            </w:pPr>
            <w:r w:rsidRPr="00B21BF2">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rPr>
                <w:rStyle w:val="SpecialBold"/>
              </w:rPr>
              <w:t>PERFORMANCE CRITERIA</w:t>
            </w:r>
          </w:p>
        </w:tc>
      </w:tr>
      <w:tr w:rsidTr="006107E6">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List"/>
              <w:rPr>
                <w:lang w:val="en-NZ"/>
              </w:rPr>
            </w:pPr>
            <w:r w:rsidRPr="00B21BF2">
              <w:t>1.</w:t>
            </w:r>
            <w:r w:rsidRPr="00B21BF2">
              <w:tab/>
              <w:t>Identify legal principles and legislative requirements affecting conveyancing transactions.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BF2" w:rsidP="00B21BF2">
            <w:pPr>
              <w:pStyle w:val="List2"/>
            </w:pPr>
            <w:r w:rsidRPr="00B21BF2">
              <w:t>1.1.</w:t>
            </w:r>
            <w:r w:rsidRPr="00B21BF2">
              <w:tab/>
            </w:r>
            <w:r w:rsidRPr="00B21BF2">
              <w:rPr>
                <w:rStyle w:val="BoldandItalics"/>
              </w:rPr>
              <w:t>Legal framework</w:t>
            </w:r>
            <w:r w:rsidRPr="00B21BF2">
              <w:t xml:space="preserve"> in which conveyancing practice is undertaken is identified</w:t>
            </w:r>
          </w:p>
          <w:p w:rsidR="00000000" w:rsidRPr="00B21BF2" w:rsidP="00B21BF2">
            <w:pPr>
              <w:pStyle w:val="List2"/>
            </w:pPr>
            <w:r w:rsidRPr="00B21BF2">
              <w:t>1.2.</w:t>
            </w:r>
            <w:r w:rsidRPr="00B21BF2">
              <w:tab/>
            </w:r>
            <w:r w:rsidRPr="00B21BF2">
              <w:rPr>
                <w:rStyle w:val="BoldandItalics"/>
              </w:rPr>
              <w:t>Components of statute law</w:t>
            </w:r>
            <w:r w:rsidRPr="00B21BF2">
              <w:t xml:space="preserve"> and their relationships are identified with respect to their application to conveyancing practice</w:t>
            </w:r>
          </w:p>
          <w:p w:rsidR="00000000" w:rsidP="00B21BF2">
            <w:pPr>
              <w:pStyle w:val="List2"/>
              <w:rPr>
                <w:lang w:val="en-NZ"/>
              </w:rPr>
            </w:pPr>
            <w:r w:rsidRPr="00B21BF2">
              <w:t>1.3.</w:t>
            </w:r>
            <w:r w:rsidRPr="00B21BF2">
              <w:tab/>
              <w:t xml:space="preserve">Source documents for </w:t>
            </w:r>
            <w:r w:rsidRPr="00B21BF2">
              <w:rPr>
                <w:rStyle w:val="BoldandItalics"/>
              </w:rPr>
              <w:t>legislation and regulations</w:t>
            </w:r>
            <w:r w:rsidRPr="00B21BF2">
              <w:t xml:space="preserve"> relevant to t</w:t>
            </w:r>
            <w:r w:rsidRPr="00B21BF2">
              <w:t>he provision of conveyancing services are identified and accessed</w:t>
            </w:r>
          </w:p>
        </w:tc>
      </w:tr>
      <w:tr w:rsidTr="006107E6">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List"/>
              <w:rPr>
                <w:lang w:val="en-NZ"/>
              </w:rPr>
            </w:pPr>
            <w:r w:rsidRPr="00B21BF2">
              <w:t>2.</w:t>
            </w:r>
            <w:r w:rsidRPr="00B21BF2">
              <w:tab/>
              <w:t>Interpret legislative requirements affecting conveyancing transactions.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BF2" w:rsidP="00B21BF2">
            <w:pPr>
              <w:pStyle w:val="List2"/>
            </w:pPr>
            <w:r w:rsidRPr="00B21BF2">
              <w:t>2.1.</w:t>
            </w:r>
            <w:r w:rsidRPr="00B21BF2">
              <w:tab/>
            </w:r>
            <w:r w:rsidRPr="00B21BF2">
              <w:rPr>
                <w:rStyle w:val="BoldandItalics"/>
              </w:rPr>
              <w:t>Structure of legislation and regulations</w:t>
            </w:r>
            <w:r w:rsidRPr="00B21BF2">
              <w:t xml:space="preserve"> and their interpretation are identified</w:t>
            </w:r>
          </w:p>
          <w:p w:rsidR="00000000" w:rsidRPr="00B21BF2" w:rsidP="00B21BF2">
            <w:pPr>
              <w:pStyle w:val="List2"/>
            </w:pPr>
            <w:r w:rsidRPr="00B21BF2">
              <w:t>2.2.</w:t>
            </w:r>
            <w:r w:rsidRPr="00B21BF2">
              <w:tab/>
            </w:r>
            <w:r w:rsidRPr="00B21BF2">
              <w:rPr>
                <w:rStyle w:val="BoldandItalics"/>
              </w:rPr>
              <w:t>Common interpretation p</w:t>
            </w:r>
            <w:r w:rsidRPr="00B21BF2">
              <w:rPr>
                <w:rStyle w:val="BoldandItalics"/>
              </w:rPr>
              <w:t>roblems</w:t>
            </w:r>
            <w:r w:rsidRPr="00B21BF2">
              <w:t xml:space="preserve"> are identified</w:t>
            </w:r>
          </w:p>
          <w:p w:rsidR="00000000" w:rsidP="00B21BF2">
            <w:pPr>
              <w:pStyle w:val="List2"/>
              <w:rPr>
                <w:lang w:val="en-NZ"/>
              </w:rPr>
            </w:pPr>
            <w:r w:rsidRPr="00B21BF2">
              <w:t>2.3.</w:t>
            </w:r>
            <w:r w:rsidRPr="00B21BF2">
              <w:tab/>
            </w:r>
            <w:r w:rsidRPr="00B21BF2">
              <w:rPr>
                <w:rStyle w:val="BoldandItalics"/>
              </w:rPr>
              <w:t>Rules and techniques for interpreting legislation and regulations</w:t>
            </w:r>
            <w:r w:rsidRPr="00B21BF2">
              <w:t xml:space="preserve"> are identified and applied</w:t>
            </w:r>
          </w:p>
        </w:tc>
      </w:tr>
      <w:tr w:rsidTr="006107E6">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List"/>
              <w:rPr>
                <w:lang w:val="en-NZ"/>
              </w:rPr>
            </w:pPr>
            <w:r w:rsidRPr="00B21BF2">
              <w:t>3.</w:t>
            </w:r>
            <w:r w:rsidRPr="00B21BF2">
              <w:tab/>
              <w:t>Identify changes to legislation and regulations affecting agency operations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BF2" w:rsidP="00B21BF2">
            <w:pPr>
              <w:pStyle w:val="List2"/>
            </w:pPr>
            <w:r w:rsidRPr="00B21BF2">
              <w:t>3.1.</w:t>
            </w:r>
            <w:r w:rsidRPr="00B21BF2">
              <w:tab/>
            </w:r>
            <w:r w:rsidRPr="00B21BF2">
              <w:rPr>
                <w:rStyle w:val="BoldandItalics"/>
              </w:rPr>
              <w:t>Processes</w:t>
            </w:r>
            <w:r w:rsidRPr="00B21BF2">
              <w:t xml:space="preserve"> that lead to changes in legislation and </w:t>
            </w:r>
            <w:r w:rsidRPr="00B21BF2">
              <w:t>regulations are identified</w:t>
            </w:r>
          </w:p>
          <w:p w:rsidR="00000000" w:rsidRPr="00B21BF2" w:rsidP="00B21BF2">
            <w:pPr>
              <w:pStyle w:val="List2"/>
            </w:pPr>
            <w:r w:rsidRPr="00B21BF2">
              <w:t>3.2.</w:t>
            </w:r>
            <w:r w:rsidRPr="00B21BF2">
              <w:tab/>
            </w:r>
            <w:r w:rsidRPr="00B21BF2">
              <w:rPr>
                <w:rStyle w:val="BoldandItalics"/>
              </w:rPr>
              <w:t>Source documents</w:t>
            </w:r>
            <w:r w:rsidRPr="00B21BF2">
              <w:t xml:space="preserve"> for amendment legislation relevant to the provision of conveyancing services are identified and accessed</w:t>
            </w:r>
          </w:p>
          <w:p w:rsidR="00000000" w:rsidRPr="00B21BF2" w:rsidP="00B21BF2">
            <w:pPr>
              <w:pStyle w:val="List2"/>
            </w:pPr>
            <w:r w:rsidRPr="00B21BF2">
              <w:t>3.3.</w:t>
            </w:r>
            <w:r w:rsidRPr="00B21BF2">
              <w:tab/>
            </w:r>
            <w:r w:rsidRPr="00B21BF2">
              <w:rPr>
                <w:rStyle w:val="BoldandItalics"/>
              </w:rPr>
              <w:t>Techniques for tracking amendments</w:t>
            </w:r>
            <w:r w:rsidRPr="00B21BF2">
              <w:t xml:space="preserve"> to legislation and regulations are identified and applied</w:t>
            </w:r>
          </w:p>
          <w:p w:rsidR="00000000" w:rsidRPr="00B21BF2" w:rsidP="00B21BF2">
            <w:pPr>
              <w:pStyle w:val="List2"/>
            </w:pPr>
            <w:r w:rsidRPr="00B21BF2">
              <w:t>3.4.</w:t>
            </w:r>
            <w:r w:rsidRPr="00B21BF2">
              <w:tab/>
              <w:t>Implications of changes to legislative and regulatory requirements are identified and addressed in line with practice procedures</w:t>
            </w:r>
          </w:p>
          <w:p w:rsidR="00000000" w:rsidRPr="00B21BF2" w:rsidP="00B21BF2">
            <w:pPr>
              <w:pStyle w:val="List2"/>
            </w:pPr>
            <w:r w:rsidRPr="00B21BF2">
              <w:t>3.5.</w:t>
            </w:r>
            <w:r w:rsidRPr="00B21BF2">
              <w:tab/>
              <w:t>Strategies for identifying amendments to legislation and regulations are implemented</w:t>
            </w:r>
          </w:p>
          <w:p w:rsidR="00000000" w:rsidP="00B21BF2">
            <w:pPr>
              <w:pStyle w:val="List2"/>
              <w:rPr>
                <w:lang w:val="en-NZ"/>
              </w:rPr>
            </w:pPr>
            <w:r w:rsidRPr="00B21BF2">
              <w:t>3.6.</w:t>
            </w:r>
            <w:r w:rsidRPr="00B21BF2">
              <w:tab/>
              <w:t>Changes to legislative and regu</w:t>
            </w:r>
            <w:r w:rsidRPr="00B21BF2">
              <w:t>latory requirements are communicated to appropriate people in line with agency policy</w:t>
            </w:r>
          </w:p>
        </w:tc>
      </w:tr>
      <w:tr w:rsidTr="006107E6">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List"/>
              <w:rPr>
                <w:lang w:val="en-NZ"/>
              </w:rPr>
            </w:pPr>
            <w:r w:rsidRPr="00B21BF2">
              <w:t>4.</w:t>
            </w:r>
            <w:r w:rsidRPr="00B21BF2">
              <w:tab/>
              <w:t>Comply with relevant codes of conduct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BF2" w:rsidP="00B21BF2">
            <w:pPr>
              <w:pStyle w:val="List2"/>
            </w:pPr>
            <w:r w:rsidRPr="00B21BF2">
              <w:t>4.1.</w:t>
            </w:r>
            <w:r w:rsidRPr="00B21BF2">
              <w:tab/>
              <w:t>Codes of conduct are sourced and accessed</w:t>
            </w:r>
          </w:p>
          <w:p w:rsidR="00000000" w:rsidRPr="00B21BF2" w:rsidP="00B21BF2">
            <w:pPr>
              <w:pStyle w:val="List2"/>
            </w:pPr>
            <w:r w:rsidRPr="00B21BF2">
              <w:t>4.2.</w:t>
            </w:r>
            <w:r w:rsidRPr="00B21BF2">
              <w:tab/>
              <w:t xml:space="preserve">Relationship between industry codes of conduct and legislative requirements </w:t>
            </w:r>
            <w:r w:rsidRPr="00B21BF2">
              <w:t>are identified</w:t>
            </w:r>
          </w:p>
          <w:p w:rsidR="00000000" w:rsidRPr="00B21BF2" w:rsidP="00B21BF2">
            <w:pPr>
              <w:pStyle w:val="List2"/>
            </w:pPr>
            <w:r w:rsidRPr="00B21BF2">
              <w:t>4.3.</w:t>
            </w:r>
            <w:r w:rsidRPr="00B21BF2">
              <w:tab/>
              <w:t>Key principles and responsibilities of codes of conduct are interpreted and applied to own work in line with industry practice</w:t>
            </w:r>
          </w:p>
          <w:p w:rsidR="00000000" w:rsidP="00B21BF2">
            <w:pPr>
              <w:pStyle w:val="List2"/>
              <w:rPr>
                <w:lang w:val="en-NZ"/>
              </w:rPr>
            </w:pPr>
            <w:r w:rsidRPr="00B21BF2">
              <w:t>4.4.</w:t>
            </w:r>
            <w:r w:rsidRPr="00B21BF2">
              <w:tab/>
              <w:t>Personal ethical behaviour complies with relevant codes of conduct</w:t>
            </w:r>
          </w:p>
        </w:tc>
      </w:tr>
      <w:tr w:rsidTr="006107E6">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List"/>
              <w:rPr>
                <w:lang w:val="en-NZ"/>
              </w:rPr>
            </w:pPr>
            <w:r w:rsidRPr="00B21BF2">
              <w:t>5.</w:t>
            </w:r>
            <w:r w:rsidRPr="00B21BF2">
              <w:tab/>
              <w:t>Maintain records of legislation a</w:t>
            </w:r>
            <w:r w:rsidRPr="00B21BF2">
              <w:t>nd industry codes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BF2" w:rsidP="00B21BF2">
            <w:pPr>
              <w:pStyle w:val="List2"/>
            </w:pPr>
            <w:r w:rsidRPr="00B21BF2">
              <w:t>5.1.</w:t>
            </w:r>
            <w:r w:rsidRPr="00B21BF2">
              <w:tab/>
              <w:t>Practice processes and the personnel responsible for monitoring and communicating changes to legislation and industry codes of conduct are identified</w:t>
            </w:r>
          </w:p>
          <w:p w:rsidR="00000000" w:rsidRPr="00B21BF2" w:rsidP="00B21BF2">
            <w:pPr>
              <w:pStyle w:val="List2"/>
            </w:pPr>
            <w:r w:rsidRPr="00B21BF2">
              <w:t>5.2.</w:t>
            </w:r>
            <w:r w:rsidRPr="00B21BF2">
              <w:tab/>
              <w:t>Relevant records of legislation and codes of conduct are maintained</w:t>
            </w:r>
          </w:p>
        </w:tc>
      </w:tr>
    </w:tbl>
    <w:p w:rsidR="00000000" w:rsidRPr="00B21BF2" w:rsidP="00B21BF2">
      <w:pPr>
        <w:pStyle w:val="BodyText"/>
      </w:pPr>
    </w:p>
    <w:p w:rsidR="00000000" w:rsidRPr="00B21BF2" w:rsidP="00B21BF2">
      <w:pPr>
        <w:pStyle w:val="AllowPageBreak"/>
      </w:pPr>
    </w:p>
    <w:p w:rsidR="00000000" w:rsidRPr="00B21BF2" w:rsidP="00B21BF2">
      <w:pPr>
        <w:pStyle w:val="Heading1"/>
      </w:pPr>
      <w:bookmarkStart w:id="9" w:name="O_77807"/>
      <w:bookmarkEnd w:id="9"/>
      <w:r w:rsidRPr="00B21BF2">
        <w:t>Required Skills and Knowledge</w:t>
      </w:r>
    </w:p>
    <w:tbl>
      <w:tblPr>
        <w:tblW w:w="0" w:type="auto"/>
        <w:tblLayout w:type="fixed"/>
        <w:tblCellMar>
          <w:left w:w="62" w:type="dxa"/>
          <w:right w:w="62" w:type="dxa"/>
        </w:tblCellMar>
        <w:tblLook w:val="0000"/>
      </w:tblPr>
      <w:tblGrid>
        <w:gridCol w:w="8522"/>
      </w:tblGrid>
      <w:tr w:rsidTr="006107E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1BF2">
            <w:pPr>
              <w:pStyle w:val="BodyText"/>
              <w:rPr>
                <w:lang w:val="en-NZ"/>
              </w:rPr>
            </w:pPr>
            <w:r w:rsidRPr="00B21BF2">
              <w:rPr>
                <w:rStyle w:val="SpecialBold"/>
              </w:rPr>
              <w:t>REQUIRED SKILLS AND KNOWLEDGE</w:t>
            </w:r>
          </w:p>
        </w:tc>
      </w:tr>
      <w:tr w:rsidTr="006107E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t>This section describes the skills and knowledge required for this unit.</w:t>
            </w:r>
          </w:p>
        </w:tc>
      </w:tr>
      <w:tr w:rsidTr="006107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rPr>
                <w:rStyle w:val="SpecialBold"/>
              </w:rPr>
              <w:t>Required skills</w:t>
            </w:r>
          </w:p>
        </w:tc>
      </w:tr>
      <w:tr w:rsidTr="006107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BF2" w:rsidP="00B21BF2">
            <w:pPr>
              <w:pStyle w:val="ListBullet"/>
            </w:pPr>
            <w:r w:rsidRPr="00B21BF2">
              <w:t>ability to communicate with and relate to a range of people from diverse social,economic and cult</w:t>
            </w:r>
            <w:r w:rsidRPr="00B21BF2">
              <w:t>ural backgrounds and with varying physical and mental abilities</w:t>
            </w:r>
          </w:p>
          <w:p w:rsidR="00000000" w:rsidRPr="00B21BF2" w:rsidP="00B21BF2">
            <w:pPr>
              <w:pStyle w:val="ListBullet"/>
            </w:pPr>
            <w:r w:rsidRPr="00B21BF2">
              <w:t>analytical skills to interpret documentation such as:</w:t>
            </w:r>
          </w:p>
          <w:p w:rsidR="00000000" w:rsidRPr="00B21BF2" w:rsidP="00B21BF2">
            <w:pPr>
              <w:pStyle w:val="ListBullet2"/>
            </w:pPr>
            <w:r w:rsidRPr="00B21BF2">
              <w:t>parliamentary document</w:t>
            </w:r>
          </w:p>
          <w:p w:rsidR="00000000" w:rsidRPr="00B21BF2" w:rsidP="00B21BF2">
            <w:pPr>
              <w:pStyle w:val="ListBullet2"/>
            </w:pPr>
            <w:r w:rsidRPr="00B21BF2">
              <w:t>legislation regulations</w:t>
            </w:r>
          </w:p>
          <w:p w:rsidR="00000000" w:rsidRPr="00B21BF2" w:rsidP="00B21BF2">
            <w:pPr>
              <w:pStyle w:val="ListBullet2"/>
            </w:pPr>
            <w:r w:rsidRPr="00B21BF2">
              <w:t>codes of conduct</w:t>
            </w:r>
          </w:p>
          <w:p w:rsidR="00000000" w:rsidRPr="00B21BF2" w:rsidP="00B21BF2">
            <w:pPr>
              <w:pStyle w:val="ListBullet"/>
            </w:pPr>
            <w:r w:rsidRPr="00B21BF2">
              <w:t>application of risk management strategies associated with compliance withlegislation, regulations and codes of practice</w:t>
            </w:r>
          </w:p>
          <w:p w:rsidR="00000000" w:rsidRPr="00B21BF2" w:rsidP="00B21BF2">
            <w:pPr>
              <w:pStyle w:val="ListBullet"/>
            </w:pPr>
            <w:r w:rsidRPr="00B21BF2">
              <w:t>computing skills to:</w:t>
            </w:r>
          </w:p>
          <w:p w:rsidR="00000000" w:rsidRPr="00B21BF2" w:rsidP="00B21BF2">
            <w:pPr>
              <w:pStyle w:val="ListBullet2"/>
            </w:pPr>
            <w:r w:rsidRPr="00B21BF2">
              <w:t>access practice and resource databases</w:t>
            </w:r>
          </w:p>
          <w:p w:rsidR="00000000" w:rsidRPr="00B21BF2" w:rsidP="00B21BF2">
            <w:pPr>
              <w:pStyle w:val="ListBullet2"/>
            </w:pPr>
            <w:r w:rsidRPr="00B21BF2">
              <w:t>use standard software packages</w:t>
            </w:r>
          </w:p>
          <w:p w:rsidR="00000000" w:rsidRPr="00B21BF2" w:rsidP="00B21BF2">
            <w:pPr>
              <w:pStyle w:val="ListBullet2"/>
            </w:pPr>
            <w:r w:rsidRPr="00B21BF2">
              <w:t>send and receive emails</w:t>
            </w:r>
          </w:p>
          <w:p w:rsidR="00000000" w:rsidRPr="00B21BF2" w:rsidP="00B21BF2">
            <w:pPr>
              <w:pStyle w:val="ListBullet2"/>
            </w:pPr>
            <w:r w:rsidRPr="00B21BF2">
              <w:t xml:space="preserve">access the internet </w:t>
            </w:r>
            <w:r w:rsidRPr="00B21BF2">
              <w:t>and web pages</w:t>
            </w:r>
          </w:p>
          <w:p w:rsidR="00000000" w:rsidRPr="00B21BF2" w:rsidP="00B21BF2">
            <w:pPr>
              <w:pStyle w:val="ListBullet2"/>
            </w:pPr>
            <w:r w:rsidRPr="00B21BF2">
              <w:t>completeand lodge standard documents online</w:t>
            </w:r>
          </w:p>
          <w:p w:rsidR="00000000" w:rsidRPr="00B21BF2" w:rsidP="00B21BF2">
            <w:pPr>
              <w:pStyle w:val="ListBullet"/>
            </w:pPr>
            <w:r w:rsidRPr="00B21BF2">
              <w:t>decision making and problem solving skills to analyse situations and make decisionsconsistent with legislative and regulatory requirements</w:t>
            </w:r>
          </w:p>
          <w:p w:rsidR="00000000" w:rsidRPr="00B21BF2" w:rsidP="00B21BF2">
            <w:pPr>
              <w:pStyle w:val="ListBullet"/>
            </w:pPr>
            <w:r w:rsidRPr="00B21BF2">
              <w:t>literacy skills to:</w:t>
            </w:r>
          </w:p>
          <w:p w:rsidR="00000000" w:rsidRPr="00B21BF2" w:rsidP="00B21BF2">
            <w:pPr>
              <w:pStyle w:val="ListBullet2"/>
            </w:pPr>
            <w:r w:rsidRPr="00B21BF2">
              <w:t>access and interpret a variety of texts, including legislation,regulations and codes of practice</w:t>
            </w:r>
          </w:p>
          <w:p w:rsidR="00000000" w:rsidRPr="00B21BF2" w:rsidP="00B21BF2">
            <w:pPr>
              <w:pStyle w:val="ListBullet2"/>
            </w:pPr>
            <w:r w:rsidRPr="00B21BF2">
              <w:t>prepare complex documents</w:t>
            </w:r>
          </w:p>
          <w:p w:rsidR="00000000" w:rsidRPr="00B21BF2" w:rsidP="00B21BF2">
            <w:pPr>
              <w:pStyle w:val="ListBullet2"/>
            </w:pPr>
            <w:r w:rsidRPr="00B21BF2">
              <w:t>prepareformal and informal letters, reports and applications</w:t>
            </w:r>
          </w:p>
          <w:p w:rsidR="00000000" w:rsidRPr="00B21BF2" w:rsidP="00B21BF2">
            <w:pPr>
              <w:pStyle w:val="ListBullet2"/>
            </w:pPr>
            <w:r w:rsidRPr="00B21BF2">
              <w:t>complete standard andstatutory forms</w:t>
            </w:r>
          </w:p>
          <w:p w:rsidR="00000000" w:rsidRPr="00B21BF2" w:rsidP="00B21BF2">
            <w:pPr>
              <w:pStyle w:val="ListBullet"/>
            </w:pPr>
            <w:r w:rsidRPr="00B21BF2">
              <w:t>planning, organising and schedulin</w:t>
            </w:r>
            <w:r w:rsidRPr="00B21BF2">
              <w:t>g skills to maintain currency of conveyancer and practice, copies of legislation, regulations and codes of conduct</w:t>
            </w:r>
          </w:p>
          <w:p w:rsidR="00000000" w:rsidRPr="00B21BF2" w:rsidP="00B21BF2">
            <w:pPr>
              <w:pStyle w:val="ListBullet"/>
            </w:pPr>
            <w:r w:rsidRPr="00B21BF2">
              <w:t>research skills to identify and locate legislation, regulations and codes of conduct</w:t>
            </w:r>
          </w:p>
          <w:p w:rsidR="00000000" w:rsidP="00B21BF2">
            <w:pPr>
              <w:pStyle w:val="ListBullet"/>
              <w:rPr>
                <w:lang w:val="en-NZ"/>
              </w:rPr>
            </w:pPr>
            <w:r w:rsidRPr="00B21BF2">
              <w:t>self-management skills to organise own work, deliver qua</w:t>
            </w:r>
            <w:r w:rsidRPr="00B21BF2">
              <w:t>lity customer service andeffectively manage competing demands</w:t>
            </w:r>
          </w:p>
        </w:tc>
      </w:tr>
      <w:tr w:rsidTr="006107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rPr>
                <w:rStyle w:val="SpecialBold"/>
              </w:rPr>
              <w:t>Required knowledge</w:t>
            </w:r>
          </w:p>
        </w:tc>
      </w:tr>
      <w:tr w:rsidTr="006107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BF2" w:rsidP="00B21BF2">
            <w:pPr>
              <w:pStyle w:val="ListBullet"/>
            </w:pPr>
            <w:r w:rsidRPr="00B21BF2">
              <w:t>industry codes of conduct</w:t>
            </w:r>
          </w:p>
          <w:p w:rsidR="00000000" w:rsidRPr="00B21BF2" w:rsidP="00B21BF2">
            <w:pPr>
              <w:pStyle w:val="ListBullet"/>
            </w:pPr>
            <w:r w:rsidRPr="00B21BF2">
              <w:t>common problems associated with interpreting legislation</w:t>
            </w:r>
          </w:p>
          <w:p w:rsidR="00000000" w:rsidRPr="00B21BF2" w:rsidP="00B21BF2">
            <w:pPr>
              <w:pStyle w:val="ListBullet"/>
            </w:pPr>
            <w:r w:rsidRPr="00B21BF2">
              <w:t>principles of relevant legislation</w:t>
            </w:r>
          </w:p>
          <w:p w:rsidR="00000000" w:rsidRPr="00B21BF2" w:rsidP="00B21BF2">
            <w:pPr>
              <w:pStyle w:val="ListBullet"/>
            </w:pPr>
            <w:r w:rsidRPr="00B21BF2">
              <w:t>Commonwealth, and</w:t>
            </w:r>
            <w:r w:rsidRPr="00B21BF2">
              <w:t xml:space="preserve"> State or Territory legislation and local government regulations relating to:</w:t>
            </w:r>
          </w:p>
          <w:p w:rsidR="00000000" w:rsidRPr="00B21BF2" w:rsidP="00B21BF2">
            <w:pPr>
              <w:pStyle w:val="ListBullet2"/>
            </w:pPr>
            <w:r w:rsidRPr="00B21BF2">
              <w:t>anti-discrimination and equal employment opportunity</w:t>
            </w:r>
          </w:p>
          <w:p w:rsidR="00000000" w:rsidRPr="00B21BF2" w:rsidP="00B21BF2">
            <w:pPr>
              <w:pStyle w:val="ListBullet2"/>
            </w:pPr>
            <w:r w:rsidRPr="00B21BF2">
              <w:t>consumer protection, fair trading and trade practices</w:t>
            </w:r>
          </w:p>
          <w:p w:rsidR="00000000" w:rsidRPr="00B21BF2" w:rsidP="00B21BF2">
            <w:pPr>
              <w:pStyle w:val="ListBullet2"/>
            </w:pPr>
            <w:r w:rsidRPr="00B21BF2">
              <w:t>employment and industrial relations</w:t>
            </w:r>
          </w:p>
        </w:tc>
      </w:tr>
    </w:tbl>
    <w:p w:rsidR="00000000" w:rsidRPr="00B21BF2" w:rsidP="00B21BF2">
      <w:pPr>
        <w:pStyle w:val="BodyText"/>
      </w:pPr>
    </w:p>
    <w:p w:rsidR="00000000" w:rsidRPr="00B21BF2" w:rsidP="00B21BF2">
      <w:pPr>
        <w:pStyle w:val="AllowPageBreak"/>
      </w:pPr>
    </w:p>
    <w:p w:rsidR="00000000" w:rsidRPr="00B21BF2" w:rsidP="00B21BF2">
      <w:pPr>
        <w:pStyle w:val="Heading1"/>
      </w:pPr>
      <w:bookmarkStart w:id="10" w:name="O_77808"/>
      <w:bookmarkEnd w:id="10"/>
      <w:r w:rsidRPr="00B21BF2">
        <w:t>Evidence Guide</w:t>
      </w:r>
    </w:p>
    <w:tbl>
      <w:tblPr>
        <w:tblW w:w="9570" w:type="dxa"/>
        <w:tblLayout w:type="fixed"/>
        <w:tblCellMar>
          <w:left w:w="62" w:type="dxa"/>
          <w:right w:w="62" w:type="dxa"/>
        </w:tblCellMar>
        <w:tblLook w:val="0000"/>
      </w:tblPr>
      <w:tblGrid>
        <w:gridCol w:w="3908"/>
        <w:gridCol w:w="5662"/>
      </w:tblGrid>
      <w:tr w:rsidTr="006107E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rPr>
                <w:rStyle w:val="SpecialBold"/>
              </w:rPr>
              <w:t>EVIDENCE GUIDE</w:t>
            </w:r>
          </w:p>
        </w:tc>
      </w:tr>
      <w:tr w:rsidTr="006107E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t>The Evidence Guide provides advice on assessment and must be read in conjunction with the performance criteria, required skills and knowledge, range statement and the Assessment Guidelines for the Training Package.</w:t>
            </w:r>
          </w:p>
        </w:tc>
      </w:tr>
      <w:tr w:rsidTr="006107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p>
        </w:tc>
      </w:tr>
      <w:tr w:rsidTr="006107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BF2" w:rsidP="00B21BF2">
            <w:pPr>
              <w:pStyle w:val="BodyText"/>
            </w:pPr>
            <w:r w:rsidRPr="00B21BF2">
              <w:t>Evidence of the ability to:</w:t>
            </w:r>
          </w:p>
          <w:p w:rsidR="00000000" w:rsidRPr="00B21BF2" w:rsidP="00B21BF2">
            <w:pPr>
              <w:pStyle w:val="ListBullet"/>
            </w:pPr>
            <w:r w:rsidRPr="00B21BF2">
              <w:t>interpret legislation to identify legal principles affecting conveyancing</w:t>
            </w:r>
          </w:p>
          <w:p w:rsidR="00000000" w:rsidRPr="00B21BF2" w:rsidP="00B21BF2">
            <w:pPr>
              <w:pStyle w:val="ListBullet"/>
            </w:pPr>
            <w:r w:rsidRPr="00B21BF2">
              <w:t>monitor and record changes in legislation affecting conveyancing practice</w:t>
            </w:r>
          </w:p>
          <w:p w:rsidR="00000000" w:rsidP="00B21BF2">
            <w:pPr>
              <w:pStyle w:val="ListBullet"/>
              <w:rPr>
                <w:lang w:val="en-NZ"/>
              </w:rPr>
            </w:pPr>
            <w:r w:rsidRPr="00B21BF2">
              <w:t>comply with industry and regulated codes of conduct.</w:t>
            </w:r>
          </w:p>
        </w:tc>
      </w:tr>
      <w:tr w:rsidTr="006107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BF2" w:rsidP="00B21BF2">
            <w:pPr>
              <w:pStyle w:val="BodyText"/>
            </w:pPr>
            <w:r w:rsidRPr="00B21BF2">
              <w:t>Assessment must ensure:</w:t>
            </w:r>
          </w:p>
          <w:p w:rsidR="00000000" w:rsidRPr="00B21BF2" w:rsidP="00B21BF2">
            <w:pPr>
              <w:pStyle w:val="ListBullet"/>
            </w:pPr>
            <w:r w:rsidRPr="00B21BF2">
              <w:t>competency is demonstrated in the context of the work environment and conditions specified in the range statement either in a workplace or a closely simulated work environment</w:t>
            </w:r>
          </w:p>
          <w:p w:rsidR="00000000" w:rsidRPr="00B21BF2" w:rsidP="00B21BF2">
            <w:pPr>
              <w:pStyle w:val="ListBullet"/>
            </w:pPr>
            <w:r w:rsidRPr="00B21BF2">
              <w:t>access to and use of a range of common office equipment, technology, software an</w:t>
            </w:r>
            <w:r w:rsidRPr="00B21BF2">
              <w:t>d consumables</w:t>
            </w:r>
          </w:p>
          <w:p w:rsidR="00000000" w:rsidP="00B21BF2">
            <w:pPr>
              <w:pStyle w:val="ListBullet"/>
              <w:rPr>
                <w:lang w:val="en-NZ"/>
              </w:rPr>
            </w:pPr>
            <w:r w:rsidRPr="00B21BF2">
              <w:t>suitable assessment records showing the preparation of a variety of legal documents to support a transaction.</w:t>
            </w:r>
          </w:p>
        </w:tc>
      </w:tr>
      <w:tr w:rsidTr="006107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BF2" w:rsidP="00B21BF2">
            <w:pPr>
              <w:pStyle w:val="BodyText"/>
            </w:pPr>
            <w:r w:rsidRPr="00B21BF2">
              <w:t>A range of assessment methods should be used to assess practical skills and knowledge. The following examples,</w:t>
            </w:r>
            <w:r w:rsidRPr="00B21BF2">
              <w:t xml:space="preserve"> in combination, are appropriate for this unit:</w:t>
            </w:r>
          </w:p>
          <w:p w:rsidR="00000000" w:rsidRPr="00B21BF2" w:rsidP="00B21BF2">
            <w:pPr>
              <w:pStyle w:val="ListBullet"/>
            </w:pPr>
            <w:r w:rsidRPr="00B21BF2">
              <w:t>evaluating an integrated activity, which combines the elements of competency for the unit, or a cluster of related units of competency</w:t>
            </w:r>
          </w:p>
          <w:p w:rsidR="00000000" w:rsidRPr="00B21BF2" w:rsidP="00B21BF2">
            <w:pPr>
              <w:pStyle w:val="ListBullet"/>
            </w:pPr>
            <w:r w:rsidRPr="00B21BF2">
              <w:t>verbal or written questioning on underpinning knowledge and skills which</w:t>
            </w:r>
            <w:r w:rsidRPr="00B21BF2">
              <w:t xml:space="preserve"> may include formal examinations</w:t>
            </w:r>
          </w:p>
          <w:p w:rsidR="00000000" w:rsidRPr="00B21BF2" w:rsidP="00B21BF2">
            <w:pPr>
              <w:pStyle w:val="ListBullet"/>
            </w:pPr>
            <w:r w:rsidRPr="00B21BF2">
              <w:t>setting and reviewing workplace projects and business simulations or scenarios</w:t>
            </w:r>
          </w:p>
          <w:p w:rsidR="00000000" w:rsidRPr="00B21BF2" w:rsidP="00B21BF2">
            <w:pPr>
              <w:pStyle w:val="ListBullet"/>
            </w:pPr>
            <w:r w:rsidRPr="00B21BF2">
              <w:t>evaluating samples of work</w:t>
            </w:r>
          </w:p>
          <w:p w:rsidR="00000000" w:rsidP="00B21BF2">
            <w:pPr>
              <w:pStyle w:val="ListBullet"/>
              <w:rPr>
                <w:lang w:val="en-NZ"/>
              </w:rPr>
            </w:pPr>
            <w:r w:rsidRPr="00B21BF2">
              <w:t>accessing and validating third party reports.</w:t>
            </w:r>
          </w:p>
        </w:tc>
      </w:tr>
      <w:tr w:rsidTr="006107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BF2" w:rsidP="00B21BF2">
            <w:pPr>
              <w:pStyle w:val="BodyText"/>
            </w:pPr>
          </w:p>
        </w:tc>
      </w:tr>
    </w:tbl>
    <w:p w:rsidR="00000000" w:rsidRPr="00B21BF2" w:rsidP="00B21BF2">
      <w:pPr>
        <w:pStyle w:val="BodyText"/>
      </w:pPr>
    </w:p>
    <w:p w:rsidR="00000000" w:rsidRPr="00B21BF2" w:rsidP="00B21BF2">
      <w:pPr>
        <w:pStyle w:val="AllowPageBreak"/>
      </w:pPr>
    </w:p>
    <w:p w:rsidR="00000000" w:rsidRPr="00B21BF2" w:rsidP="00B21BF2">
      <w:pPr>
        <w:pStyle w:val="Heading1"/>
      </w:pPr>
      <w:bookmarkStart w:id="11" w:name="O_77809"/>
      <w:bookmarkEnd w:id="11"/>
      <w:r w:rsidRPr="00B21BF2">
        <w:t>Range Statement</w:t>
      </w:r>
    </w:p>
    <w:tbl>
      <w:tblPr>
        <w:tblW w:w="0" w:type="auto"/>
        <w:tblLayout w:type="fixed"/>
        <w:tblCellMar>
          <w:left w:w="62" w:type="dxa"/>
          <w:right w:w="62" w:type="dxa"/>
        </w:tblCellMar>
        <w:tblLook w:val="0000"/>
      </w:tblPr>
      <w:tblGrid>
        <w:gridCol w:w="3355"/>
        <w:gridCol w:w="5167"/>
      </w:tblGrid>
      <w:tr w:rsidTr="006107E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rPr>
                <w:rStyle w:val="SpecialBold"/>
              </w:rPr>
              <w:t>RANGE STATEMENT</w:t>
            </w:r>
          </w:p>
        </w:tc>
      </w:tr>
      <w:tr w:rsidTr="006107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t xml:space="preserve">The range statement relates to the unit of competency as a whole. It allows for different work environments and situations that may affect </w:t>
            </w:r>
            <w:r w:rsidRPr="00B21BF2">
              <w:t>performance. Bold italicised wording, if used in the performance criteria, is detailed below. Essential operating conditions that may be present with training and assessment (depending on the work situation, needs of the candidate, accessibility of the ite</w:t>
            </w:r>
            <w:r w:rsidRPr="00B21BF2">
              <w:t>m, and local industry and regional contexts) may also be included.</w:t>
            </w:r>
          </w:p>
        </w:tc>
      </w:tr>
      <w:tr w:rsidTr="006107E6">
        <w:tblPrEx>
          <w:tblW w:w="0" w:type="auto"/>
          <w:tblLayout w:type="fixed"/>
          <w:tblCellMar>
            <w:left w:w="62" w:type="dxa"/>
            <w:right w:w="62" w:type="dxa"/>
          </w:tblCellMar>
          <w:tblLook w:val="0000"/>
        </w:tblPrEx>
        <w:tc>
          <w:tcPr>
            <w:tcW w:w="3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rPr>
                <w:rStyle w:val="BoldandItalics"/>
              </w:rPr>
              <w:t>Legal framework</w:t>
            </w:r>
            <w:r w:rsidRPr="00B21BF2">
              <w:t xml:space="preserve"> may include:</w:t>
            </w:r>
          </w:p>
        </w:tc>
        <w:tc>
          <w:tcPr>
            <w:tcW w:w="5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BF2" w:rsidP="00B21BF2">
            <w:pPr>
              <w:pStyle w:val="ListBullet"/>
            </w:pPr>
            <w:r w:rsidRPr="00B21BF2">
              <w:t>common law</w:t>
            </w:r>
          </w:p>
          <w:p w:rsidR="00000000" w:rsidRPr="00B21BF2" w:rsidP="00B21BF2">
            <w:pPr>
              <w:pStyle w:val="ListBullet"/>
            </w:pPr>
            <w:r w:rsidRPr="00B21BF2">
              <w:t>contract law</w:t>
            </w:r>
          </w:p>
          <w:p w:rsidR="00000000" w:rsidRPr="00B21BF2" w:rsidP="00B21BF2">
            <w:pPr>
              <w:pStyle w:val="ListBullet"/>
            </w:pPr>
            <w:r w:rsidRPr="00B21BF2">
              <w:t>equity law</w:t>
            </w:r>
          </w:p>
          <w:p w:rsidR="00000000" w:rsidP="00B21BF2">
            <w:pPr>
              <w:pStyle w:val="ListBullet"/>
              <w:rPr>
                <w:lang w:val="en-NZ"/>
              </w:rPr>
            </w:pPr>
            <w:r w:rsidRPr="00B21BF2">
              <w:t>statute law.</w:t>
            </w:r>
          </w:p>
        </w:tc>
      </w:tr>
      <w:tr w:rsidTr="006107E6">
        <w:tblPrEx>
          <w:tblW w:w="0" w:type="auto"/>
          <w:tblLayout w:type="fixed"/>
          <w:tblCellMar>
            <w:left w:w="62" w:type="dxa"/>
            <w:right w:w="62" w:type="dxa"/>
          </w:tblCellMar>
          <w:tblLook w:val="0000"/>
        </w:tblPrEx>
        <w:tc>
          <w:tcPr>
            <w:tcW w:w="3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rPr>
                <w:rStyle w:val="BoldandItalics"/>
              </w:rPr>
              <w:t>Components of statute law</w:t>
            </w:r>
            <w:r w:rsidRPr="00B21BF2">
              <w:t xml:space="preserve"> may include:</w:t>
            </w:r>
          </w:p>
        </w:tc>
        <w:tc>
          <w:tcPr>
            <w:tcW w:w="5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BF2" w:rsidP="00B21BF2">
            <w:pPr>
              <w:pStyle w:val="ListBullet"/>
            </w:pPr>
            <w:r w:rsidRPr="00B21BF2">
              <w:t>principal legislation, such as Acts</w:t>
            </w:r>
          </w:p>
          <w:p w:rsidR="00000000" w:rsidRPr="00B21BF2" w:rsidP="00B21BF2">
            <w:pPr>
              <w:pStyle w:val="ListBullet"/>
            </w:pPr>
            <w:r w:rsidRPr="00B21BF2">
              <w:t>subordinate legislation, such as:</w:t>
            </w:r>
          </w:p>
          <w:p w:rsidR="00000000" w:rsidRPr="00B21BF2" w:rsidP="00B21BF2">
            <w:pPr>
              <w:pStyle w:val="ListBullet2"/>
            </w:pPr>
            <w:r w:rsidRPr="00B21BF2">
              <w:t>approvals</w:t>
            </w:r>
          </w:p>
          <w:p w:rsidR="00000000" w:rsidRPr="00B21BF2" w:rsidP="00B21BF2">
            <w:pPr>
              <w:pStyle w:val="ListBullet2"/>
            </w:pPr>
            <w:r w:rsidRPr="00B21BF2">
              <w:t>determinations</w:t>
            </w:r>
          </w:p>
          <w:p w:rsidR="00000000" w:rsidRPr="00B21BF2" w:rsidP="00B21BF2">
            <w:pPr>
              <w:pStyle w:val="ListBullet2"/>
            </w:pPr>
            <w:r w:rsidRPr="00B21BF2">
              <w:t>guidelines</w:t>
            </w:r>
          </w:p>
          <w:p w:rsidR="00000000" w:rsidRPr="00B21BF2" w:rsidP="00B21BF2">
            <w:pPr>
              <w:pStyle w:val="ListBullet2"/>
            </w:pPr>
            <w:r w:rsidRPr="00B21BF2">
              <w:t>mandatory and non-mandatory administrative</w:t>
            </w:r>
          </w:p>
          <w:p w:rsidR="00000000" w:rsidRPr="00B21BF2" w:rsidP="00B21BF2">
            <w:pPr>
              <w:pStyle w:val="ListBullet2"/>
            </w:pPr>
            <w:r w:rsidRPr="00B21BF2">
              <w:t>orders</w:t>
            </w:r>
          </w:p>
          <w:p w:rsidR="00000000" w:rsidP="00B21BF2">
            <w:pPr>
              <w:pStyle w:val="ListBullet2"/>
              <w:rPr>
                <w:lang w:val="en-NZ"/>
              </w:rPr>
            </w:pPr>
            <w:r w:rsidRPr="00B21BF2">
              <w:t>regulations.</w:t>
            </w:r>
          </w:p>
        </w:tc>
      </w:tr>
      <w:tr w:rsidTr="006107E6">
        <w:tblPrEx>
          <w:tblW w:w="0" w:type="auto"/>
          <w:tblLayout w:type="fixed"/>
          <w:tblCellMar>
            <w:left w:w="62" w:type="dxa"/>
            <w:right w:w="62" w:type="dxa"/>
          </w:tblCellMar>
          <w:tblLook w:val="0000"/>
        </w:tblPrEx>
        <w:tc>
          <w:tcPr>
            <w:tcW w:w="3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rPr>
                <w:rStyle w:val="BoldandItalics"/>
              </w:rPr>
              <w:t>Legislation and regulations</w:t>
            </w:r>
            <w:r w:rsidRPr="00B21BF2">
              <w:t xml:space="preserve"> may include:</w:t>
            </w:r>
          </w:p>
        </w:tc>
        <w:tc>
          <w:tcPr>
            <w:tcW w:w="5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BF2" w:rsidP="00B21BF2">
            <w:pPr>
              <w:pStyle w:val="ListBullet"/>
            </w:pPr>
            <w:r w:rsidRPr="00B21BF2">
              <w:t>Commonwealth, and State or Territory legislation and local government regulations relating to:</w:t>
            </w:r>
          </w:p>
          <w:p w:rsidR="00000000" w:rsidRPr="00B21BF2" w:rsidP="00B21BF2">
            <w:pPr>
              <w:pStyle w:val="ListBullet2"/>
            </w:pPr>
            <w:r w:rsidRPr="00B21BF2">
              <w:t>anti-discrimination</w:t>
            </w:r>
          </w:p>
          <w:p w:rsidR="00000000" w:rsidRPr="00B21BF2" w:rsidP="00B21BF2">
            <w:pPr>
              <w:pStyle w:val="ListBullet2"/>
            </w:pPr>
            <w:r w:rsidRPr="00B21BF2">
              <w:t>consumer protection</w:t>
            </w:r>
          </w:p>
          <w:p w:rsidR="00000000" w:rsidRPr="00B21BF2" w:rsidP="00B21BF2">
            <w:pPr>
              <w:pStyle w:val="ListBullet2"/>
            </w:pPr>
            <w:r w:rsidRPr="00B21BF2">
              <w:t>conveyancing</w:t>
            </w:r>
          </w:p>
          <w:p w:rsidR="00000000" w:rsidRPr="00B21BF2" w:rsidP="00B21BF2">
            <w:pPr>
              <w:pStyle w:val="ListBullet2"/>
            </w:pPr>
            <w:r w:rsidRPr="00B21BF2">
              <w:t>employment and industrial relations</w:t>
            </w:r>
          </w:p>
          <w:p w:rsidR="00000000" w:rsidRPr="00B21BF2" w:rsidP="00B21BF2">
            <w:pPr>
              <w:pStyle w:val="ListBullet2"/>
            </w:pPr>
            <w:r w:rsidRPr="00B21BF2">
              <w:t>equal employment opportunity</w:t>
            </w:r>
          </w:p>
          <w:p w:rsidR="00000000" w:rsidRPr="00B21BF2" w:rsidP="00B21BF2">
            <w:pPr>
              <w:pStyle w:val="ListBullet2"/>
            </w:pPr>
            <w:r w:rsidRPr="00B21BF2">
              <w:t>fair trading</w:t>
            </w:r>
          </w:p>
          <w:p w:rsidR="00000000" w:rsidRPr="00B21BF2" w:rsidP="00B21BF2">
            <w:pPr>
              <w:pStyle w:val="ListBullet2"/>
            </w:pPr>
            <w:r w:rsidRPr="00B21BF2">
              <w:t>financial services</w:t>
            </w:r>
          </w:p>
          <w:p w:rsidR="00000000" w:rsidRPr="00B21BF2" w:rsidP="00B21BF2">
            <w:pPr>
              <w:pStyle w:val="ListBullet2"/>
            </w:pPr>
            <w:r w:rsidRPr="00B21BF2">
              <w:t>occupational health and safety (OHS)</w:t>
            </w:r>
          </w:p>
          <w:p w:rsidR="00000000" w:rsidRPr="00B21BF2" w:rsidP="00B21BF2">
            <w:pPr>
              <w:pStyle w:val="ListBullet2"/>
            </w:pPr>
            <w:r w:rsidRPr="00B21BF2">
              <w:t>privacy</w:t>
            </w:r>
          </w:p>
          <w:p w:rsidR="00000000" w:rsidP="00B21BF2">
            <w:pPr>
              <w:pStyle w:val="ListBullet2"/>
              <w:rPr>
                <w:lang w:val="en-NZ"/>
              </w:rPr>
            </w:pPr>
            <w:r w:rsidRPr="00B21BF2">
              <w:t>trade practices.</w:t>
            </w:r>
          </w:p>
        </w:tc>
      </w:tr>
      <w:tr w:rsidTr="006107E6">
        <w:tblPrEx>
          <w:tblW w:w="0" w:type="auto"/>
          <w:tblLayout w:type="fixed"/>
          <w:tblCellMar>
            <w:left w:w="62" w:type="dxa"/>
            <w:right w:w="62" w:type="dxa"/>
          </w:tblCellMar>
          <w:tblLook w:val="0000"/>
        </w:tblPrEx>
        <w:tc>
          <w:tcPr>
            <w:tcW w:w="3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rPr>
                <w:rStyle w:val="BoldandItalics"/>
              </w:rPr>
              <w:t>Structure of legislation and regulations</w:t>
            </w:r>
            <w:r w:rsidRPr="00B21BF2">
              <w:t xml:space="preserve"> may include:</w:t>
            </w:r>
          </w:p>
        </w:tc>
        <w:tc>
          <w:tcPr>
            <w:tcW w:w="5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BF2" w:rsidP="00B21BF2">
            <w:pPr>
              <w:pStyle w:val="ListBullet"/>
            </w:pPr>
            <w:r w:rsidRPr="00B21BF2">
              <w:t>endnotes, including:</w:t>
            </w:r>
          </w:p>
          <w:p w:rsidR="00000000" w:rsidRPr="00B21BF2" w:rsidP="00B21BF2">
            <w:pPr>
              <w:pStyle w:val="ListBullet2"/>
            </w:pPr>
            <w:r w:rsidRPr="00B21BF2">
              <w:t>explanatory notes</w:t>
            </w:r>
          </w:p>
          <w:p w:rsidR="00000000" w:rsidRPr="00B21BF2" w:rsidP="00B21BF2">
            <w:pPr>
              <w:pStyle w:val="ListBullet2"/>
            </w:pPr>
            <w:r w:rsidRPr="00B21BF2">
              <w:t>index</w:t>
            </w:r>
          </w:p>
          <w:p w:rsidR="00000000" w:rsidRPr="00B21BF2" w:rsidP="00B21BF2">
            <w:pPr>
              <w:pStyle w:val="ListBullet2"/>
            </w:pPr>
            <w:r w:rsidRPr="00B21BF2">
              <w:t>table of amendments</w:t>
            </w:r>
          </w:p>
          <w:p w:rsidR="00000000" w:rsidRPr="00B21BF2" w:rsidP="00B21BF2">
            <w:pPr>
              <w:pStyle w:val="ListBullet"/>
            </w:pPr>
            <w:r w:rsidRPr="00B21BF2">
              <w:t>section headings, margin notes and clause notes</w:t>
            </w:r>
          </w:p>
          <w:p w:rsidR="00000000" w:rsidRPr="00B21BF2" w:rsidP="00B21BF2">
            <w:pPr>
              <w:pStyle w:val="ListBullet"/>
            </w:pPr>
            <w:r w:rsidRPr="00B21BF2">
              <w:t>parts, sections, subsections, paragraphs, regulations,</w:t>
            </w:r>
          </w:p>
          <w:p w:rsidR="00000000" w:rsidRPr="00B21BF2" w:rsidP="00B21BF2">
            <w:pPr>
              <w:pStyle w:val="ListBullet"/>
            </w:pPr>
            <w:r w:rsidRPr="00B21BF2">
              <w:t>sub-regulations and clauses</w:t>
            </w:r>
          </w:p>
          <w:p w:rsidR="00000000" w:rsidRPr="00B21BF2" w:rsidP="00B21BF2">
            <w:pPr>
              <w:pStyle w:val="ListBullet"/>
            </w:pPr>
            <w:r w:rsidRPr="00B21BF2">
              <w:t>types of provisions, including:</w:t>
            </w:r>
          </w:p>
          <w:p w:rsidR="00000000" w:rsidRPr="00B21BF2" w:rsidP="00B21BF2">
            <w:pPr>
              <w:pStyle w:val="ListBullet2"/>
            </w:pPr>
            <w:r w:rsidRPr="00B21BF2">
              <w:t>approvals</w:t>
            </w:r>
          </w:p>
          <w:p w:rsidR="00000000" w:rsidRPr="00B21BF2" w:rsidP="00B21BF2">
            <w:pPr>
              <w:pStyle w:val="ListBullet2"/>
            </w:pPr>
            <w:r w:rsidRPr="00B21BF2">
              <w:t>deeming provisions</w:t>
            </w:r>
          </w:p>
          <w:p w:rsidR="00000000" w:rsidRPr="00B21BF2" w:rsidP="00B21BF2">
            <w:pPr>
              <w:pStyle w:val="ListBullet2"/>
            </w:pPr>
            <w:r w:rsidRPr="00B21BF2">
              <w:t>definitions and interpretations</w:t>
            </w:r>
          </w:p>
          <w:p w:rsidR="00000000" w:rsidRPr="00B21BF2" w:rsidP="00B21BF2">
            <w:pPr>
              <w:pStyle w:val="ListBullet2"/>
            </w:pPr>
            <w:r w:rsidRPr="00B21BF2">
              <w:t>general penalties</w:t>
            </w:r>
          </w:p>
          <w:p w:rsidR="00000000" w:rsidRPr="00B21BF2" w:rsidP="00B21BF2">
            <w:pPr>
              <w:pStyle w:val="ListBullet2"/>
            </w:pPr>
            <w:r w:rsidRPr="00B21BF2">
              <w:t>objectives</w:t>
            </w:r>
          </w:p>
          <w:p w:rsidR="00000000" w:rsidRPr="00B21BF2" w:rsidP="00B21BF2">
            <w:pPr>
              <w:pStyle w:val="ListBullet2"/>
            </w:pPr>
            <w:r w:rsidRPr="00B21BF2">
              <w:t>offences</w:t>
            </w:r>
          </w:p>
          <w:p w:rsidR="00000000" w:rsidRPr="00B21BF2" w:rsidP="00B21BF2">
            <w:pPr>
              <w:pStyle w:val="ListBullet2"/>
            </w:pPr>
            <w:r w:rsidRPr="00B21BF2">
              <w:t>prescribed arrangements relating to regul</w:t>
            </w:r>
            <w:r w:rsidRPr="00B21BF2">
              <w:t xml:space="preserve">ations </w:t>
            </w:r>
          </w:p>
          <w:p w:rsidR="00000000" w:rsidP="00B21BF2">
            <w:pPr>
              <w:pStyle w:val="ListBullet2"/>
              <w:rPr>
                <w:lang w:val="en-NZ"/>
              </w:rPr>
            </w:pPr>
            <w:r w:rsidRPr="00B21BF2">
              <w:t>orders.</w:t>
            </w:r>
          </w:p>
        </w:tc>
      </w:tr>
      <w:tr w:rsidTr="006107E6">
        <w:tblPrEx>
          <w:tblW w:w="0" w:type="auto"/>
          <w:tblLayout w:type="fixed"/>
          <w:tblCellMar>
            <w:left w:w="62" w:type="dxa"/>
            <w:right w:w="62" w:type="dxa"/>
          </w:tblCellMar>
          <w:tblLook w:val="0000"/>
        </w:tblPrEx>
        <w:tc>
          <w:tcPr>
            <w:tcW w:w="3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rPr>
                <w:rStyle w:val="BoldandItalics"/>
              </w:rPr>
              <w:t>Common interpretation problems</w:t>
            </w:r>
            <w:r w:rsidRPr="00B21BF2">
              <w:t xml:space="preserve"> may include:</w:t>
            </w:r>
          </w:p>
        </w:tc>
        <w:tc>
          <w:tcPr>
            <w:tcW w:w="5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BF2" w:rsidP="00B21BF2">
            <w:pPr>
              <w:pStyle w:val="ListBullet"/>
            </w:pPr>
            <w:r w:rsidRPr="00B21BF2">
              <w:t>ambiguous words</w:t>
            </w:r>
          </w:p>
          <w:p w:rsidR="00000000" w:rsidRPr="00B21BF2" w:rsidP="00B21BF2">
            <w:pPr>
              <w:pStyle w:val="ListBullet"/>
            </w:pPr>
            <w:r w:rsidRPr="00B21BF2">
              <w:t>broad phrases</w:t>
            </w:r>
          </w:p>
          <w:p w:rsidR="00000000" w:rsidRPr="00B21BF2" w:rsidP="00B21BF2">
            <w:pPr>
              <w:pStyle w:val="ListBullet"/>
            </w:pPr>
            <w:r w:rsidRPr="00B21BF2">
              <w:t>need for words to be implied</w:t>
            </w:r>
          </w:p>
          <w:p w:rsidR="00000000" w:rsidRPr="00B21BF2" w:rsidP="00B21BF2">
            <w:pPr>
              <w:pStyle w:val="ListBullet"/>
            </w:pPr>
            <w:r w:rsidRPr="00B21BF2">
              <w:t>printing and drafting errors</w:t>
            </w:r>
          </w:p>
          <w:p w:rsidR="00000000" w:rsidP="00B21BF2">
            <w:pPr>
              <w:pStyle w:val="ListBullet"/>
              <w:rPr>
                <w:lang w:val="en-NZ"/>
              </w:rPr>
            </w:pPr>
            <w:r w:rsidRPr="00B21BF2">
              <w:t>unforeseen developments, such as changes in technology or practice.</w:t>
            </w:r>
          </w:p>
        </w:tc>
      </w:tr>
      <w:tr w:rsidTr="006107E6">
        <w:tblPrEx>
          <w:tblW w:w="0" w:type="auto"/>
          <w:tblLayout w:type="fixed"/>
          <w:tblCellMar>
            <w:left w:w="62" w:type="dxa"/>
            <w:right w:w="62" w:type="dxa"/>
          </w:tblCellMar>
          <w:tblLook w:val="0000"/>
        </w:tblPrEx>
        <w:tc>
          <w:tcPr>
            <w:tcW w:w="3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rPr>
                <w:rStyle w:val="BoldandItalics"/>
              </w:rPr>
              <w:t>Rules and techniques for interpreting legislation and regulations</w:t>
            </w:r>
            <w:r w:rsidRPr="00B21BF2">
              <w:t xml:space="preserve"> may include:</w:t>
            </w:r>
          </w:p>
        </w:tc>
        <w:tc>
          <w:tcPr>
            <w:tcW w:w="5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BF2" w:rsidP="00B21BF2">
            <w:pPr>
              <w:pStyle w:val="ListBullet"/>
            </w:pPr>
            <w:r w:rsidRPr="00B21BF2">
              <w:t>aids to the interpretation of legislation, including:</w:t>
            </w:r>
          </w:p>
          <w:p w:rsidR="00000000" w:rsidRPr="00B21BF2" w:rsidP="00B21BF2">
            <w:pPr>
              <w:pStyle w:val="ListBullet2"/>
            </w:pPr>
            <w:r w:rsidRPr="00B21BF2">
              <w:t>Hansard/parliamentary papers, legal dictionaries and judicial interpretations - precedent</w:t>
            </w:r>
          </w:p>
          <w:p w:rsidR="00000000" w:rsidRPr="00B21BF2" w:rsidP="00B21BF2">
            <w:pPr>
              <w:pStyle w:val="ListBullet2"/>
            </w:pPr>
            <w:r w:rsidRPr="00B21BF2">
              <w:t>external: interpretations of legislation, Acts</w:t>
            </w:r>
          </w:p>
          <w:p w:rsidR="00000000" w:rsidRPr="00B21BF2" w:rsidP="00B21BF2">
            <w:pPr>
              <w:pStyle w:val="ListBullet2"/>
            </w:pPr>
            <w:r w:rsidRPr="00B21BF2">
              <w:t>internal: objectives, legislation to be accessed as a whole, definitions and interpretation sections in legislation, headings, margin notes and punctuation</w:t>
            </w:r>
          </w:p>
          <w:p w:rsidR="00000000" w:rsidRPr="00B21BF2" w:rsidP="00B21BF2">
            <w:pPr>
              <w:pStyle w:val="ListBullet"/>
            </w:pPr>
            <w:r w:rsidRPr="00B21BF2">
              <w:t>language conventions and expressions, including:</w:t>
            </w:r>
          </w:p>
          <w:p w:rsidR="00000000" w:rsidRPr="00B21BF2" w:rsidP="00B21BF2">
            <w:pPr>
              <w:pStyle w:val="ListBullet2"/>
            </w:pPr>
            <w:r w:rsidRPr="00B21BF2">
              <w:t xml:space="preserve"> a</w:t>
            </w:r>
            <w:r w:rsidRPr="00B21BF2">
              <w:t>nd, or</w:t>
            </w:r>
          </w:p>
          <w:p w:rsidR="00000000" w:rsidRPr="00B21BF2" w:rsidP="00B21BF2">
            <w:pPr>
              <w:pStyle w:val="ListBullet2"/>
            </w:pPr>
            <w:r w:rsidRPr="00B21BF2">
              <w:t xml:space="preserve"> gender</w:t>
            </w:r>
          </w:p>
          <w:p w:rsidR="00000000" w:rsidRPr="00B21BF2" w:rsidP="00B21BF2">
            <w:pPr>
              <w:pStyle w:val="ListBullet2"/>
            </w:pPr>
            <w:r w:rsidRPr="00B21BF2">
              <w:t xml:space="preserve"> hierarchy</w:t>
            </w:r>
          </w:p>
          <w:p w:rsidR="00000000" w:rsidRPr="00B21BF2" w:rsidP="00B21BF2">
            <w:pPr>
              <w:pStyle w:val="ListBullet2"/>
            </w:pPr>
            <w:r w:rsidRPr="00B21BF2">
              <w:t xml:space="preserve"> includes</w:t>
            </w:r>
          </w:p>
          <w:p w:rsidR="00000000" w:rsidRPr="00B21BF2" w:rsidP="00B21BF2">
            <w:pPr>
              <w:pStyle w:val="ListBullet2"/>
            </w:pPr>
            <w:r w:rsidRPr="00B21BF2">
              <w:t xml:space="preserve"> may, should and must</w:t>
            </w:r>
          </w:p>
          <w:p w:rsidR="00000000" w:rsidRPr="00B21BF2" w:rsidP="00B21BF2">
            <w:pPr>
              <w:pStyle w:val="ListBullet"/>
            </w:pPr>
            <w:r w:rsidRPr="00B21BF2">
              <w:t>reading rules, including:</w:t>
            </w:r>
          </w:p>
          <w:p w:rsidR="00000000" w:rsidRPr="00B21BF2" w:rsidP="00B21BF2">
            <w:pPr>
              <w:pStyle w:val="ListBullet2"/>
            </w:pPr>
            <w:r w:rsidRPr="00B21BF2">
              <w:t>context</w:t>
            </w:r>
          </w:p>
          <w:p w:rsidR="00000000" w:rsidRPr="00B21BF2" w:rsidP="00B21BF2">
            <w:pPr>
              <w:pStyle w:val="ListBullet2"/>
            </w:pPr>
            <w:r w:rsidRPr="00B21BF2">
              <w:t>golden</w:t>
            </w:r>
          </w:p>
          <w:p w:rsidR="00000000" w:rsidRPr="00B21BF2" w:rsidP="00B21BF2">
            <w:pPr>
              <w:pStyle w:val="ListBullet2"/>
            </w:pPr>
            <w:r w:rsidRPr="00B21BF2">
              <w:t>literal</w:t>
            </w:r>
          </w:p>
          <w:p w:rsidR="00000000" w:rsidRPr="00B21BF2" w:rsidP="00B21BF2">
            <w:pPr>
              <w:pStyle w:val="ListBullet2"/>
            </w:pPr>
            <w:r w:rsidRPr="00B21BF2">
              <w:t>mischief</w:t>
            </w:r>
          </w:p>
          <w:p w:rsidR="00000000" w:rsidRPr="00B21BF2" w:rsidP="00B21BF2">
            <w:pPr>
              <w:pStyle w:val="ListBullet2"/>
            </w:pPr>
            <w:r w:rsidRPr="00B21BF2">
              <w:t>purposive</w:t>
            </w:r>
          </w:p>
          <w:p w:rsidR="00000000" w:rsidRPr="00B21BF2" w:rsidP="00B21BF2">
            <w:pPr>
              <w:pStyle w:val="ListBullet"/>
            </w:pPr>
            <w:r w:rsidRPr="00B21BF2">
              <w:t>express mention of one thing to the exclusion of another</w:t>
            </w:r>
          </w:p>
          <w:p w:rsidR="00000000" w:rsidRPr="00B21BF2" w:rsidP="00B21BF2">
            <w:pPr>
              <w:pStyle w:val="ListBullet"/>
            </w:pPr>
            <w:r w:rsidRPr="00B21BF2">
              <w:t>words interpreted through their connection with other words</w:t>
            </w:r>
          </w:p>
          <w:p w:rsidR="00000000" w:rsidP="00B21BF2">
            <w:pPr>
              <w:pStyle w:val="ListBullet"/>
              <w:rPr>
                <w:lang w:val="en-NZ"/>
              </w:rPr>
            </w:pPr>
            <w:r w:rsidRPr="00B21BF2">
              <w:t>words with the same meaning.</w:t>
            </w:r>
          </w:p>
        </w:tc>
      </w:tr>
      <w:tr w:rsidTr="006107E6">
        <w:tblPrEx>
          <w:tblW w:w="0" w:type="auto"/>
          <w:tblLayout w:type="fixed"/>
          <w:tblCellMar>
            <w:left w:w="62" w:type="dxa"/>
            <w:right w:w="62" w:type="dxa"/>
          </w:tblCellMar>
          <w:tblLook w:val="0000"/>
        </w:tblPrEx>
        <w:tc>
          <w:tcPr>
            <w:tcW w:w="3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rPr>
                <w:rStyle w:val="BoldandItalics"/>
              </w:rPr>
              <w:t>Processes</w:t>
            </w:r>
            <w:r w:rsidRPr="00B21BF2">
              <w:t xml:space="preserve"> may include:</w:t>
            </w:r>
          </w:p>
        </w:tc>
        <w:tc>
          <w:tcPr>
            <w:tcW w:w="5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BF2" w:rsidP="00B21BF2">
            <w:pPr>
              <w:pStyle w:val="ListBullet"/>
            </w:pPr>
            <w:r w:rsidRPr="00B21BF2">
              <w:t>government agency approval</w:t>
            </w:r>
          </w:p>
          <w:p w:rsidR="00000000" w:rsidRPr="00B21BF2" w:rsidP="00B21BF2">
            <w:pPr>
              <w:pStyle w:val="ListBullet"/>
            </w:pPr>
            <w:r w:rsidRPr="00B21BF2">
              <w:t>governor approval</w:t>
            </w:r>
          </w:p>
          <w:p w:rsidR="00000000" w:rsidRPr="00B21BF2" w:rsidP="00B21BF2">
            <w:pPr>
              <w:pStyle w:val="ListBullet"/>
            </w:pPr>
            <w:r w:rsidRPr="00B21BF2">
              <w:t>minister approval</w:t>
            </w:r>
          </w:p>
          <w:p w:rsidR="00000000" w:rsidP="00B21BF2">
            <w:pPr>
              <w:pStyle w:val="ListBullet"/>
              <w:rPr>
                <w:lang w:val="en-NZ"/>
              </w:rPr>
            </w:pPr>
            <w:r w:rsidRPr="00B21BF2">
              <w:t>parliament.</w:t>
            </w:r>
          </w:p>
        </w:tc>
      </w:tr>
      <w:tr w:rsidTr="006107E6">
        <w:tblPrEx>
          <w:tblW w:w="0" w:type="auto"/>
          <w:tblLayout w:type="fixed"/>
          <w:tblCellMar>
            <w:left w:w="62" w:type="dxa"/>
            <w:right w:w="62" w:type="dxa"/>
          </w:tblCellMar>
          <w:tblLook w:val="0000"/>
        </w:tblPrEx>
        <w:tc>
          <w:tcPr>
            <w:tcW w:w="3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rPr>
                <w:rStyle w:val="BoldandItalics"/>
              </w:rPr>
              <w:t>Source documents</w:t>
            </w:r>
            <w:r w:rsidRPr="00B21BF2">
              <w:t xml:space="preserve"> may include:</w:t>
            </w:r>
          </w:p>
        </w:tc>
        <w:tc>
          <w:tcPr>
            <w:tcW w:w="5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BF2" w:rsidP="00B21BF2">
            <w:pPr>
              <w:pStyle w:val="ListBullet"/>
            </w:pPr>
            <w:r w:rsidRPr="00B21BF2">
              <w:t>amendment Acts</w:t>
            </w:r>
          </w:p>
          <w:p w:rsidR="00000000" w:rsidRPr="00B21BF2" w:rsidP="00B21BF2">
            <w:pPr>
              <w:pStyle w:val="ListBullet"/>
            </w:pPr>
            <w:r w:rsidRPr="00B21BF2">
              <w:t>amendment regulations</w:t>
            </w:r>
          </w:p>
          <w:p w:rsidR="00000000" w:rsidRPr="00B21BF2" w:rsidP="00B21BF2">
            <w:pPr>
              <w:pStyle w:val="ListBullet"/>
            </w:pPr>
            <w:r w:rsidRPr="00B21BF2">
              <w:t>government Bills</w:t>
            </w:r>
          </w:p>
          <w:p w:rsidR="00000000" w:rsidP="00B21BF2">
            <w:pPr>
              <w:pStyle w:val="ListBullet"/>
              <w:rPr>
                <w:lang w:val="en-NZ"/>
              </w:rPr>
            </w:pPr>
            <w:r w:rsidRPr="00B21BF2">
              <w:t>consolidated or reprinted Acts.</w:t>
            </w:r>
          </w:p>
        </w:tc>
      </w:tr>
      <w:tr w:rsidTr="006107E6">
        <w:tblPrEx>
          <w:tblW w:w="0" w:type="auto"/>
          <w:tblLayout w:type="fixed"/>
          <w:tblCellMar>
            <w:left w:w="62" w:type="dxa"/>
            <w:right w:w="62" w:type="dxa"/>
          </w:tblCellMar>
          <w:tblLook w:val="0000"/>
        </w:tblPrEx>
        <w:tc>
          <w:tcPr>
            <w:tcW w:w="3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rPr>
                <w:rStyle w:val="BoldandItalics"/>
              </w:rPr>
              <w:t>Techniques for tracking amendments</w:t>
            </w:r>
            <w:r w:rsidRPr="00B21BF2">
              <w:t xml:space="preserve"> may include:</w:t>
            </w:r>
          </w:p>
        </w:tc>
        <w:tc>
          <w:tcPr>
            <w:tcW w:w="5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BF2" w:rsidP="00B21BF2">
            <w:pPr>
              <w:pStyle w:val="ListBullet"/>
            </w:pPr>
            <w:r w:rsidRPr="00B21BF2">
              <w:t>government and industry newsletters and information sessions</w:t>
            </w:r>
          </w:p>
          <w:p w:rsidR="00000000" w:rsidRPr="00B21BF2" w:rsidP="00B21BF2">
            <w:pPr>
              <w:pStyle w:val="ListBullet"/>
            </w:pPr>
            <w:r w:rsidRPr="00B21BF2">
              <w:t>use of margin notes and tables of amendments.</w:t>
            </w:r>
          </w:p>
        </w:tc>
      </w:tr>
    </w:tbl>
    <w:p w:rsidR="006107E6" w:rsidP="00B21BF2">
      <w:pPr>
        <w:pStyle w:val="BodyText"/>
      </w:pPr>
    </w:p>
    <w:p w:rsidR="006107E6" w:rsidP="00B21BF2">
      <w:pPr>
        <w:pStyle w:val="BodyText"/>
      </w:pPr>
    </w:p>
    <w:p w:rsidR="00000000" w:rsidRPr="00B21BF2" w:rsidP="00B21BF2">
      <w:pPr>
        <w:pStyle w:val="Heading1"/>
      </w:pPr>
      <w:bookmarkStart w:id="12" w:name="O_77810"/>
      <w:bookmarkEnd w:id="12"/>
      <w:r w:rsidRPr="00B21BF2">
        <w:t>Unit Sector(s)</w:t>
      </w:r>
    </w:p>
    <w:tbl>
      <w:tblPr>
        <w:tblW w:w="0" w:type="auto"/>
        <w:tblLayout w:type="fixed"/>
        <w:tblCellMar>
          <w:left w:w="62" w:type="dxa"/>
          <w:right w:w="62" w:type="dxa"/>
        </w:tblCellMar>
        <w:tblLook w:val="0000"/>
      </w:tblPr>
      <w:tblGrid>
        <w:gridCol w:w="2578"/>
        <w:gridCol w:w="5944"/>
      </w:tblGrid>
      <w:tr w:rsidTr="006107E6">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rPr>
                <w:rStyle w:val="SpecialBold"/>
              </w:rPr>
              <w:t>Unit sector</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BF2" w:rsidP="00B21BF2">
            <w:pPr>
              <w:pStyle w:val="BodyText"/>
            </w:pPr>
            <w:r w:rsidRPr="00B21BF2">
              <w:t>Conveyancing</w:t>
            </w:r>
          </w:p>
        </w:tc>
      </w:tr>
    </w:tbl>
    <w:p w:rsidR="00000000" w:rsidRPr="00B21BF2" w:rsidP="00B21BF2">
      <w:pPr>
        <w:pStyle w:val="BodyText"/>
      </w:pPr>
    </w:p>
    <w:p w:rsidR="00000000" w:rsidRPr="00B21BF2" w:rsidP="00B21BF2">
      <w:pPr>
        <w:pStyle w:val="AllowPageBreak"/>
      </w:pPr>
    </w:p>
    <w:p w:rsidR="00000000" w:rsidRPr="00B21BF2" w:rsidP="00B21BF2">
      <w:pPr>
        <w:pStyle w:val="Heading1"/>
      </w:pPr>
      <w:bookmarkStart w:id="13" w:name="O_156201"/>
      <w:bookmarkEnd w:id="13"/>
      <w:r w:rsidRPr="00B21BF2">
        <w:t>Competency field</w:t>
      </w:r>
    </w:p>
    <w:tbl>
      <w:tblPr>
        <w:tblW w:w="0" w:type="auto"/>
        <w:tblLayout w:type="fixed"/>
        <w:tblCellMar>
          <w:left w:w="62" w:type="dxa"/>
          <w:right w:w="62" w:type="dxa"/>
        </w:tblCellMar>
        <w:tblLook w:val="0000"/>
      </w:tblPr>
      <w:tblGrid>
        <w:gridCol w:w="2754"/>
        <w:gridCol w:w="5768"/>
      </w:tblGrid>
      <w:tr w:rsidTr="006107E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BF2" w:rsidP="00B21BF2">
            <w:pPr>
              <w:pStyle w:val="BodyText"/>
            </w:pPr>
          </w:p>
        </w:tc>
      </w:tr>
    </w:tbl>
    <w:p w:rsidR="00000000" w:rsidRPr="00B21BF2" w:rsidP="00B21BF2">
      <w:pPr>
        <w:pStyle w:val="BodyText"/>
      </w:pPr>
    </w:p>
    <w:p w:rsidR="00000000" w:rsidRPr="00B21BF2" w:rsidP="00B21BF2">
      <w:pPr>
        <w:pStyle w:val="AllowPageBreak"/>
      </w:pPr>
    </w:p>
    <w:p w:rsidR="00000000" w:rsidRPr="00B21BF2" w:rsidP="00B21BF2">
      <w:pPr>
        <w:pStyle w:val="Heading1"/>
      </w:pPr>
      <w:bookmarkStart w:id="14" w:name="O_156200"/>
      <w:bookmarkEnd w:id="14"/>
      <w:r w:rsidRPr="00B21BF2">
        <w:t>Co-requisite units</w:t>
      </w:r>
    </w:p>
    <w:tbl>
      <w:tblPr>
        <w:tblW w:w="0" w:type="auto"/>
        <w:tblLayout w:type="fixed"/>
        <w:tblCellMar>
          <w:left w:w="62" w:type="dxa"/>
          <w:right w:w="62" w:type="dxa"/>
        </w:tblCellMar>
        <w:tblLook w:val="0000"/>
      </w:tblPr>
      <w:tblGrid>
        <w:gridCol w:w="2629"/>
        <w:gridCol w:w="1324"/>
        <w:gridCol w:w="4569"/>
      </w:tblGrid>
      <w:tr w:rsidTr="006107E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r w:rsidRPr="00B21BF2">
              <w:rPr>
                <w:rStyle w:val="SpecialBold"/>
              </w:rPr>
              <w:t>Co-requisite units</w:t>
            </w:r>
          </w:p>
        </w:tc>
        <w:tc>
          <w:tcPr>
            <w:tcW w:w="589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p>
        </w:tc>
      </w:tr>
      <w:tr w:rsidTr="006107E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BF2">
            <w:pPr>
              <w:pStyle w:val="BodyText"/>
              <w:rPr>
                <w:lang w:val="en-NZ"/>
              </w:rPr>
            </w:pPr>
          </w:p>
        </w:tc>
      </w:tr>
      <w:tr w:rsidTr="006107E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BF2" w:rsidP="00B21BF2">
            <w:pPr>
              <w:pStyle w:val="BodyText"/>
            </w:pPr>
          </w:p>
        </w:tc>
      </w:tr>
    </w:tbl>
    <w:p w:rsidR="00000000" w:rsidRPr="00B21BF2" w:rsidP="00B21BF2">
      <w:pPr>
        <w:pStyle w:val="BodyText"/>
      </w:pPr>
    </w:p>
    <w:p w:rsidR="00000000" w:rsidRPr="00B21BF2" w:rsidP="00B21BF2"/>
    <w:sectPr w:rsidSect="00B21B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B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07E6" w:rsidP="006107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B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7E6" w:rsidP="00B21B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107E6" w:rsidP="00B21B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107E6" w:rsidP="00B21B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B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07E6" w:rsidP="006107E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B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7E6" w:rsidP="00B21BF2">
    <w:pPr>
      <w:pStyle w:val="Header"/>
      <w:framePr w:wrap="around"/>
    </w:pPr>
    <w:r>
      <w:fldChar w:fldCharType="begin"/>
    </w:r>
    <w:r>
      <w:instrText xml:space="preserve"> TITLE   \* MERGEFORMAT </w:instrText>
    </w:r>
    <w:r>
      <w:fldChar w:fldCharType="separate"/>
    </w:r>
    <w:r>
      <w:t>FNSCNV503A Analyse and interpret legal requirements for a transaction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07E6" w:rsidP="00B21B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0074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BC9E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E260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B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1BF2"/>
    <w:pPr>
      <w:spacing w:before="360" w:after="60"/>
      <w:outlineLvl w:val="0"/>
    </w:pPr>
    <w:rPr>
      <w:sz w:val="32"/>
    </w:rPr>
  </w:style>
  <w:style w:type="paragraph" w:styleId="Heading2">
    <w:name w:val="heading 2"/>
    <w:basedOn w:val="HeadingBase"/>
    <w:next w:val="BodyText"/>
    <w:link w:val="Heading2Char"/>
    <w:qFormat/>
    <w:rsid w:val="00B21BF2"/>
    <w:pPr>
      <w:keepLines/>
      <w:spacing w:before="240" w:after="120"/>
      <w:outlineLvl w:val="1"/>
    </w:pPr>
    <w:rPr>
      <w:sz w:val="28"/>
      <w:szCs w:val="40"/>
    </w:rPr>
  </w:style>
  <w:style w:type="paragraph" w:styleId="Heading3">
    <w:name w:val="heading 3"/>
    <w:basedOn w:val="HeadingBase"/>
    <w:next w:val="BodyText"/>
    <w:link w:val="Heading3Char"/>
    <w:qFormat/>
    <w:rsid w:val="00B21BF2"/>
    <w:pPr>
      <w:spacing w:before="180" w:after="120"/>
      <w:outlineLvl w:val="2"/>
    </w:pPr>
    <w:rPr>
      <w:spacing w:val="-10"/>
      <w:kern w:val="32"/>
    </w:rPr>
  </w:style>
  <w:style w:type="paragraph" w:styleId="Heading4">
    <w:name w:val="heading 4"/>
    <w:basedOn w:val="HeadingBase"/>
    <w:next w:val="BodyText"/>
    <w:link w:val="Heading4Char"/>
    <w:qFormat/>
    <w:rsid w:val="00B21BF2"/>
    <w:pPr>
      <w:spacing w:before="160" w:after="120"/>
      <w:outlineLvl w:val="3"/>
    </w:pPr>
    <w:rPr>
      <w:sz w:val="22"/>
    </w:rPr>
  </w:style>
  <w:style w:type="paragraph" w:styleId="Heading5">
    <w:name w:val="heading 5"/>
    <w:basedOn w:val="HeadingBase"/>
    <w:next w:val="Normal"/>
    <w:link w:val="Heading5Char"/>
    <w:qFormat/>
    <w:rsid w:val="00B21BF2"/>
    <w:pPr>
      <w:spacing w:before="80"/>
      <w:outlineLvl w:val="4"/>
    </w:pPr>
    <w:rPr>
      <w:color w:val="918585"/>
      <w:sz w:val="20"/>
    </w:rPr>
  </w:style>
  <w:style w:type="paragraph" w:styleId="Heading6">
    <w:name w:val="heading 6"/>
    <w:basedOn w:val="HeadingBase"/>
    <w:next w:val="Normal"/>
    <w:link w:val="Heading6Char"/>
    <w:qFormat/>
    <w:rsid w:val="00B21BF2"/>
    <w:pPr>
      <w:spacing w:before="60"/>
      <w:outlineLvl w:val="5"/>
    </w:pPr>
    <w:rPr>
      <w:color w:val="918585"/>
      <w:sz w:val="20"/>
    </w:rPr>
  </w:style>
  <w:style w:type="paragraph" w:styleId="Heading7">
    <w:name w:val="heading 7"/>
    <w:basedOn w:val="Normal"/>
    <w:next w:val="Normal"/>
    <w:link w:val="Heading7Char"/>
    <w:qFormat/>
    <w:rsid w:val="00B21BF2"/>
    <w:pPr>
      <w:ind w:left="720"/>
      <w:outlineLvl w:val="6"/>
    </w:pPr>
    <w:rPr>
      <w:i/>
    </w:rPr>
  </w:style>
  <w:style w:type="paragraph" w:styleId="Heading8">
    <w:name w:val="heading 8"/>
    <w:basedOn w:val="Normal"/>
    <w:next w:val="Normal"/>
    <w:link w:val="Heading8Char"/>
    <w:qFormat/>
    <w:rsid w:val="00B21BF2"/>
    <w:pPr>
      <w:ind w:left="720"/>
      <w:outlineLvl w:val="7"/>
    </w:pPr>
    <w:rPr>
      <w:i/>
    </w:rPr>
  </w:style>
  <w:style w:type="paragraph" w:styleId="Heading9">
    <w:name w:val="heading 9"/>
    <w:basedOn w:val="Normal"/>
    <w:next w:val="Normal"/>
    <w:link w:val="Heading9Char"/>
    <w:qFormat/>
    <w:rsid w:val="00B21BF2"/>
    <w:pPr>
      <w:ind w:left="720"/>
      <w:outlineLvl w:val="8"/>
    </w:pPr>
    <w:rPr>
      <w:i/>
    </w:rPr>
  </w:style>
  <w:style w:type="character" w:default="1" w:styleId="DefaultParagraphFont">
    <w:name w:val="Default Paragraph Font"/>
    <w:uiPriority w:val="1"/>
    <w:unhideWhenUsed/>
    <w:rsid w:val="00B21B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1BF2"/>
  </w:style>
  <w:style w:type="character" w:customStyle="1" w:styleId="Heading1Char">
    <w:name w:val="Heading 1 Char"/>
    <w:link w:val="Heading1"/>
    <w:rsid w:val="00B21BF2"/>
    <w:rPr>
      <w:rFonts w:ascii="Times New Roman" w:eastAsia="Times New Roman" w:hAnsi="Times New Roman" w:cs="Times New Roman"/>
      <w:b/>
      <w:sz w:val="32"/>
      <w:szCs w:val="20"/>
      <w:lang w:eastAsia="en-US"/>
    </w:rPr>
  </w:style>
  <w:style w:type="paragraph" w:styleId="BodyText">
    <w:name w:val="Body Text"/>
    <w:basedOn w:val="Normal"/>
    <w:link w:val="BodyTextChar"/>
    <w:rsid w:val="00B21BF2"/>
    <w:pPr>
      <w:spacing w:before="120" w:after="120"/>
      <w:contextualSpacing/>
    </w:pPr>
    <w:rPr>
      <w:rFonts w:ascii="Times New Roman" w:hAnsi="Times New Roman"/>
      <w:sz w:val="24"/>
      <w:szCs w:val="22"/>
    </w:rPr>
  </w:style>
  <w:style w:type="character" w:customStyle="1" w:styleId="BodyTextChar">
    <w:name w:val="Body Text Char"/>
    <w:link w:val="BodyText"/>
    <w:rsid w:val="00B21BF2"/>
    <w:rPr>
      <w:rFonts w:ascii="Times New Roman" w:eastAsia="Times New Roman" w:hAnsi="Times New Roman" w:cs="Times New Roman"/>
      <w:sz w:val="24"/>
      <w:lang w:val="en-US" w:eastAsia="en-US"/>
    </w:rPr>
  </w:style>
  <w:style w:type="paragraph" w:styleId="Footer">
    <w:name w:val="footer"/>
    <w:basedOn w:val="Normal"/>
    <w:link w:val="FooterChar"/>
    <w:rsid w:val="00B21B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21BF2"/>
    <w:rPr>
      <w:rFonts w:ascii="Times New Roman" w:eastAsia="Times New Roman" w:hAnsi="Times New Roman" w:cs="Times New Roman"/>
      <w:sz w:val="16"/>
      <w:lang w:val="en-US" w:eastAsia="en-US"/>
    </w:rPr>
  </w:style>
  <w:style w:type="paragraph" w:styleId="List">
    <w:name w:val="List"/>
    <w:basedOn w:val="BodyText"/>
    <w:next w:val="BodyText"/>
    <w:rsid w:val="00B21BF2"/>
    <w:pPr>
      <w:tabs>
        <w:tab w:val="left" w:pos="340"/>
      </w:tabs>
      <w:spacing w:before="60" w:after="60"/>
      <w:ind w:left="340" w:hanging="340"/>
    </w:pPr>
  </w:style>
  <w:style w:type="paragraph" w:styleId="ListBullet">
    <w:name w:val="List Bullet"/>
    <w:basedOn w:val="List"/>
    <w:rsid w:val="00B21BF2"/>
    <w:pPr>
      <w:numPr>
        <w:numId w:val="13"/>
      </w:numPr>
      <w:tabs>
        <w:tab w:val="clear" w:pos="340"/>
      </w:tabs>
      <w:spacing w:before="40" w:after="40"/>
    </w:pPr>
  </w:style>
  <w:style w:type="character" w:customStyle="1" w:styleId="SpecialBold">
    <w:name w:val="Special Bold"/>
    <w:rsid w:val="00B21BF2"/>
    <w:rPr>
      <w:b/>
      <w:spacing w:val="0"/>
    </w:rPr>
  </w:style>
  <w:style w:type="paragraph" w:styleId="ListBullet2">
    <w:name w:val="List Bullet 2"/>
    <w:basedOn w:val="List2"/>
    <w:rsid w:val="00B21BF2"/>
    <w:pPr>
      <w:numPr>
        <w:numId w:val="14"/>
      </w:numPr>
      <w:tabs>
        <w:tab w:val="clear" w:pos="680"/>
      </w:tabs>
    </w:pPr>
  </w:style>
  <w:style w:type="paragraph" w:styleId="Header">
    <w:name w:val="header"/>
    <w:basedOn w:val="Normal"/>
    <w:link w:val="HeaderChar"/>
    <w:rsid w:val="00B21B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21B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1BF2"/>
    <w:pPr>
      <w:spacing w:before="240" w:after="120"/>
      <w:outlineLvl w:val="0"/>
    </w:pPr>
    <w:rPr>
      <w:rFonts w:ascii="Times New Roman" w:hAnsi="Times New Roman"/>
      <w:b/>
      <w:sz w:val="28"/>
    </w:rPr>
  </w:style>
  <w:style w:type="paragraph" w:customStyle="1" w:styleId="AllowPageBreak">
    <w:name w:val="AllowPageBreak"/>
    <w:rsid w:val="00B21B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1BF2"/>
    <w:pPr>
      <w:tabs>
        <w:tab w:val="left" w:pos="680"/>
      </w:tabs>
      <w:spacing w:before="60" w:after="60"/>
      <w:ind w:left="680" w:hanging="340"/>
    </w:pPr>
  </w:style>
  <w:style w:type="character" w:customStyle="1" w:styleId="BoldandItalics">
    <w:name w:val="Bold and Italics"/>
    <w:qFormat/>
    <w:rsid w:val="00B21BF2"/>
    <w:rPr>
      <w:b/>
      <w:i/>
      <w:u w:val="none"/>
    </w:rPr>
  </w:style>
  <w:style w:type="character" w:customStyle="1" w:styleId="Heading2Char">
    <w:name w:val="Heading 2 Char"/>
    <w:link w:val="Heading2"/>
    <w:rsid w:val="00B21BF2"/>
    <w:rPr>
      <w:rFonts w:ascii="Times New Roman" w:eastAsia="Times New Roman" w:hAnsi="Times New Roman" w:cs="Times New Roman"/>
      <w:b/>
      <w:sz w:val="28"/>
      <w:szCs w:val="40"/>
      <w:lang w:eastAsia="en-US"/>
    </w:rPr>
  </w:style>
  <w:style w:type="character" w:customStyle="1" w:styleId="Heading3Char">
    <w:name w:val="Heading 3 Char"/>
    <w:link w:val="Heading3"/>
    <w:rsid w:val="00B21BF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21BF2"/>
    <w:rPr>
      <w:rFonts w:ascii="Times New Roman" w:eastAsia="Times New Roman" w:hAnsi="Times New Roman" w:cs="Times New Roman"/>
      <w:b/>
      <w:szCs w:val="20"/>
      <w:lang w:eastAsia="en-US"/>
    </w:rPr>
  </w:style>
  <w:style w:type="character" w:customStyle="1" w:styleId="Heading5Char">
    <w:name w:val="Heading 5 Char"/>
    <w:link w:val="Heading5"/>
    <w:rsid w:val="00B21BF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21B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1B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1B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1BF2"/>
    <w:rPr>
      <w:rFonts w:ascii="Courier New" w:eastAsia="Times New Roman" w:hAnsi="Courier New" w:cs="Times New Roman"/>
      <w:i/>
      <w:szCs w:val="20"/>
      <w:lang w:val="en-US" w:eastAsia="en-US"/>
    </w:rPr>
  </w:style>
  <w:style w:type="paragraph" w:customStyle="1" w:styleId="HeadingBase">
    <w:name w:val="Heading Base"/>
    <w:rsid w:val="00B21B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1BF2"/>
    <w:pPr>
      <w:tabs>
        <w:tab w:val="right" w:leader="dot" w:pos="9072"/>
      </w:tabs>
      <w:ind w:left="567"/>
    </w:pPr>
    <w:rPr>
      <w:szCs w:val="22"/>
    </w:rPr>
  </w:style>
  <w:style w:type="paragraph" w:customStyle="1" w:styleId="TOCBase">
    <w:name w:val="TOC Base"/>
    <w:rsid w:val="00B21B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1BF2"/>
    <w:pPr>
      <w:tabs>
        <w:tab w:val="right" w:leader="dot" w:pos="9072"/>
      </w:tabs>
      <w:spacing w:before="40" w:after="40"/>
      <w:ind w:left="284"/>
    </w:pPr>
    <w:rPr>
      <w:rFonts w:ascii="Times New Roman" w:hAnsi="Times New Roman"/>
    </w:rPr>
  </w:style>
  <w:style w:type="paragraph" w:styleId="TOC1">
    <w:name w:val="toc 1"/>
    <w:basedOn w:val="TOCBase"/>
    <w:next w:val="Normal"/>
    <w:rsid w:val="00B21B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1BF2"/>
    <w:pPr>
      <w:spacing w:before="5040"/>
      <w:jc w:val="center"/>
    </w:pPr>
    <w:rPr>
      <w:sz w:val="48"/>
      <w:szCs w:val="72"/>
      <w:lang w:val="en-US"/>
    </w:rPr>
  </w:style>
  <w:style w:type="character" w:customStyle="1" w:styleId="TitleChar">
    <w:name w:val="Title Char"/>
    <w:link w:val="Title"/>
    <w:rsid w:val="00B21B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1BF2"/>
    <w:pPr>
      <w:tabs>
        <w:tab w:val="left" w:pos="3600"/>
        <w:tab w:val="left" w:pos="3958"/>
      </w:tabs>
    </w:pPr>
  </w:style>
  <w:style w:type="paragraph" w:customStyle="1" w:styleId="Note">
    <w:name w:val="Note"/>
    <w:basedOn w:val="BodyText"/>
    <w:rsid w:val="00B21B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1BF2"/>
    <w:pPr>
      <w:framePr w:wrap="auto" w:hAnchor="text" w:y="6049"/>
    </w:pPr>
    <w:rPr>
      <w:color w:val="000000"/>
      <w:sz w:val="40"/>
    </w:rPr>
  </w:style>
  <w:style w:type="paragraph" w:customStyle="1" w:styleId="TOCTitle">
    <w:name w:val="TOCTitle"/>
    <w:basedOn w:val="Heading1"/>
    <w:rsid w:val="00B21BF2"/>
    <w:pPr>
      <w:spacing w:after="240"/>
      <w:jc w:val="center"/>
      <w:outlineLvl w:val="9"/>
    </w:pPr>
    <w:rPr>
      <w:caps/>
    </w:rPr>
  </w:style>
  <w:style w:type="paragraph" w:customStyle="1" w:styleId="Version">
    <w:name w:val="Version"/>
    <w:rsid w:val="00B21B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1BF2"/>
    <w:pPr>
      <w:keepNext w:val="0"/>
      <w:tabs>
        <w:tab w:val="right" w:pos="4176"/>
      </w:tabs>
      <w:ind w:left="198" w:hanging="198"/>
    </w:pPr>
    <w:rPr>
      <w:rFonts w:ascii="Garamond" w:hAnsi="Garamond"/>
    </w:rPr>
  </w:style>
  <w:style w:type="paragraph" w:styleId="IndexHeading">
    <w:name w:val="index heading"/>
    <w:basedOn w:val="Normal"/>
    <w:next w:val="Index1"/>
    <w:semiHidden/>
    <w:rsid w:val="00B21BF2"/>
    <w:pPr>
      <w:spacing w:before="120" w:after="120"/>
    </w:pPr>
    <w:rPr>
      <w:rFonts w:ascii="Arial" w:hAnsi="Arial"/>
      <w:b/>
      <w:color w:val="918585"/>
      <w:sz w:val="24"/>
    </w:rPr>
  </w:style>
  <w:style w:type="paragraph" w:customStyle="1" w:styleId="Chapter">
    <w:name w:val="Chapter"/>
    <w:basedOn w:val="Normal"/>
    <w:rsid w:val="00B21BF2"/>
    <w:pPr>
      <w:spacing w:before="240"/>
    </w:pPr>
    <w:rPr>
      <w:rFonts w:ascii="Times New Roman" w:hAnsi="Times New Roman"/>
      <w:smallCaps/>
      <w:spacing w:val="80"/>
      <w:sz w:val="28"/>
    </w:rPr>
  </w:style>
  <w:style w:type="paragraph" w:customStyle="1" w:styleId="InChapter">
    <w:name w:val="InChapter"/>
    <w:basedOn w:val="Heading3"/>
    <w:rsid w:val="00B21BF2"/>
    <w:pPr>
      <w:spacing w:after="240"/>
      <w:outlineLvl w:val="9"/>
    </w:pPr>
    <w:rPr>
      <w:noProof/>
    </w:rPr>
  </w:style>
  <w:style w:type="paragraph" w:styleId="Index2">
    <w:name w:val="index 2"/>
    <w:basedOn w:val="Normal"/>
    <w:next w:val="Normal"/>
    <w:semiHidden/>
    <w:rsid w:val="00B21BF2"/>
    <w:pPr>
      <w:tabs>
        <w:tab w:val="right" w:pos="4176"/>
      </w:tabs>
      <w:ind w:left="568" w:hanging="284"/>
    </w:pPr>
    <w:rPr>
      <w:rFonts w:ascii="Garamond" w:hAnsi="Garamond"/>
    </w:rPr>
  </w:style>
  <w:style w:type="paragraph" w:customStyle="1" w:styleId="Byline">
    <w:name w:val="Byline"/>
    <w:rsid w:val="00B21B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1BF2"/>
    <w:pPr>
      <w:tabs>
        <w:tab w:val="clear" w:pos="3600"/>
        <w:tab w:val="clear" w:pos="3958"/>
      </w:tabs>
      <w:jc w:val="right"/>
    </w:pPr>
  </w:style>
  <w:style w:type="character" w:styleId="Emphasis">
    <w:name w:val="Emphasis"/>
    <w:qFormat/>
    <w:rsid w:val="00B21BF2"/>
    <w:rPr>
      <w:i/>
    </w:rPr>
  </w:style>
  <w:style w:type="paragraph" w:styleId="Caption">
    <w:name w:val="caption"/>
    <w:basedOn w:val="BodyText"/>
    <w:next w:val="Normal"/>
    <w:qFormat/>
    <w:rsid w:val="00B21BF2"/>
    <w:pPr>
      <w:framePr w:w="2268" w:hSpace="181" w:vSpace="181" w:wrap="around" w:vAnchor="text" w:hAnchor="page" w:x="1135" w:y="285" w:anchorLock="1"/>
    </w:pPr>
    <w:rPr>
      <w:i/>
    </w:rPr>
  </w:style>
  <w:style w:type="paragraph" w:customStyle="1" w:styleId="MiniTOCTitle">
    <w:name w:val="MiniTOCTitle"/>
    <w:basedOn w:val="Heading4"/>
    <w:rsid w:val="00B21BF2"/>
    <w:pPr>
      <w:spacing w:before="240"/>
      <w:outlineLvl w:val="9"/>
    </w:pPr>
    <w:rPr>
      <w:noProof/>
      <w:sz w:val="24"/>
    </w:rPr>
  </w:style>
  <w:style w:type="paragraph" w:customStyle="1" w:styleId="MiniTOCItem">
    <w:name w:val="MiniTOCItem"/>
    <w:basedOn w:val="ListBullet"/>
    <w:rsid w:val="00B21BF2"/>
    <w:pPr>
      <w:numPr>
        <w:numId w:val="0"/>
      </w:numPr>
      <w:tabs>
        <w:tab w:val="right" w:leader="dot" w:pos="6521"/>
      </w:tabs>
      <w:spacing w:before="0" w:after="0"/>
    </w:pPr>
  </w:style>
  <w:style w:type="paragraph" w:customStyle="1" w:styleId="TOFTitle">
    <w:name w:val="TOFTitle"/>
    <w:basedOn w:val="TOCTitle"/>
    <w:rsid w:val="00B21BF2"/>
  </w:style>
  <w:style w:type="paragraph" w:styleId="TableofFigures">
    <w:name w:val="table of figures"/>
    <w:basedOn w:val="Normal"/>
    <w:next w:val="Normal"/>
    <w:semiHidden/>
    <w:rsid w:val="00B21BF2"/>
    <w:pPr>
      <w:tabs>
        <w:tab w:val="right" w:leader="dot" w:pos="9072"/>
      </w:tabs>
      <w:ind w:left="970" w:hanging="403"/>
    </w:pPr>
    <w:rPr>
      <w:rFonts w:ascii="Times New Roman" w:hAnsi="Times New Roman"/>
      <w:b/>
    </w:rPr>
  </w:style>
  <w:style w:type="paragraph" w:styleId="ListNumber">
    <w:name w:val="List Number"/>
    <w:basedOn w:val="List"/>
    <w:rsid w:val="00B21BF2"/>
    <w:pPr>
      <w:numPr>
        <w:numId w:val="11"/>
      </w:numPr>
    </w:pPr>
  </w:style>
  <w:style w:type="character" w:customStyle="1" w:styleId="WingdingSymbols">
    <w:name w:val="Wingding Symbols"/>
    <w:rsid w:val="00B21BF2"/>
    <w:rPr>
      <w:rFonts w:ascii="Wingdings" w:hAnsi="Wingdings"/>
    </w:rPr>
  </w:style>
  <w:style w:type="paragraph" w:customStyle="1" w:styleId="TableHeading">
    <w:name w:val="Table Heading"/>
    <w:basedOn w:val="HeadingBase"/>
    <w:rsid w:val="00B21BF2"/>
    <w:pPr>
      <w:keepLines/>
      <w:pBdr>
        <w:bottom w:val="single" w:sz="6" w:space="1" w:color="918585"/>
      </w:pBdr>
      <w:spacing w:before="240"/>
    </w:pPr>
  </w:style>
  <w:style w:type="character" w:customStyle="1" w:styleId="HotSpot">
    <w:name w:val="HotSpot"/>
    <w:rsid w:val="00B21BF2"/>
    <w:rPr>
      <w:color w:val="0033CC"/>
      <w:u w:val="none"/>
    </w:rPr>
  </w:style>
  <w:style w:type="paragraph" w:customStyle="1" w:styleId="BodyTextRight">
    <w:name w:val="Body Text Right"/>
    <w:basedOn w:val="BodyText"/>
    <w:rsid w:val="00B21BF2"/>
    <w:pPr>
      <w:spacing w:before="0" w:after="0"/>
      <w:jc w:val="right"/>
    </w:pPr>
  </w:style>
  <w:style w:type="paragraph" w:styleId="Index3">
    <w:name w:val="index 3"/>
    <w:basedOn w:val="ListNumber2"/>
    <w:next w:val="Normal"/>
    <w:semiHidden/>
    <w:rsid w:val="00B21BF2"/>
    <w:pPr>
      <w:numPr>
        <w:numId w:val="0"/>
      </w:numPr>
      <w:tabs>
        <w:tab w:val="right" w:leader="dot" w:pos="4176"/>
      </w:tabs>
    </w:pPr>
  </w:style>
  <w:style w:type="paragraph" w:styleId="ListNumber2">
    <w:name w:val="List Number 2"/>
    <w:basedOn w:val="List2"/>
    <w:rsid w:val="00B21BF2"/>
    <w:pPr>
      <w:numPr>
        <w:numId w:val="10"/>
      </w:numPr>
      <w:tabs>
        <w:tab w:val="clear" w:pos="1060"/>
      </w:tabs>
    </w:pPr>
  </w:style>
  <w:style w:type="paragraph" w:customStyle="1" w:styleId="MarginNote">
    <w:name w:val="Margin Note"/>
    <w:basedOn w:val="BodyText"/>
    <w:rsid w:val="00B21B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1B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21B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1BF2"/>
    <w:rPr>
      <w:sz w:val="32"/>
    </w:rPr>
  </w:style>
  <w:style w:type="paragraph" w:customStyle="1" w:styleId="HeadingProcedure">
    <w:name w:val="Heading Procedure"/>
    <w:basedOn w:val="HeadingBase"/>
    <w:next w:val="Normal"/>
    <w:rsid w:val="00B21BF2"/>
    <w:pPr>
      <w:tabs>
        <w:tab w:val="left" w:pos="0"/>
      </w:tabs>
      <w:spacing w:before="120" w:after="60"/>
    </w:pPr>
    <w:rPr>
      <w:i/>
      <w:color w:val="918585"/>
      <w:sz w:val="22"/>
    </w:rPr>
  </w:style>
  <w:style w:type="paragraph" w:customStyle="1" w:styleId="TableBodyText">
    <w:name w:val="Table Body Text"/>
    <w:basedOn w:val="BodyText"/>
    <w:rsid w:val="00B21BF2"/>
    <w:pPr>
      <w:spacing w:before="60" w:after="60"/>
    </w:pPr>
  </w:style>
  <w:style w:type="paragraph" w:styleId="ListContinue">
    <w:name w:val="List Continue"/>
    <w:basedOn w:val="List"/>
    <w:rsid w:val="00B21BF2"/>
    <w:pPr>
      <w:ind w:firstLine="0"/>
    </w:pPr>
  </w:style>
  <w:style w:type="paragraph" w:customStyle="1" w:styleId="ListNote">
    <w:name w:val="List Note"/>
    <w:basedOn w:val="List"/>
    <w:rsid w:val="00B21BF2"/>
    <w:pPr>
      <w:pBdr>
        <w:top w:val="single" w:sz="6" w:space="2" w:color="918585"/>
        <w:bottom w:val="single" w:sz="6" w:space="2" w:color="918585"/>
      </w:pBdr>
      <w:tabs>
        <w:tab w:val="left" w:pos="1021"/>
      </w:tabs>
      <w:ind w:firstLine="0"/>
    </w:pPr>
  </w:style>
  <w:style w:type="paragraph" w:customStyle="1" w:styleId="Warning">
    <w:name w:val="Warning"/>
    <w:basedOn w:val="BodyText"/>
    <w:rsid w:val="00B21BF2"/>
    <w:pPr>
      <w:shd w:val="clear" w:color="auto" w:fill="D9D9D9"/>
      <w:tabs>
        <w:tab w:val="left" w:pos="992"/>
      </w:tabs>
      <w:ind w:left="119" w:right="119"/>
    </w:pPr>
    <w:rPr>
      <w:sz w:val="20"/>
    </w:rPr>
  </w:style>
  <w:style w:type="paragraph" w:customStyle="1" w:styleId="MarginIcons">
    <w:name w:val="Margin Icons"/>
    <w:basedOn w:val="BodyText"/>
    <w:rsid w:val="00B21BF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21BF2"/>
    <w:rPr>
      <w:rFonts w:ascii="Courier New" w:hAnsi="Courier New"/>
    </w:rPr>
  </w:style>
  <w:style w:type="paragraph" w:customStyle="1" w:styleId="NoteBullet">
    <w:name w:val="Note Bullet"/>
    <w:basedOn w:val="Note"/>
    <w:rsid w:val="00B21BF2"/>
    <w:pPr>
      <w:tabs>
        <w:tab w:val="clear" w:pos="680"/>
      </w:tabs>
      <w:spacing w:before="60" w:after="60"/>
    </w:pPr>
  </w:style>
  <w:style w:type="paragraph" w:customStyle="1" w:styleId="SubHeading2">
    <w:name w:val="SubHeading2"/>
    <w:basedOn w:val="HeadingBase"/>
    <w:rsid w:val="00B21BF2"/>
    <w:pPr>
      <w:spacing w:before="240" w:after="60"/>
    </w:pPr>
    <w:rPr>
      <w:sz w:val="20"/>
    </w:rPr>
  </w:style>
  <w:style w:type="paragraph" w:customStyle="1" w:styleId="SubHeading1">
    <w:name w:val="SubHeading1"/>
    <w:basedOn w:val="HeadingBase"/>
    <w:rsid w:val="00B21BF2"/>
    <w:pPr>
      <w:spacing w:before="240" w:after="60"/>
    </w:pPr>
    <w:rPr>
      <w:color w:val="918585"/>
      <w:sz w:val="22"/>
    </w:rPr>
  </w:style>
  <w:style w:type="paragraph" w:customStyle="1" w:styleId="SideHeading">
    <w:name w:val="Side Heading"/>
    <w:basedOn w:val="HeadingBase"/>
    <w:rsid w:val="00B21B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1BF2"/>
    <w:pPr>
      <w:numPr>
        <w:numId w:val="12"/>
      </w:numPr>
    </w:pPr>
  </w:style>
  <w:style w:type="paragraph" w:styleId="PlainText">
    <w:name w:val="Plain Text"/>
    <w:basedOn w:val="Normal"/>
    <w:link w:val="PlainTextChar"/>
    <w:rsid w:val="00B21BF2"/>
    <w:rPr>
      <w:sz w:val="20"/>
    </w:rPr>
  </w:style>
  <w:style w:type="character" w:customStyle="1" w:styleId="PlainTextChar">
    <w:name w:val="Plain Text Char"/>
    <w:basedOn w:val="DefaultParagraphFont"/>
    <w:link w:val="PlainText"/>
    <w:rsid w:val="00B21BF2"/>
    <w:rPr>
      <w:rFonts w:ascii="Courier New" w:eastAsia="Times New Roman" w:hAnsi="Courier New" w:cs="Times New Roman"/>
      <w:sz w:val="20"/>
      <w:szCs w:val="20"/>
      <w:lang w:val="en-US" w:eastAsia="en-US"/>
    </w:rPr>
  </w:style>
  <w:style w:type="character" w:customStyle="1" w:styleId="MenuOption">
    <w:name w:val="Menu Option"/>
    <w:rsid w:val="00B21BF2"/>
    <w:rPr>
      <w:b/>
      <w:smallCaps/>
    </w:rPr>
  </w:style>
  <w:style w:type="paragraph" w:customStyle="1" w:styleId="TableListNumber">
    <w:name w:val="Table List Number"/>
    <w:basedOn w:val="ListNumber"/>
    <w:rsid w:val="00B21BF2"/>
    <w:pPr>
      <w:numPr>
        <w:numId w:val="0"/>
      </w:numPr>
    </w:pPr>
  </w:style>
  <w:style w:type="paragraph" w:styleId="TOC4">
    <w:name w:val="toc 4"/>
    <w:basedOn w:val="TOCBase"/>
    <w:next w:val="Normal"/>
    <w:semiHidden/>
    <w:rsid w:val="00B21BF2"/>
    <w:pPr>
      <w:tabs>
        <w:tab w:val="right" w:leader="dot" w:pos="9071"/>
      </w:tabs>
      <w:ind w:left="1701"/>
    </w:pPr>
  </w:style>
  <w:style w:type="paragraph" w:customStyle="1" w:styleId="ListAlpha">
    <w:name w:val="List Alpha"/>
    <w:basedOn w:val="List"/>
    <w:rsid w:val="00B21BF2"/>
    <w:pPr>
      <w:numPr>
        <w:numId w:val="9"/>
      </w:numPr>
    </w:pPr>
  </w:style>
  <w:style w:type="paragraph" w:customStyle="1" w:styleId="ListAlpha2">
    <w:name w:val="List Alpha 2"/>
    <w:basedOn w:val="List2"/>
    <w:rsid w:val="00B21BF2"/>
    <w:pPr>
      <w:numPr>
        <w:numId w:val="8"/>
      </w:numPr>
    </w:pPr>
  </w:style>
  <w:style w:type="paragraph" w:styleId="List3">
    <w:name w:val="List 3"/>
    <w:basedOn w:val="BodyText"/>
    <w:rsid w:val="00B21BF2"/>
    <w:pPr>
      <w:tabs>
        <w:tab w:val="left" w:pos="1021"/>
      </w:tabs>
      <w:spacing w:before="60" w:after="60"/>
      <w:ind w:left="1020" w:hanging="340"/>
    </w:pPr>
  </w:style>
  <w:style w:type="paragraph" w:styleId="List4">
    <w:name w:val="List 4"/>
    <w:basedOn w:val="BodyText"/>
    <w:rsid w:val="00B21BF2"/>
    <w:pPr>
      <w:tabs>
        <w:tab w:val="left" w:pos="1361"/>
      </w:tabs>
      <w:spacing w:before="60" w:after="60"/>
      <w:ind w:left="1361" w:hanging="340"/>
    </w:pPr>
  </w:style>
  <w:style w:type="paragraph" w:styleId="List5">
    <w:name w:val="List 5"/>
    <w:basedOn w:val="BodyText"/>
    <w:rsid w:val="00B21BF2"/>
    <w:pPr>
      <w:tabs>
        <w:tab w:val="left" w:pos="1701"/>
      </w:tabs>
      <w:spacing w:before="60" w:after="60"/>
      <w:ind w:left="1701" w:hanging="340"/>
    </w:pPr>
  </w:style>
  <w:style w:type="paragraph" w:styleId="ListBullet3">
    <w:name w:val="List Bullet 3"/>
    <w:basedOn w:val="List3"/>
    <w:rsid w:val="00B21BF2"/>
    <w:pPr>
      <w:numPr>
        <w:numId w:val="15"/>
      </w:numPr>
      <w:tabs>
        <w:tab w:val="clear" w:pos="1021"/>
      </w:tabs>
      <w:ind w:left="1037" w:hanging="357"/>
    </w:pPr>
  </w:style>
  <w:style w:type="paragraph" w:styleId="ListBullet4">
    <w:name w:val="List Bullet 4"/>
    <w:basedOn w:val="List4"/>
    <w:rsid w:val="00B21BF2"/>
    <w:pPr>
      <w:numPr>
        <w:numId w:val="3"/>
      </w:numPr>
    </w:pPr>
  </w:style>
  <w:style w:type="paragraph" w:styleId="ListBullet5">
    <w:name w:val="List Bullet 5"/>
    <w:basedOn w:val="List5"/>
    <w:rsid w:val="00B21BF2"/>
    <w:pPr>
      <w:numPr>
        <w:numId w:val="4"/>
      </w:numPr>
    </w:pPr>
  </w:style>
  <w:style w:type="paragraph" w:styleId="ListContinue2">
    <w:name w:val="List Continue 2"/>
    <w:basedOn w:val="List2"/>
    <w:rsid w:val="00B21BF2"/>
    <w:pPr>
      <w:ind w:firstLine="0"/>
    </w:pPr>
  </w:style>
  <w:style w:type="paragraph" w:styleId="ListContinue3">
    <w:name w:val="List Continue 3"/>
    <w:basedOn w:val="List3"/>
    <w:rsid w:val="00B21BF2"/>
    <w:pPr>
      <w:ind w:left="1021" w:firstLine="0"/>
    </w:pPr>
  </w:style>
  <w:style w:type="paragraph" w:styleId="ListContinue4">
    <w:name w:val="List Continue 4"/>
    <w:basedOn w:val="List4"/>
    <w:rsid w:val="00B21BF2"/>
    <w:pPr>
      <w:ind w:firstLine="0"/>
    </w:pPr>
  </w:style>
  <w:style w:type="paragraph" w:styleId="ListContinue5">
    <w:name w:val="List Continue 5"/>
    <w:basedOn w:val="List5"/>
    <w:rsid w:val="00B21BF2"/>
    <w:pPr>
      <w:ind w:firstLine="0"/>
    </w:pPr>
  </w:style>
  <w:style w:type="paragraph" w:styleId="ListNumber3">
    <w:name w:val="List Number 3"/>
    <w:basedOn w:val="List3"/>
    <w:rsid w:val="00B21BF2"/>
    <w:pPr>
      <w:numPr>
        <w:numId w:val="5"/>
      </w:numPr>
    </w:pPr>
  </w:style>
  <w:style w:type="paragraph" w:styleId="ListNumber4">
    <w:name w:val="List Number 4"/>
    <w:basedOn w:val="List4"/>
    <w:rsid w:val="00B21BF2"/>
    <w:pPr>
      <w:numPr>
        <w:numId w:val="6"/>
      </w:numPr>
    </w:pPr>
  </w:style>
  <w:style w:type="paragraph" w:styleId="ListNumber5">
    <w:name w:val="List Number 5"/>
    <w:basedOn w:val="List5"/>
    <w:rsid w:val="00B21BF2"/>
    <w:pPr>
      <w:numPr>
        <w:numId w:val="7"/>
      </w:numPr>
    </w:pPr>
  </w:style>
  <w:style w:type="paragraph" w:styleId="BlockText">
    <w:name w:val="Block Text"/>
    <w:basedOn w:val="Normal"/>
    <w:rsid w:val="00B21BF2"/>
    <w:pPr>
      <w:spacing w:after="120"/>
      <w:ind w:left="1440" w:right="1440"/>
    </w:pPr>
  </w:style>
  <w:style w:type="character" w:customStyle="1" w:styleId="Subscript">
    <w:name w:val="Subscript"/>
    <w:rsid w:val="00B21BF2"/>
    <w:rPr>
      <w:sz w:val="16"/>
      <w:vertAlign w:val="subscript"/>
    </w:rPr>
  </w:style>
  <w:style w:type="character" w:customStyle="1" w:styleId="Superscript">
    <w:name w:val="Superscript"/>
    <w:rsid w:val="00B21BF2"/>
    <w:rPr>
      <w:sz w:val="16"/>
      <w:vertAlign w:val="superscript"/>
    </w:rPr>
  </w:style>
  <w:style w:type="character" w:customStyle="1" w:styleId="Symbols">
    <w:name w:val="Symbols"/>
    <w:rsid w:val="00B21BF2"/>
    <w:rPr>
      <w:rFonts w:ascii="Symbol" w:hAnsi="Symbol"/>
    </w:rPr>
  </w:style>
  <w:style w:type="character" w:customStyle="1" w:styleId="MenuOptions">
    <w:name w:val="Menu Options"/>
    <w:rsid w:val="00B21BF2"/>
    <w:rPr>
      <w:rFonts w:ascii="Arial Narrow" w:hAnsi="Arial Narrow"/>
      <w:smallCaps/>
    </w:rPr>
  </w:style>
  <w:style w:type="character" w:customStyle="1" w:styleId="Buttons">
    <w:name w:val="Buttons"/>
    <w:rsid w:val="00B21BF2"/>
    <w:rPr>
      <w:b/>
    </w:rPr>
  </w:style>
  <w:style w:type="character" w:customStyle="1" w:styleId="Underlined">
    <w:name w:val="Underlined"/>
    <w:rsid w:val="00B21BF2"/>
    <w:rPr>
      <w:u w:val="single"/>
    </w:rPr>
  </w:style>
  <w:style w:type="paragraph" w:customStyle="1" w:styleId="TableBodyTextRight">
    <w:name w:val="Table Body Text Right"/>
    <w:basedOn w:val="TableBodyText"/>
    <w:rsid w:val="00B21BF2"/>
    <w:pPr>
      <w:widowControl w:val="0"/>
      <w:autoSpaceDE w:val="0"/>
      <w:autoSpaceDN w:val="0"/>
      <w:adjustRightInd w:val="0"/>
      <w:jc w:val="right"/>
    </w:pPr>
    <w:rPr>
      <w:rFonts w:cs="Arial"/>
      <w:szCs w:val="18"/>
    </w:rPr>
  </w:style>
  <w:style w:type="paragraph" w:customStyle="1" w:styleId="CopyrightText">
    <w:name w:val="Copyright Text"/>
    <w:basedOn w:val="BodyText"/>
    <w:rsid w:val="00B21BF2"/>
    <w:rPr>
      <w:sz w:val="18"/>
    </w:rPr>
  </w:style>
  <w:style w:type="paragraph" w:customStyle="1" w:styleId="BodySmallRight">
    <w:name w:val="Body Small Right"/>
    <w:basedOn w:val="BodyTextRight"/>
    <w:rsid w:val="00B21BF2"/>
    <w:rPr>
      <w:sz w:val="18"/>
      <w:szCs w:val="18"/>
    </w:rPr>
  </w:style>
  <w:style w:type="paragraph" w:customStyle="1" w:styleId="MarginEdition">
    <w:name w:val="Margin Edition"/>
    <w:basedOn w:val="MarginNote"/>
    <w:rsid w:val="00B21BF2"/>
    <w:pPr>
      <w:spacing w:before="0" w:after="0"/>
    </w:pPr>
    <w:rPr>
      <w:rFonts w:ascii="Times New Roman" w:hAnsi="Times New Roman"/>
      <w:color w:val="999999"/>
    </w:rPr>
  </w:style>
  <w:style w:type="paragraph" w:customStyle="1" w:styleId="Spacer">
    <w:name w:val="Spacer"/>
    <w:basedOn w:val="Normal"/>
    <w:rsid w:val="00B21BF2"/>
    <w:rPr>
      <w:sz w:val="2"/>
      <w:szCs w:val="2"/>
    </w:rPr>
  </w:style>
  <w:style w:type="character" w:customStyle="1" w:styleId="Small">
    <w:name w:val="Small"/>
    <w:rsid w:val="00B21BF2"/>
    <w:rPr>
      <w:sz w:val="16"/>
    </w:rPr>
  </w:style>
  <w:style w:type="paragraph" w:customStyle="1" w:styleId="WideTable">
    <w:name w:val="Wide Table"/>
    <w:basedOn w:val="Normal"/>
    <w:rsid w:val="00B21BF2"/>
    <w:pPr>
      <w:ind w:left="-1418"/>
    </w:pPr>
    <w:rPr>
      <w:sz w:val="2"/>
      <w:szCs w:val="2"/>
    </w:rPr>
  </w:style>
  <w:style w:type="character" w:styleId="PageNumber">
    <w:name w:val="page number"/>
    <w:rsid w:val="00B21BF2"/>
  </w:style>
  <w:style w:type="paragraph" w:styleId="Quote">
    <w:name w:val="Quote"/>
    <w:basedOn w:val="Heading1"/>
    <w:link w:val="QuoteChar"/>
    <w:qFormat/>
    <w:rsid w:val="00B21BF2"/>
    <w:rPr>
      <w:b w:val="0"/>
      <w:sz w:val="72"/>
      <w:szCs w:val="72"/>
      <w:lang w:val="en-NZ"/>
    </w:rPr>
  </w:style>
  <w:style w:type="character" w:customStyle="1" w:styleId="QuoteChar">
    <w:name w:val="Quote Char"/>
    <w:link w:val="Quote"/>
    <w:rsid w:val="00B21B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1BF2"/>
    <w:pPr>
      <w:pageBreakBefore/>
    </w:pPr>
  </w:style>
  <w:style w:type="paragraph" w:customStyle="1" w:styleId="Border">
    <w:name w:val="Border"/>
    <w:basedOn w:val="Normal"/>
    <w:qFormat/>
    <w:rsid w:val="00B21BF2"/>
    <w:pPr>
      <w:pBdr>
        <w:top w:val="single" w:sz="18" w:space="1" w:color="auto"/>
      </w:pBdr>
    </w:pPr>
    <w:rPr>
      <w:rFonts w:ascii="Times New Roman" w:hAnsi="Times New Roman"/>
      <w:color w:val="FFFFFF"/>
      <w:sz w:val="2"/>
    </w:rPr>
  </w:style>
  <w:style w:type="character" w:styleId="IntenseEmphasis">
    <w:name w:val="Intense Emphasis"/>
    <w:uiPriority w:val="21"/>
    <w:qFormat/>
    <w:rsid w:val="00B21BF2"/>
    <w:rPr>
      <w:b/>
      <w:bCs/>
      <w:i/>
      <w:iCs/>
      <w:color w:val="auto"/>
    </w:rPr>
  </w:style>
  <w:style w:type="paragraph" w:styleId="IntenseQuote">
    <w:name w:val="Intense Quote"/>
    <w:basedOn w:val="Normal"/>
    <w:next w:val="Normal"/>
    <w:link w:val="IntenseQuoteChar"/>
    <w:uiPriority w:val="30"/>
    <w:qFormat/>
    <w:rsid w:val="00B21BF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21BF2"/>
    <w:rPr>
      <w:rFonts w:ascii="Courier New" w:eastAsia="Times New Roman" w:hAnsi="Courier New" w:cs="Times New Roman"/>
      <w:b/>
      <w:bCs/>
      <w:i/>
      <w:iCs/>
      <w:szCs w:val="20"/>
      <w:lang w:val="en-US" w:eastAsia="en-US"/>
    </w:rPr>
  </w:style>
  <w:style w:type="character" w:styleId="SubtleReference">
    <w:name w:val="Subtle Reference"/>
    <w:uiPriority w:val="31"/>
    <w:qFormat/>
    <w:rsid w:val="00B21BF2"/>
    <w:rPr>
      <w:smallCaps/>
      <w:color w:val="auto"/>
      <w:u w:val="single"/>
    </w:rPr>
  </w:style>
  <w:style w:type="character" w:styleId="IntenseReference">
    <w:name w:val="Intense Reference"/>
    <w:uiPriority w:val="32"/>
    <w:qFormat/>
    <w:rsid w:val="00B21BF2"/>
    <w:rPr>
      <w:b/>
      <w:bCs/>
      <w:smallCaps/>
      <w:color w:val="auto"/>
      <w:spacing w:val="5"/>
      <w:u w:val="single"/>
    </w:rPr>
  </w:style>
  <w:style w:type="paragraph" w:customStyle="1" w:styleId="2ColumnHeading">
    <w:name w:val="2Column Heading"/>
    <w:basedOn w:val="BodyText"/>
    <w:qFormat/>
    <w:rsid w:val="00B21BF2"/>
    <w:pPr>
      <w:spacing w:after="60"/>
      <w:ind w:left="-2268"/>
    </w:pPr>
    <w:rPr>
      <w:b/>
    </w:rPr>
  </w:style>
  <w:style w:type="paragraph" w:customStyle="1" w:styleId="Heading1TOC">
    <w:name w:val="Heading1 TOC"/>
    <w:basedOn w:val="Normal"/>
    <w:qFormat/>
    <w:rsid w:val="00B21BF2"/>
    <w:pPr>
      <w:spacing w:before="240" w:after="120"/>
    </w:pPr>
    <w:rPr>
      <w:rFonts w:ascii="Times New Roman" w:hAnsi="Times New Roman"/>
      <w:b/>
      <w:sz w:val="32"/>
    </w:rPr>
  </w:style>
  <w:style w:type="paragraph" w:customStyle="1" w:styleId="Heading2TOC">
    <w:name w:val="Heading2 TOC"/>
    <w:basedOn w:val="Normal"/>
    <w:qFormat/>
    <w:rsid w:val="00B21BF2"/>
    <w:pPr>
      <w:spacing w:before="240" w:after="60"/>
    </w:pPr>
    <w:rPr>
      <w:rFonts w:ascii="Times New Roman" w:hAnsi="Times New Roman"/>
      <w:b/>
      <w:sz w:val="28"/>
    </w:rPr>
  </w:style>
  <w:style w:type="character" w:customStyle="1" w:styleId="Underline">
    <w:name w:val="Underline"/>
    <w:qFormat/>
    <w:rsid w:val="00B21BF2"/>
    <w:rPr>
      <w:u w:val="single"/>
    </w:rPr>
  </w:style>
  <w:style w:type="paragraph" w:styleId="BalloonText">
    <w:name w:val="Balloon Text"/>
    <w:basedOn w:val="Normal"/>
    <w:link w:val="BalloonTextChar"/>
    <w:rsid w:val="00B21BF2"/>
    <w:rPr>
      <w:rFonts w:ascii="Tahoma" w:hAnsi="Tahoma" w:cs="Tahoma"/>
      <w:sz w:val="16"/>
      <w:szCs w:val="16"/>
    </w:rPr>
  </w:style>
  <w:style w:type="character" w:customStyle="1" w:styleId="BalloonTextChar">
    <w:name w:val="Balloon Text Char"/>
    <w:link w:val="BalloonText"/>
    <w:rsid w:val="00B21B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1BF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21BF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1360</Words>
  <Characters>9030</Characters>
  <Application>Microsoft Office Word</Application>
  <DocSecurity>0</DocSecurity>
  <Lines>358</Lines>
  <Paragraphs>196</Paragraphs>
  <ScaleCrop>false</ScaleCrop>
  <Company>Author-it Software Corporation Ltd.</Company>
  <LinksUpToDate>false</LinksUpToDate>
  <CharactersWithSpaces>10311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FNSCNV503A Analyse and interpret legal requirements for a transaction</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2012-05-26T16:14:00Z</dcterms:created>
  <dcterms:modified xsi:type="dcterms:W3CDTF">2012-05-26T16:14:00Z</dcterms:modified>
</cp:coreProperties>
</file>