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09B3" w:rsidP="007E09B3">
      <w:pPr>
        <w:pStyle w:val="Title"/>
      </w:pPr>
      <w:r>
        <w:fldChar w:fldCharType="begin"/>
      </w:r>
      <w:r>
        <w:instrText xml:space="preserve"> TITLE   \* MERGEFORMAT </w:instrText>
      </w:r>
      <w:r>
        <w:fldChar w:fldCharType="separate"/>
      </w:r>
      <w:r>
        <w:t>FNSCMP501A Comply with financial services legislation</w:t>
      </w:r>
      <w:r>
        <w:fldChar w:fldCharType="end"/>
      </w:r>
    </w:p>
    <w:p w:rsidR="007E09B3" w:rsidP="007E09B3">
      <w:pPr>
        <w:pStyle w:val="Version"/>
        <w:sectPr w:rsidSect="00602CB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2CBE" w:rsidP="00602CBE">
      <w:pPr>
        <w:pStyle w:val="SuperHeading"/>
      </w:pPr>
      <w:r w:rsidRPr="00602CBE">
        <w:t>FNSCMP501A Comply with financial services legislation</w:t>
      </w:r>
    </w:p>
    <w:p w:rsidR="00000000" w:rsidRPr="00602CBE" w:rsidP="00602CBE">
      <w:pPr>
        <w:pStyle w:val="Heading1"/>
      </w:pPr>
      <w:bookmarkStart w:id="1" w:name="O_418072"/>
      <w:bookmarkEnd w:id="1"/>
      <w:r w:rsidRPr="00602CBE">
        <w:t>Modification History</w:t>
      </w:r>
    </w:p>
    <w:tbl>
      <w:tblPr>
        <w:tblW w:w="0" w:type="auto"/>
        <w:tblLayout w:type="fixed"/>
        <w:tblCellMar>
          <w:left w:w="62" w:type="dxa"/>
          <w:right w:w="62" w:type="dxa"/>
        </w:tblCellMar>
        <w:tblLook w:val="0000"/>
      </w:tblPr>
      <w:tblGrid>
        <w:gridCol w:w="3105"/>
        <w:gridCol w:w="5775"/>
      </w:tblGrid>
      <w:tr w:rsidTr="00602CBE">
        <w:tblPrEx>
          <w:tblW w:w="0" w:type="auto"/>
          <w:tblLayout w:type="fixed"/>
          <w:tblCellMar>
            <w:left w:w="62" w:type="dxa"/>
            <w:right w:w="62" w:type="dxa"/>
          </w:tblCellMar>
          <w:tblLook w:val="0000"/>
        </w:tblPrEx>
        <w:tc>
          <w:tcPr>
            <w:tcW w:w="31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2CBE" w:rsidP="00602CBE">
            <w:pPr>
              <w:pStyle w:val="BodyText"/>
            </w:pPr>
            <w:r w:rsidRPr="00602CBE">
              <w:rPr>
                <w:rStyle w:val="SpecialBold"/>
              </w:rPr>
              <w:t>Release</w:t>
            </w:r>
          </w:p>
        </w:tc>
        <w:tc>
          <w:tcPr>
            <w:tcW w:w="57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2CBE">
            <w:pPr>
              <w:pStyle w:val="BodyText"/>
              <w:rPr>
                <w:lang w:val="en-NZ"/>
              </w:rPr>
            </w:pPr>
            <w:r w:rsidRPr="00602CBE">
              <w:rPr>
                <w:rStyle w:val="SpecialBold"/>
              </w:rPr>
              <w:t>Comments</w:t>
            </w:r>
          </w:p>
        </w:tc>
      </w:tr>
      <w:tr w:rsidTr="00602CBE">
        <w:tblPrEx>
          <w:tblW w:w="0" w:type="auto"/>
          <w:tblLayout w:type="fixed"/>
          <w:tblCellMar>
            <w:left w:w="62" w:type="dxa"/>
            <w:right w:w="62" w:type="dxa"/>
          </w:tblCellMar>
          <w:tblLook w:val="0000"/>
        </w:tblPrEx>
        <w:tc>
          <w:tcPr>
            <w:tcW w:w="31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2CBE">
            <w:pPr>
              <w:pStyle w:val="BodyText"/>
              <w:rPr>
                <w:lang w:val="en-NZ"/>
              </w:rPr>
            </w:pPr>
            <w:r w:rsidRPr="00602CBE">
              <w:t>Release 1</w:t>
            </w:r>
          </w:p>
        </w:tc>
        <w:tc>
          <w:tcPr>
            <w:tcW w:w="57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2CBE" w:rsidP="00602CBE">
            <w:pPr>
              <w:pStyle w:val="BodyText"/>
            </w:pPr>
            <w:r w:rsidRPr="00602CBE">
              <w:t xml:space="preserve">This Unit of Competency first released with </w:t>
            </w:r>
            <w:r w:rsidRPr="00602CBE">
              <w:rPr>
                <w:rStyle w:val="Emphasis"/>
              </w:rPr>
              <w:t>FNS10 Financial Services Training Package version 3.0</w:t>
            </w:r>
            <w:r w:rsidRPr="00602CBE">
              <w:t>.</w:t>
            </w:r>
          </w:p>
          <w:p w:rsidR="00000000" w:rsidRPr="00602CBE" w:rsidP="00602CBE">
            <w:pPr>
              <w:pStyle w:val="BodyText"/>
            </w:pPr>
            <w:r w:rsidRPr="00602CBE">
              <w:t>Unit migrated from FNS04. Critical aspects for assessment and evidence more clearly articulated.</w:t>
            </w:r>
          </w:p>
          <w:p w:rsidR="00000000" w:rsidRPr="00602CBE" w:rsidP="00602CBE">
            <w:pPr>
              <w:pStyle w:val="BodyText"/>
            </w:pPr>
            <w:r w:rsidRPr="00602CBE">
              <w:t>Replaces FNSCOMP501B Comply with financial services legislation, industry and professional codes of practice.</w:t>
            </w:r>
          </w:p>
        </w:tc>
      </w:tr>
    </w:tbl>
    <w:p w:rsidR="00000000" w:rsidRPr="00602CBE" w:rsidP="00602CBE">
      <w:pPr>
        <w:pStyle w:val="BodyText"/>
      </w:pPr>
    </w:p>
    <w:p w:rsidR="00000000" w:rsidRPr="00602CBE" w:rsidP="00602CBE">
      <w:pPr>
        <w:pStyle w:val="AllowPageBreak"/>
      </w:pPr>
    </w:p>
    <w:p w:rsidR="00000000" w:rsidRPr="00602CBE" w:rsidP="00602CBE">
      <w:pPr>
        <w:pStyle w:val="Heading1"/>
      </w:pPr>
      <w:bookmarkStart w:id="2" w:name="O_418073"/>
      <w:bookmarkEnd w:id="2"/>
      <w:r w:rsidRPr="00602CBE">
        <w:t>Unit Descriptor</w:t>
      </w:r>
    </w:p>
    <w:p w:rsidR="00000000" w:rsidRPr="00602CBE" w:rsidP="00602CBE">
      <w:pPr>
        <w:pStyle w:val="BodyText"/>
      </w:pPr>
      <w:r w:rsidRPr="00602CBE">
        <w:t>This unit desc</w:t>
      </w:r>
      <w:r w:rsidRPr="00602CBE">
        <w:t>ribes the functions involved with ensuring compliance with financial laws, regulations, ethics and industry codes of practice on an organisational level.</w:t>
      </w:r>
    </w:p>
    <w:p w:rsidR="00000000" w:rsidRPr="00602CBE" w:rsidP="00602CBE">
      <w:pPr>
        <w:pStyle w:val="AllowPageBreak"/>
      </w:pPr>
    </w:p>
    <w:p w:rsidR="00000000" w:rsidRPr="00602CBE" w:rsidP="00602CBE">
      <w:pPr>
        <w:pStyle w:val="Heading1"/>
      </w:pPr>
      <w:bookmarkStart w:id="3" w:name="O_418074"/>
      <w:bookmarkEnd w:id="3"/>
      <w:r w:rsidRPr="00602CBE">
        <w:t>Application of the Unit</w:t>
      </w:r>
    </w:p>
    <w:p w:rsidR="007E09B3" w:rsidP="00602CBE">
      <w:pPr>
        <w:pStyle w:val="BodyText"/>
      </w:pPr>
      <w:r w:rsidRPr="00602CBE">
        <w:t>This unit requires the application of skills and knowledge required to comply with relevant provisions in legislation, regulation, codes of practice. The unit encompasses complying with operational aspects of laws, regulations, rules, circulars and company</w:t>
      </w:r>
      <w:r w:rsidRPr="00602CBE">
        <w:t xml:space="preserve"> policies and procedures, understanding changes and implications of laws, regulations, rules and circulars, complying with any relevant codes and maintaining statutory records.</w:t>
      </w:r>
    </w:p>
    <w:p w:rsidR="007E09B3" w:rsidP="00602CBE">
      <w:pPr>
        <w:pStyle w:val="BodyText"/>
      </w:pPr>
    </w:p>
    <w:p w:rsidR="00000000" w:rsidRPr="00602CBE" w:rsidP="00602CBE">
      <w:pPr>
        <w:pStyle w:val="Heading1"/>
      </w:pPr>
      <w:bookmarkStart w:id="4" w:name="O_418075"/>
      <w:bookmarkEnd w:id="4"/>
      <w:r w:rsidRPr="00602CBE">
        <w:t>Licensing/Regulatory Information</w:t>
      </w:r>
    </w:p>
    <w:p w:rsidR="00000000" w:rsidRPr="00602CBE" w:rsidP="00602CBE">
      <w:pPr>
        <w:pStyle w:val="BodyText"/>
      </w:pPr>
      <w:r w:rsidRPr="00602CBE">
        <w:t>No licensing, legislative, r</w:t>
      </w:r>
      <w:r w:rsidRPr="00602CBE">
        <w:t>egulatory or certification requirements apply to this unit at the time of publication.</w:t>
      </w:r>
    </w:p>
    <w:p w:rsidR="00000000" w:rsidRPr="00602CBE" w:rsidP="00602CBE">
      <w:pPr>
        <w:pStyle w:val="AllowPageBreak"/>
      </w:pPr>
    </w:p>
    <w:p w:rsidR="00000000" w:rsidRPr="00602CBE" w:rsidP="00602CBE">
      <w:pPr>
        <w:pStyle w:val="Heading1"/>
      </w:pPr>
      <w:bookmarkStart w:id="5" w:name="O_418076"/>
      <w:bookmarkEnd w:id="5"/>
      <w:r w:rsidRPr="00602CBE">
        <w:t>Pre-Requisites</w:t>
      </w:r>
    </w:p>
    <w:p w:rsidR="00000000" w:rsidRPr="00602CBE" w:rsidP="00602CBE">
      <w:pPr>
        <w:pStyle w:val="BodyText"/>
      </w:pPr>
      <w:r w:rsidRPr="00602CBE">
        <w:t>Not applicable.</w:t>
      </w:r>
    </w:p>
    <w:p w:rsidR="00000000" w:rsidRPr="00602CBE" w:rsidP="00602CBE">
      <w:pPr>
        <w:pStyle w:val="AllowPageBreak"/>
      </w:pPr>
    </w:p>
    <w:p w:rsidR="00000000" w:rsidRPr="00602CBE" w:rsidP="00602CBE">
      <w:pPr>
        <w:pStyle w:val="Heading1"/>
      </w:pPr>
      <w:bookmarkStart w:id="6" w:name="O_418077"/>
      <w:bookmarkEnd w:id="6"/>
      <w:r w:rsidRPr="00602CBE">
        <w:t>Employability Skills Information</w:t>
      </w:r>
    </w:p>
    <w:p w:rsidR="00000000" w:rsidRPr="00602CBE" w:rsidP="00602CBE">
      <w:pPr>
        <w:pStyle w:val="BodyText"/>
      </w:pPr>
      <w:r w:rsidRPr="00602CBE">
        <w:t>This unit contains employability skills.</w:t>
      </w:r>
    </w:p>
    <w:p w:rsidR="00000000" w:rsidRPr="00602CBE" w:rsidP="00602CBE">
      <w:pPr>
        <w:pStyle w:val="AllowPageBreak"/>
      </w:pPr>
    </w:p>
    <w:p w:rsidR="00000000" w:rsidRPr="00602CBE" w:rsidP="00602CBE">
      <w:pPr>
        <w:pStyle w:val="Heading1"/>
      </w:pPr>
      <w:bookmarkStart w:id="7" w:name="O_418078"/>
      <w:bookmarkEnd w:id="7"/>
      <w:r w:rsidRPr="00602CBE">
        <w:t>Elements and Performance Criteria Pre-Content</w:t>
      </w:r>
    </w:p>
    <w:tbl>
      <w:tblPr>
        <w:tblW w:w="0" w:type="auto"/>
        <w:tblLayout w:type="fixed"/>
        <w:tblCellMar>
          <w:left w:w="62" w:type="dxa"/>
          <w:right w:w="62" w:type="dxa"/>
        </w:tblCellMar>
        <w:tblLook w:val="0000"/>
      </w:tblPr>
      <w:tblGrid>
        <w:gridCol w:w="2505"/>
        <w:gridCol w:w="6375"/>
      </w:tblGrid>
      <w:tr w:rsidTr="00602CBE">
        <w:tblPrEx>
          <w:tblW w:w="0" w:type="auto"/>
          <w:tblLayout w:type="fixed"/>
          <w:tblCellMar>
            <w:left w:w="62" w:type="dxa"/>
            <w:right w:w="62" w:type="dxa"/>
          </w:tblCellMar>
          <w:tblLook w:val="0000"/>
        </w:tblPrEx>
        <w:trPr>
          <w:tblHeader/>
        </w:trPr>
        <w:tc>
          <w:tcPr>
            <w:tcW w:w="2505"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602CBE" w:rsidP="00602CBE">
            <w:pPr>
              <w:pStyle w:val="BodyText"/>
            </w:pPr>
            <w:r w:rsidRPr="00602CBE">
              <w:rPr>
                <w:rStyle w:val="SpecialBold"/>
              </w:rPr>
              <w:t>Element</w:t>
            </w:r>
          </w:p>
        </w:tc>
        <w:tc>
          <w:tcPr>
            <w:tcW w:w="6375"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602CBE">
            <w:pPr>
              <w:pStyle w:val="BodyText"/>
              <w:rPr>
                <w:lang w:val="en-NZ"/>
              </w:rPr>
            </w:pPr>
            <w:r w:rsidRPr="00602CBE">
              <w:rPr>
                <w:rStyle w:val="SpecialBold"/>
              </w:rPr>
              <w:t>Performance Criteria</w:t>
            </w:r>
          </w:p>
        </w:tc>
      </w:tr>
      <w:tr w:rsidTr="00602CBE">
        <w:tblPrEx>
          <w:tblW w:w="0" w:type="auto"/>
          <w:tblLayout w:type="fixed"/>
          <w:tblCellMar>
            <w:left w:w="62" w:type="dxa"/>
            <w:right w:w="62" w:type="dxa"/>
          </w:tblCellMar>
          <w:tblLook w:val="0000"/>
        </w:tblPrEx>
        <w:tc>
          <w:tcPr>
            <w:tcW w:w="2505"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602CBE" w:rsidP="00602CBE">
            <w:pPr>
              <w:pStyle w:val="BodyText"/>
            </w:pPr>
            <w:r w:rsidRPr="00602CBE">
              <w:rPr>
                <w:rStyle w:val="Emphasis"/>
              </w:rPr>
              <w:t>Elements describe the essential outcomes of a unit of competency.</w:t>
            </w:r>
          </w:p>
        </w:tc>
        <w:tc>
          <w:tcPr>
            <w:tcW w:w="6375"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602CBE" w:rsidP="00602CBE">
            <w:pPr>
              <w:pStyle w:val="BodyText"/>
            </w:pPr>
            <w:r w:rsidRPr="00602CBE">
              <w:rPr>
                <w:rStyle w:val="Emphasis"/>
              </w:rPr>
              <w:t>Performance criteria describe the performance needed to demonstrate achievement of the element. Where bold italici</w:t>
            </w:r>
            <w:r w:rsidRPr="00602CBE">
              <w:rPr>
                <w:rStyle w:val="Emphasis"/>
              </w:rPr>
              <w:t>sed text is used, further information is detailed in the required skills and knowledge section and the range statement. Assessment of performance is to be consistent with the evidence guide.</w:t>
            </w:r>
          </w:p>
        </w:tc>
      </w:tr>
    </w:tbl>
    <w:p w:rsidR="00000000" w:rsidRPr="00602CBE" w:rsidP="00602CBE">
      <w:pPr>
        <w:pStyle w:val="BodyText"/>
      </w:pPr>
    </w:p>
    <w:p w:rsidR="00000000" w:rsidRPr="00602CBE" w:rsidP="00602CBE">
      <w:pPr>
        <w:pStyle w:val="AllowPageBreak"/>
      </w:pPr>
    </w:p>
    <w:p w:rsidR="00000000" w:rsidRPr="00602CBE" w:rsidP="00602CBE">
      <w:pPr>
        <w:pStyle w:val="Heading1"/>
      </w:pPr>
      <w:bookmarkStart w:id="8" w:name="O_418079"/>
      <w:bookmarkEnd w:id="8"/>
      <w:r w:rsidRPr="00602CBE">
        <w:t>Elements and Performance Criteria</w:t>
      </w:r>
    </w:p>
    <w:tbl>
      <w:tblPr>
        <w:tblW w:w="0" w:type="auto"/>
        <w:tblLayout w:type="fixed"/>
        <w:tblCellMar>
          <w:left w:w="62" w:type="dxa"/>
          <w:right w:w="62" w:type="dxa"/>
        </w:tblCellMar>
        <w:tblLook w:val="0000"/>
      </w:tblPr>
      <w:tblGrid>
        <w:gridCol w:w="2516"/>
        <w:gridCol w:w="6364"/>
      </w:tblGrid>
      <w:tr w:rsidTr="00602CBE">
        <w:tblPrEx>
          <w:tblW w:w="0" w:type="auto"/>
          <w:tblLayout w:type="fixed"/>
          <w:tblCellMar>
            <w:left w:w="62" w:type="dxa"/>
            <w:right w:w="62" w:type="dxa"/>
          </w:tblCellMar>
          <w:tblLook w:val="0000"/>
        </w:tblPrEx>
        <w:tc>
          <w:tcPr>
            <w:tcW w:w="2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2CBE">
            <w:pPr>
              <w:pStyle w:val="BodyText"/>
              <w:rPr>
                <w:lang w:val="en-NZ"/>
              </w:rPr>
            </w:pPr>
            <w:r w:rsidRPr="00602CBE">
              <w:t xml:space="preserve">1. Identify </w:t>
            </w:r>
            <w:r w:rsidRPr="00602CBE">
              <w:t>and apply organisational requirements of legal principles and regulatory obligations</w:t>
            </w:r>
          </w:p>
        </w:tc>
        <w:tc>
          <w:tcPr>
            <w:tcW w:w="6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2CBE" w:rsidP="00602CBE">
            <w:pPr>
              <w:pStyle w:val="BodyText"/>
            </w:pPr>
            <w:r w:rsidRPr="00602CBE">
              <w:t xml:space="preserve">1.1 Source documents for </w:t>
            </w:r>
            <w:r w:rsidRPr="00602CBE">
              <w:rPr>
                <w:rStyle w:val="BoldandItalics"/>
              </w:rPr>
              <w:t>legislation, regulations and policies</w:t>
            </w:r>
            <w:r w:rsidRPr="00602CBE">
              <w:t xml:space="preserve"> relevant to the provision of financial products and services are sourced and accessed</w:t>
            </w:r>
          </w:p>
          <w:p w:rsidR="00000000" w:rsidRPr="00602CBE" w:rsidP="00602CBE">
            <w:pPr>
              <w:pStyle w:val="BodyText"/>
            </w:pPr>
            <w:r w:rsidRPr="00602CBE">
              <w:t>1.2 Key legal principl</w:t>
            </w:r>
            <w:r w:rsidRPr="00602CBE">
              <w:t>es and organisational implications relating to the provision of financial products and services are interpreted and analysed</w:t>
            </w:r>
          </w:p>
          <w:p w:rsidR="00000000" w:rsidRPr="00602CBE" w:rsidP="00602CBE">
            <w:pPr>
              <w:pStyle w:val="BodyText"/>
            </w:pPr>
            <w:r w:rsidRPr="00602CBE">
              <w:t xml:space="preserve">1.3 The </w:t>
            </w:r>
            <w:r w:rsidRPr="00602CBE">
              <w:rPr>
                <w:rStyle w:val="BoldandItalics"/>
              </w:rPr>
              <w:t>organisational requirements</w:t>
            </w:r>
            <w:r w:rsidRPr="00602CBE">
              <w:t xml:space="preserve"> of these documents and their impact on work practices are identified in terms of procedura</w:t>
            </w:r>
            <w:r w:rsidRPr="00602CBE">
              <w:t>l requirements</w:t>
            </w:r>
          </w:p>
          <w:p w:rsidR="00000000" w:rsidRPr="00602CBE" w:rsidP="00602CBE">
            <w:pPr>
              <w:pStyle w:val="BodyText"/>
            </w:pPr>
            <w:r w:rsidRPr="00602CBE">
              <w:t>1.4 Procedural requirements relating to operational aspects of laws and regulations and codes of practice are executed in line with organisational policy</w:t>
            </w:r>
          </w:p>
          <w:p w:rsidR="00000000" w:rsidRPr="00602CBE" w:rsidP="00602CBE">
            <w:pPr>
              <w:pStyle w:val="BodyText"/>
            </w:pPr>
            <w:r w:rsidRPr="00602CBE">
              <w:t>1.5 Role authorities and restrictions as identified in position profiles are complied w</w:t>
            </w:r>
            <w:r w:rsidRPr="00602CBE">
              <w:t>ith</w:t>
            </w:r>
          </w:p>
          <w:p w:rsidR="00000000" w:rsidRPr="00602CBE" w:rsidP="00602CBE">
            <w:pPr>
              <w:pStyle w:val="BodyText"/>
            </w:pPr>
            <w:r w:rsidRPr="00602CBE">
              <w:t xml:space="preserve">1.6 </w:t>
            </w:r>
            <w:r w:rsidRPr="00602CBE">
              <w:rPr>
                <w:rStyle w:val="BoldandItalics"/>
              </w:rPr>
              <w:t>Internal monitoring/audit program</w:t>
            </w:r>
            <w:r w:rsidRPr="00602CBE">
              <w:t xml:space="preserve"> is implemented according to organisational and role requirements</w:t>
            </w:r>
          </w:p>
          <w:p w:rsidR="00000000" w:rsidP="00602CBE">
            <w:pPr>
              <w:pStyle w:val="BodyText"/>
              <w:rPr>
                <w:lang w:val="en-NZ"/>
              </w:rPr>
            </w:pPr>
            <w:r w:rsidRPr="00602CBE">
              <w:t>1.7 Mechanism is established to ensure currency of regulatory literature is maintained</w:t>
            </w:r>
          </w:p>
        </w:tc>
      </w:tr>
      <w:tr w:rsidTr="00602CBE">
        <w:tblPrEx>
          <w:tblW w:w="0" w:type="auto"/>
          <w:tblLayout w:type="fixed"/>
          <w:tblCellMar>
            <w:left w:w="62" w:type="dxa"/>
            <w:right w:w="62" w:type="dxa"/>
          </w:tblCellMar>
          <w:tblLook w:val="0000"/>
        </w:tblPrEx>
        <w:tc>
          <w:tcPr>
            <w:tcW w:w="2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2CBE">
            <w:pPr>
              <w:pStyle w:val="BodyText"/>
              <w:rPr>
                <w:lang w:val="en-NZ"/>
              </w:rPr>
            </w:pPr>
            <w:r w:rsidRPr="00602CBE">
              <w:t>2. Identify changes and implications of laws, regulations, ru</w:t>
            </w:r>
            <w:r w:rsidRPr="00602CBE">
              <w:t>les and circulars</w:t>
            </w:r>
          </w:p>
        </w:tc>
        <w:tc>
          <w:tcPr>
            <w:tcW w:w="6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2CBE" w:rsidP="00602CBE">
            <w:pPr>
              <w:pStyle w:val="BodyText"/>
            </w:pPr>
            <w:r w:rsidRPr="00602CBE">
              <w:t>2.1 Changed legislation, regulations and policies are accessed in a timely manner</w:t>
            </w:r>
          </w:p>
          <w:p w:rsidR="00000000" w:rsidRPr="00602CBE" w:rsidP="00602CBE">
            <w:pPr>
              <w:pStyle w:val="BodyText"/>
            </w:pPr>
            <w:r w:rsidRPr="00602CBE">
              <w:t>2.2 Changes to regulatory requirements are identified and communicated in line with organisational policy</w:t>
            </w:r>
          </w:p>
          <w:p w:rsidR="00000000" w:rsidRPr="00602CBE" w:rsidP="00602CBE">
            <w:pPr>
              <w:pStyle w:val="BodyText"/>
            </w:pPr>
            <w:r w:rsidRPr="00602CBE">
              <w:t>2.3 Operational procedures are reviewed and reflec</w:t>
            </w:r>
            <w:r w:rsidRPr="00602CBE">
              <w:t>t changes to regulation and legislation</w:t>
            </w:r>
          </w:p>
          <w:p w:rsidR="00000000" w:rsidP="00602CBE">
            <w:pPr>
              <w:pStyle w:val="BodyText"/>
              <w:rPr>
                <w:lang w:val="en-NZ"/>
              </w:rPr>
            </w:pPr>
            <w:r w:rsidRPr="00602CBE">
              <w:t>2.4 Implications for products and services are identified and changes implemented in accordance with client, legislative and organisational requirements</w:t>
            </w:r>
          </w:p>
        </w:tc>
      </w:tr>
      <w:tr w:rsidTr="00602CBE">
        <w:tblPrEx>
          <w:tblW w:w="0" w:type="auto"/>
          <w:tblLayout w:type="fixed"/>
          <w:tblCellMar>
            <w:left w:w="62" w:type="dxa"/>
            <w:right w:w="62" w:type="dxa"/>
          </w:tblCellMar>
          <w:tblLook w:val="0000"/>
        </w:tblPrEx>
        <w:tc>
          <w:tcPr>
            <w:tcW w:w="2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2CBE">
            <w:pPr>
              <w:pStyle w:val="BodyText"/>
              <w:rPr>
                <w:lang w:val="en-NZ"/>
              </w:rPr>
            </w:pPr>
            <w:r w:rsidRPr="00602CBE">
              <w:t>3. Comply with any relevant industry or professional codes</w:t>
            </w:r>
          </w:p>
        </w:tc>
        <w:tc>
          <w:tcPr>
            <w:tcW w:w="6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2CBE" w:rsidP="00602CBE">
            <w:pPr>
              <w:pStyle w:val="BodyText"/>
            </w:pPr>
            <w:r w:rsidRPr="00602CBE">
              <w:t>3.1</w:t>
            </w:r>
            <w:r w:rsidRPr="00602CBE">
              <w:t xml:space="preserve"> </w:t>
            </w:r>
            <w:r w:rsidRPr="00602CBE">
              <w:rPr>
                <w:rStyle w:val="BoldandItalics"/>
              </w:rPr>
              <w:t>Relevant industry and professional codes</w:t>
            </w:r>
            <w:r w:rsidRPr="00602CBE">
              <w:t xml:space="preserve"> of practice are sourced, accessed and applied to own work in accordance with industry and organisational requirements</w:t>
            </w:r>
          </w:p>
          <w:p w:rsidR="00000000" w:rsidRPr="00602CBE" w:rsidP="00602CBE">
            <w:pPr>
              <w:pStyle w:val="BodyText"/>
            </w:pPr>
            <w:r w:rsidRPr="00602CBE">
              <w:t>3.2 Key principles and responsibilities are interpreted in accordance with industry codes of pra</w:t>
            </w:r>
            <w:r w:rsidRPr="00602CBE">
              <w:t>ctice</w:t>
            </w:r>
          </w:p>
          <w:p w:rsidR="00000000" w:rsidRPr="00602CBE" w:rsidP="00602CBE">
            <w:pPr>
              <w:pStyle w:val="BodyText"/>
            </w:pPr>
            <w:r w:rsidRPr="00602CBE">
              <w:t>3.3 Own interpretation and application of industry codes of practice is confirmed and clarified as required with relevant persons</w:t>
            </w:r>
          </w:p>
          <w:p w:rsidR="00000000" w:rsidRPr="00602CBE" w:rsidP="00602CBE">
            <w:pPr>
              <w:pStyle w:val="BodyText"/>
            </w:pPr>
            <w:r w:rsidRPr="00602CBE">
              <w:t>3.4 Impact of codes of practice on work practices is understood and implemented</w:t>
            </w:r>
          </w:p>
          <w:p w:rsidR="00000000" w:rsidP="00602CBE">
            <w:pPr>
              <w:pStyle w:val="BodyText"/>
              <w:rPr>
                <w:lang w:val="en-NZ"/>
              </w:rPr>
            </w:pPr>
            <w:r w:rsidRPr="00602CBE">
              <w:t>3.5 Own ethical behaviour demonstrates a</w:t>
            </w:r>
            <w:r w:rsidRPr="00602CBE">
              <w:t xml:space="preserve"> commitment to </w:t>
            </w:r>
            <w:r w:rsidRPr="00602CBE">
              <w:t>comply with industry and professional codes of practice</w:t>
            </w:r>
          </w:p>
        </w:tc>
      </w:tr>
      <w:tr w:rsidTr="00602CBE">
        <w:tblPrEx>
          <w:tblW w:w="0" w:type="auto"/>
          <w:tblLayout w:type="fixed"/>
          <w:tblCellMar>
            <w:left w:w="62" w:type="dxa"/>
            <w:right w:w="62" w:type="dxa"/>
          </w:tblCellMar>
          <w:tblLook w:val="0000"/>
        </w:tblPrEx>
        <w:tc>
          <w:tcPr>
            <w:tcW w:w="2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2CBE">
            <w:pPr>
              <w:pStyle w:val="BodyText"/>
              <w:rPr>
                <w:lang w:val="en-NZ"/>
              </w:rPr>
            </w:pPr>
            <w:r w:rsidRPr="00602CBE">
              <w:t>4. Maintain statutory records</w:t>
            </w:r>
          </w:p>
        </w:tc>
        <w:tc>
          <w:tcPr>
            <w:tcW w:w="6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2CBE" w:rsidP="00602CBE">
            <w:pPr>
              <w:pStyle w:val="BodyText"/>
            </w:pPr>
            <w:r w:rsidRPr="00602CBE">
              <w:t>4.1 Copies of relevant records are maintained</w:t>
            </w:r>
          </w:p>
          <w:p w:rsidR="00000000" w:rsidRPr="00602CBE" w:rsidP="00602CBE">
            <w:pPr>
              <w:pStyle w:val="BodyText"/>
            </w:pPr>
            <w:r w:rsidRPr="00602CBE">
              <w:t>4.2 Copies of any relevant agreements are kept on file</w:t>
            </w:r>
          </w:p>
          <w:p w:rsidR="00000000" w:rsidRPr="00602CBE" w:rsidP="00602CBE">
            <w:pPr>
              <w:pStyle w:val="BodyText"/>
            </w:pPr>
            <w:r w:rsidRPr="00602CBE">
              <w:t>4.3 Evidence of current authorisation, training and r</w:t>
            </w:r>
            <w:r w:rsidRPr="00602CBE">
              <w:t>elevant licences are maintained in accordance with organisational, legal and regulatory requirements available</w:t>
            </w:r>
          </w:p>
        </w:tc>
      </w:tr>
    </w:tbl>
    <w:p w:rsidR="00000000" w:rsidRPr="00602CBE" w:rsidP="00602CBE">
      <w:pPr>
        <w:pStyle w:val="BodyText"/>
      </w:pPr>
    </w:p>
    <w:p w:rsidR="00000000" w:rsidRPr="00602CBE" w:rsidP="00602CBE">
      <w:pPr>
        <w:pStyle w:val="AllowPageBreak"/>
      </w:pPr>
    </w:p>
    <w:p w:rsidR="00000000" w:rsidRPr="00602CBE" w:rsidP="00602CBE">
      <w:pPr>
        <w:pStyle w:val="Heading1"/>
      </w:pPr>
      <w:bookmarkStart w:id="9" w:name="O_418080"/>
      <w:bookmarkEnd w:id="9"/>
      <w:r w:rsidRPr="00602CBE">
        <w:t>Required Skills and Knowledge</w:t>
      </w:r>
    </w:p>
    <w:p w:rsidR="00000000" w:rsidRPr="00602CBE" w:rsidP="00602CBE">
      <w:pPr>
        <w:pStyle w:val="BodyText"/>
      </w:pPr>
      <w:r w:rsidRPr="00602CBE">
        <w:rPr>
          <w:rStyle w:val="Emphasis"/>
        </w:rPr>
        <w:t>This section describes the skills and knowledge required for this unit.</w:t>
      </w:r>
    </w:p>
    <w:p w:rsidR="00000000" w:rsidRPr="00602CBE" w:rsidP="00602CBE">
      <w:pPr>
        <w:pStyle w:val="BodyText"/>
      </w:pPr>
    </w:p>
    <w:p w:rsidR="00000000" w:rsidRPr="00602CBE" w:rsidP="00602CBE">
      <w:pPr>
        <w:pStyle w:val="BodyText"/>
      </w:pPr>
      <w:r w:rsidRPr="00602CBE">
        <w:rPr>
          <w:rStyle w:val="SpecialBold"/>
        </w:rPr>
        <w:t>Required skills</w:t>
      </w:r>
    </w:p>
    <w:p w:rsidR="00000000" w:rsidRPr="00602CBE" w:rsidP="00602CBE">
      <w:pPr>
        <w:pStyle w:val="ListBullet"/>
      </w:pPr>
      <w:r w:rsidRPr="00602CBE">
        <w:t>communication skills to:</w:t>
      </w:r>
    </w:p>
    <w:p w:rsidR="00000000" w:rsidRPr="00602CBE" w:rsidP="00602CBE">
      <w:pPr>
        <w:pStyle w:val="ListBullet2"/>
      </w:pPr>
      <w:r w:rsidRPr="00602CBE">
        <w:t>liaise and share information with others</w:t>
      </w:r>
    </w:p>
    <w:p w:rsidR="00000000" w:rsidRPr="00602CBE" w:rsidP="00602CBE">
      <w:pPr>
        <w:pStyle w:val="ListBullet2"/>
      </w:pPr>
      <w:r w:rsidRPr="00602CBE">
        <w:t>communicate appropriately with people from diverse backgrounds</w:t>
      </w:r>
    </w:p>
    <w:p w:rsidR="00000000" w:rsidRPr="00602CBE" w:rsidP="00602CBE">
      <w:pPr>
        <w:pStyle w:val="ListBullet"/>
      </w:pPr>
      <w:r w:rsidRPr="00602CBE">
        <w:t>IT skills to:</w:t>
      </w:r>
    </w:p>
    <w:p w:rsidR="00000000" w:rsidRPr="00602CBE" w:rsidP="00602CBE">
      <w:pPr>
        <w:pStyle w:val="ListBullet2"/>
      </w:pPr>
      <w:r w:rsidRPr="00602CBE">
        <w:t>use computer applications (word processing, spreadsheet, database, specific purpose computer systems)</w:t>
      </w:r>
    </w:p>
    <w:p w:rsidR="00000000" w:rsidRPr="00602CBE" w:rsidP="00602CBE">
      <w:pPr>
        <w:pStyle w:val="ListBullet2"/>
      </w:pPr>
      <w:r w:rsidRPr="00602CBE">
        <w:t>access and update records electronically</w:t>
      </w:r>
    </w:p>
    <w:p w:rsidR="00000000" w:rsidRPr="00602CBE" w:rsidP="00602CBE">
      <w:pPr>
        <w:pStyle w:val="ListBullet2"/>
      </w:pPr>
      <w:r w:rsidRPr="00602CBE">
        <w:t>access web-based information services</w:t>
      </w:r>
    </w:p>
    <w:p w:rsidR="00000000" w:rsidRPr="00602CBE" w:rsidP="00602CBE">
      <w:pPr>
        <w:pStyle w:val="ListBullet"/>
      </w:pPr>
      <w:r w:rsidRPr="00602CBE">
        <w:t>organisational skills to efficiently plan and sequence work</w:t>
      </w:r>
    </w:p>
    <w:p w:rsidR="00000000" w:rsidRPr="00602CBE" w:rsidP="00602CBE">
      <w:pPr>
        <w:pStyle w:val="ListBullet"/>
      </w:pPr>
      <w:r w:rsidRPr="00602CBE">
        <w:t>problem solving skills to address errors in life insurance documentation</w:t>
      </w:r>
    </w:p>
    <w:p w:rsidR="00000000" w:rsidRPr="00602CBE" w:rsidP="00602CBE">
      <w:pPr>
        <w:pStyle w:val="ListBullet"/>
      </w:pPr>
      <w:r w:rsidRPr="00602CBE">
        <w:t>research and analysis skills to:</w:t>
      </w:r>
    </w:p>
    <w:p w:rsidR="00000000" w:rsidRPr="00602CBE" w:rsidP="00602CBE">
      <w:pPr>
        <w:pStyle w:val="ListBullet2"/>
      </w:pPr>
      <w:r w:rsidRPr="00602CBE">
        <w:t xml:space="preserve">identify </w:t>
      </w:r>
      <w:r w:rsidRPr="00602CBE">
        <w:t>and interpret relevant information</w:t>
      </w:r>
    </w:p>
    <w:p w:rsidR="00000000" w:rsidRPr="00602CBE" w:rsidP="00602CBE">
      <w:pPr>
        <w:pStyle w:val="ListBullet2"/>
      </w:pPr>
      <w:r w:rsidRPr="00602CBE">
        <w:t>effectively analyse information and data</w:t>
      </w:r>
    </w:p>
    <w:p w:rsidR="00000000" w:rsidRPr="00602CBE" w:rsidP="00602CBE">
      <w:pPr>
        <w:pStyle w:val="ListBullet2"/>
      </w:pPr>
      <w:r w:rsidRPr="00602CBE">
        <w:t>maintain currency of products and services knowledge</w:t>
      </w:r>
    </w:p>
    <w:p w:rsidR="00000000" w:rsidRPr="00602CBE" w:rsidP="00602CBE">
      <w:pPr>
        <w:pStyle w:val="ListBullet"/>
      </w:pPr>
      <w:r w:rsidRPr="00602CBE">
        <w:t>reading skills to:</w:t>
      </w:r>
    </w:p>
    <w:p w:rsidR="00000000" w:rsidRPr="00602CBE" w:rsidP="00602CBE">
      <w:pPr>
        <w:pStyle w:val="ListBullet2"/>
      </w:pPr>
      <w:r w:rsidRPr="00602CBE">
        <w:t>read and understand relevant legislation, regulation and codes of practice</w:t>
      </w:r>
    </w:p>
    <w:p w:rsidR="00000000" w:rsidRPr="00602CBE" w:rsidP="00602CBE">
      <w:pPr>
        <w:pStyle w:val="ListBullet2"/>
      </w:pPr>
      <w:r w:rsidRPr="00602CBE">
        <w:t>read and interpret organisation</w:t>
      </w:r>
      <w:r w:rsidRPr="00602CBE">
        <w:t>al procedures</w:t>
      </w:r>
    </w:p>
    <w:p w:rsidR="00000000" w:rsidRPr="00602CBE" w:rsidP="00602CBE">
      <w:pPr>
        <w:pStyle w:val="ListBullet"/>
      </w:pPr>
      <w:r w:rsidRPr="00602CBE">
        <w:t>self-management skills to:</w:t>
      </w:r>
    </w:p>
    <w:p w:rsidR="00000000" w:rsidRPr="00602CBE" w:rsidP="00602CBE">
      <w:pPr>
        <w:pStyle w:val="ListBullet2"/>
      </w:pPr>
      <w:r w:rsidRPr="00602CBE">
        <w:t>monitor and adapt to changes in compliance issues</w:t>
      </w:r>
    </w:p>
    <w:p w:rsidR="00000000" w:rsidRPr="00602CBE" w:rsidP="00602CBE">
      <w:pPr>
        <w:pStyle w:val="ListBullet2"/>
      </w:pPr>
      <w:r w:rsidRPr="00602CBE">
        <w:t>handle contingencies</w:t>
      </w:r>
    </w:p>
    <w:p w:rsidR="00000000" w:rsidRPr="00602CBE" w:rsidP="00602CBE">
      <w:pPr>
        <w:pStyle w:val="ListBullet"/>
      </w:pPr>
      <w:r w:rsidRPr="00602CBE">
        <w:t>writing skills to:</w:t>
      </w:r>
    </w:p>
    <w:p w:rsidR="00000000" w:rsidRPr="00602CBE" w:rsidP="00602CBE">
      <w:pPr>
        <w:pStyle w:val="ListBullet2"/>
      </w:pPr>
      <w:r w:rsidRPr="00602CBE">
        <w:t>accurately record information</w:t>
      </w:r>
    </w:p>
    <w:p w:rsidR="00000000" w:rsidRPr="00602CBE" w:rsidP="00602CBE">
      <w:pPr>
        <w:pStyle w:val="ListBullet2"/>
      </w:pPr>
      <w:r w:rsidRPr="00602CBE">
        <w:t>draft organisational procedures.</w:t>
      </w:r>
    </w:p>
    <w:p w:rsidR="00000000" w:rsidRPr="00602CBE" w:rsidP="00602CBE">
      <w:pPr>
        <w:pStyle w:val="BodyText"/>
      </w:pPr>
    </w:p>
    <w:p w:rsidR="00000000" w:rsidRPr="00602CBE" w:rsidP="00602CBE">
      <w:pPr>
        <w:pStyle w:val="BodyText"/>
      </w:pPr>
      <w:r w:rsidRPr="00602CBE">
        <w:rPr>
          <w:rStyle w:val="SpecialBold"/>
        </w:rPr>
        <w:t>Required knowledge</w:t>
      </w:r>
    </w:p>
    <w:p w:rsidR="00000000" w:rsidRPr="00602CBE" w:rsidP="00602CBE">
      <w:pPr>
        <w:pStyle w:val="ListBullet"/>
      </w:pPr>
      <w:r w:rsidRPr="00602CBE">
        <w:t>client complaints handling procedures</w:t>
      </w:r>
    </w:p>
    <w:p w:rsidR="00000000" w:rsidRPr="00602CBE" w:rsidP="00602CBE">
      <w:pPr>
        <w:pStyle w:val="ListBullet"/>
      </w:pPr>
      <w:r w:rsidRPr="00602CBE">
        <w:t>compliance requirements of legislation, regulation and codes of practice relevant to the financial services industry sector</w:t>
      </w:r>
    </w:p>
    <w:p w:rsidR="00000000" w:rsidRPr="00602CBE" w:rsidP="00602CBE">
      <w:pPr>
        <w:pStyle w:val="ListBullet"/>
      </w:pPr>
      <w:r w:rsidRPr="00602CBE">
        <w:t>duty of care principles</w:t>
      </w:r>
    </w:p>
    <w:p w:rsidR="00000000" w:rsidRPr="00602CBE" w:rsidP="00602CBE">
      <w:pPr>
        <w:pStyle w:val="ListBullet"/>
      </w:pPr>
      <w:r w:rsidRPr="00602CBE">
        <w:t>general obligations of a financial services adviser</w:t>
      </w:r>
    </w:p>
    <w:p w:rsidR="00000000" w:rsidRPr="00602CBE" w:rsidP="00602CBE">
      <w:pPr>
        <w:pStyle w:val="ListBullet"/>
      </w:pPr>
      <w:r w:rsidRPr="00602CBE">
        <w:t>organisation’s products and services</w:t>
      </w:r>
    </w:p>
    <w:p w:rsidR="00000000" w:rsidRPr="00602CBE" w:rsidP="00602CBE">
      <w:pPr>
        <w:pStyle w:val="ListBullet"/>
      </w:pPr>
      <w:r w:rsidRPr="00602CBE">
        <w:t>relevant agency agreements and/or broker authority</w:t>
      </w:r>
    </w:p>
    <w:p w:rsidR="00000000" w:rsidRPr="00602CBE" w:rsidP="00602CBE">
      <w:pPr>
        <w:pStyle w:val="ListBullet"/>
      </w:pPr>
      <w:r w:rsidRPr="00602CBE">
        <w:t>relevant associations and ethics.</w:t>
      </w:r>
    </w:p>
    <w:p w:rsidR="00000000" w:rsidRPr="00602CBE" w:rsidP="00602CBE">
      <w:pPr>
        <w:pStyle w:val="AllowPageBreak"/>
      </w:pPr>
    </w:p>
    <w:p w:rsidR="00000000" w:rsidRPr="00602CBE" w:rsidP="00602CBE">
      <w:pPr>
        <w:pStyle w:val="Heading1"/>
      </w:pPr>
      <w:bookmarkStart w:id="10" w:name="O_418081"/>
      <w:bookmarkEnd w:id="10"/>
      <w:r w:rsidRPr="00602CBE">
        <w:t>Evidence Guide</w:t>
      </w:r>
    </w:p>
    <w:p w:rsidR="00000000" w:rsidRPr="00602CBE" w:rsidP="00602CBE">
      <w:pPr>
        <w:pStyle w:val="BodyText"/>
      </w:pPr>
      <w:r w:rsidRPr="00602CBE">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602CBE" w:rsidP="00602CBE">
      <w:pPr>
        <w:pStyle w:val="BodyText"/>
      </w:pPr>
    </w:p>
    <w:tbl>
      <w:tblPr>
        <w:tblW w:w="0" w:type="auto"/>
        <w:tblLayout w:type="fixed"/>
        <w:tblCellMar>
          <w:left w:w="62" w:type="dxa"/>
          <w:right w:w="62" w:type="dxa"/>
        </w:tblCellMar>
        <w:tblLook w:val="0000"/>
      </w:tblPr>
      <w:tblGrid>
        <w:gridCol w:w="3514"/>
        <w:gridCol w:w="5366"/>
      </w:tblGrid>
      <w:tr w:rsidTr="00602CBE">
        <w:tblPrEx>
          <w:tblW w:w="0" w:type="auto"/>
          <w:tblLayout w:type="fixed"/>
          <w:tblCellMar>
            <w:left w:w="62" w:type="dxa"/>
            <w:right w:w="62" w:type="dxa"/>
          </w:tblCellMar>
          <w:tblLook w:val="0000"/>
        </w:tblPrEx>
        <w:tc>
          <w:tcPr>
            <w:tcW w:w="35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2CBE">
            <w:pPr>
              <w:pStyle w:val="BodyText"/>
              <w:rPr>
                <w:lang w:val="en-NZ"/>
              </w:rPr>
            </w:pPr>
            <w:r w:rsidRPr="00602CBE">
              <w:rPr>
                <w:rStyle w:val="SpecialBold"/>
              </w:rPr>
              <w:t>Overview of assessment</w:t>
            </w:r>
          </w:p>
        </w:tc>
        <w:tc>
          <w:tcPr>
            <w:tcW w:w="53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2CBE">
            <w:pPr>
              <w:pStyle w:val="BodyText"/>
              <w:rPr>
                <w:lang w:val="en-NZ"/>
              </w:rPr>
            </w:pPr>
          </w:p>
        </w:tc>
      </w:tr>
      <w:tr w:rsidTr="00602CBE">
        <w:tblPrEx>
          <w:tblW w:w="0" w:type="auto"/>
          <w:tblLayout w:type="fixed"/>
          <w:tblCellMar>
            <w:left w:w="62" w:type="dxa"/>
            <w:right w:w="62" w:type="dxa"/>
          </w:tblCellMar>
          <w:tblLook w:val="0000"/>
        </w:tblPrEx>
        <w:trPr>
          <w:trHeight w:val="3273"/>
        </w:trPr>
        <w:tc>
          <w:tcPr>
            <w:tcW w:w="35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2CBE">
            <w:pPr>
              <w:pStyle w:val="BodyText"/>
              <w:rPr>
                <w:lang w:val="en-NZ"/>
              </w:rPr>
            </w:pPr>
            <w:r w:rsidRPr="00602CBE">
              <w:rPr>
                <w:rStyle w:val="SpecialBold"/>
              </w:rPr>
              <w:t>Critical aspect</w:t>
            </w:r>
            <w:r w:rsidRPr="00602CBE">
              <w:rPr>
                <w:rStyle w:val="SpecialBold"/>
              </w:rPr>
              <w:t>s for assessment and evidence required to demonstrate competency in this unit</w:t>
            </w:r>
          </w:p>
        </w:tc>
        <w:tc>
          <w:tcPr>
            <w:tcW w:w="53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2CBE" w:rsidP="00602CBE">
            <w:pPr>
              <w:pStyle w:val="BodyText"/>
            </w:pPr>
            <w:r w:rsidRPr="00602CBE">
              <w:t>Evidence of the ability to:</w:t>
            </w:r>
          </w:p>
          <w:p w:rsidR="00000000" w:rsidRPr="00602CBE" w:rsidP="00602CBE">
            <w:pPr>
              <w:pStyle w:val="ListBullet"/>
            </w:pPr>
            <w:r w:rsidRPr="00602CBE">
              <w:t xml:space="preserve">maintain knowledge of relevant industry codes </w:t>
            </w:r>
          </w:p>
          <w:p w:rsidR="00000000" w:rsidRPr="00602CBE" w:rsidP="00602CBE">
            <w:pPr>
              <w:pStyle w:val="ListBullet"/>
            </w:pPr>
            <w:r w:rsidRPr="00602CBE">
              <w:t xml:space="preserve">maintain knowledge of relevant laws and regulations </w:t>
            </w:r>
          </w:p>
          <w:p w:rsidR="00000000" w:rsidRPr="00602CBE" w:rsidP="00602CBE">
            <w:pPr>
              <w:pStyle w:val="ListBullet"/>
            </w:pPr>
            <w:r w:rsidRPr="00602CBE">
              <w:t xml:space="preserve">comply with operational aspects of laws, regulations, rules and circulars </w:t>
            </w:r>
          </w:p>
          <w:p w:rsidR="00000000" w:rsidRPr="00602CBE" w:rsidP="00602CBE">
            <w:pPr>
              <w:pStyle w:val="ListBullet"/>
            </w:pPr>
            <w:r w:rsidRPr="00602CBE">
              <w:t>explain changes and implications of law, regulations, rules and circulars when requested</w:t>
            </w:r>
          </w:p>
          <w:p w:rsidR="00000000" w:rsidRPr="00602CBE" w:rsidP="00602CBE">
            <w:pPr>
              <w:pStyle w:val="ListBullet"/>
            </w:pPr>
            <w:r w:rsidRPr="00602CBE">
              <w:t>comply with agency/broker agreement and professional indemnity obligations</w:t>
            </w:r>
          </w:p>
          <w:p w:rsidR="00000000" w:rsidRPr="00602CBE" w:rsidP="00602CBE">
            <w:pPr>
              <w:pStyle w:val="ListBullet"/>
            </w:pPr>
            <w:r w:rsidRPr="00602CBE">
              <w:t>comply with relev</w:t>
            </w:r>
            <w:r w:rsidRPr="00602CBE">
              <w:t>ant industry codes</w:t>
            </w:r>
          </w:p>
          <w:p w:rsidR="00000000" w:rsidP="00602CBE">
            <w:pPr>
              <w:pStyle w:val="ListBullet"/>
              <w:rPr>
                <w:lang w:val="en-NZ"/>
              </w:rPr>
            </w:pPr>
            <w:r w:rsidRPr="00602CBE">
              <w:t>maintain statutory records.</w:t>
            </w:r>
          </w:p>
        </w:tc>
      </w:tr>
      <w:tr w:rsidTr="00602CBE">
        <w:tblPrEx>
          <w:tblW w:w="0" w:type="auto"/>
          <w:tblLayout w:type="fixed"/>
          <w:tblCellMar>
            <w:left w:w="62" w:type="dxa"/>
            <w:right w:w="62" w:type="dxa"/>
          </w:tblCellMar>
          <w:tblLook w:val="0000"/>
        </w:tblPrEx>
        <w:tc>
          <w:tcPr>
            <w:tcW w:w="35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2CBE">
            <w:pPr>
              <w:pStyle w:val="BodyText"/>
              <w:rPr>
                <w:lang w:val="en-NZ"/>
              </w:rPr>
            </w:pPr>
            <w:r w:rsidRPr="00602CBE">
              <w:rPr>
                <w:rStyle w:val="SpecialBold"/>
              </w:rPr>
              <w:t>Context of and specific resources for assessment</w:t>
            </w:r>
          </w:p>
        </w:tc>
        <w:tc>
          <w:tcPr>
            <w:tcW w:w="53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2CBE" w:rsidP="00602CBE">
            <w:pPr>
              <w:pStyle w:val="BodyText"/>
            </w:pPr>
            <w:r w:rsidRPr="00602CBE">
              <w:t>Assessment must ensure:</w:t>
            </w:r>
          </w:p>
          <w:p w:rsidR="00000000" w:rsidRPr="00602CBE" w:rsidP="00602CBE">
            <w:pPr>
              <w:pStyle w:val="ListBullet"/>
            </w:pPr>
            <w:r w:rsidRPr="00602CBE">
              <w:t>competency is demonstrated in the context of the work environment and conditions specified in the range statement either in a relevant</w:t>
            </w:r>
            <w:r w:rsidRPr="00602CBE">
              <w:t xml:space="preserve"> workplace or a closely simulated work environment</w:t>
            </w:r>
          </w:p>
          <w:p w:rsidR="00000000" w:rsidRPr="00602CBE" w:rsidP="00602CBE">
            <w:pPr>
              <w:pStyle w:val="ListBullet"/>
            </w:pPr>
            <w:r w:rsidRPr="00602CBE">
              <w:t>access to and the use of a range of common office equipment, technology, software and consumables</w:t>
            </w:r>
          </w:p>
          <w:p w:rsidR="00000000" w:rsidP="00602CBE">
            <w:pPr>
              <w:pStyle w:val="ListBullet"/>
              <w:rPr>
                <w:lang w:val="en-NZ"/>
              </w:rPr>
            </w:pPr>
            <w:r w:rsidRPr="00602CBE">
              <w:t>access to financial services legislation, industry and professional codes of practice, and organisation pol</w:t>
            </w:r>
            <w:r w:rsidRPr="00602CBE">
              <w:t>icies and procedures.</w:t>
            </w:r>
          </w:p>
        </w:tc>
      </w:tr>
      <w:tr w:rsidTr="00602CBE">
        <w:tblPrEx>
          <w:tblW w:w="0" w:type="auto"/>
          <w:tblLayout w:type="fixed"/>
          <w:tblCellMar>
            <w:left w:w="62" w:type="dxa"/>
            <w:right w:w="62" w:type="dxa"/>
          </w:tblCellMar>
          <w:tblLook w:val="0000"/>
        </w:tblPrEx>
        <w:tc>
          <w:tcPr>
            <w:tcW w:w="35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2CBE">
            <w:pPr>
              <w:pStyle w:val="BodyText"/>
              <w:rPr>
                <w:lang w:val="en-NZ"/>
              </w:rPr>
            </w:pPr>
            <w:r w:rsidRPr="00602CBE">
              <w:rPr>
                <w:rStyle w:val="SpecialBold"/>
              </w:rPr>
              <w:t>Method of assessment</w:t>
            </w:r>
          </w:p>
        </w:tc>
        <w:tc>
          <w:tcPr>
            <w:tcW w:w="53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2CBE" w:rsidP="00602CBE">
            <w:pPr>
              <w:pStyle w:val="BodyText"/>
            </w:pPr>
            <w:r w:rsidRPr="00602CBE">
              <w:t xml:space="preserve">A range of assessment methods should be used to assess practical skills and knowledge. The following examples are appropriate for this unit: </w:t>
            </w:r>
          </w:p>
          <w:p w:rsidR="00000000" w:rsidRPr="00602CBE" w:rsidP="00602CBE">
            <w:pPr>
              <w:pStyle w:val="ListBullet"/>
            </w:pPr>
            <w:r w:rsidRPr="00602CBE">
              <w:t>evaluating an integrated activity which combines the elements of competency for the unit or a cluster of related units of competency</w:t>
            </w:r>
          </w:p>
          <w:p w:rsidR="00000000" w:rsidRPr="00602CBE" w:rsidP="00602CBE">
            <w:pPr>
              <w:pStyle w:val="ListBullet"/>
            </w:pPr>
            <w:r w:rsidRPr="00602CBE">
              <w:t>simulated tasks involving preparation of reports from supplied data</w:t>
            </w:r>
          </w:p>
          <w:p w:rsidR="00000000" w:rsidRPr="00602CBE" w:rsidP="00602CBE">
            <w:pPr>
              <w:pStyle w:val="ListBullet"/>
            </w:pPr>
            <w:r w:rsidRPr="00602CBE">
              <w:t>verbal or written questioning on underpinning knowledge</w:t>
            </w:r>
            <w:r w:rsidRPr="00602CBE">
              <w:t xml:space="preserve"> and skills </w:t>
            </w:r>
          </w:p>
          <w:p w:rsidR="00000000" w:rsidP="00602CBE">
            <w:pPr>
              <w:pStyle w:val="ListBullet"/>
              <w:rPr>
                <w:lang w:val="en-NZ"/>
              </w:rPr>
            </w:pPr>
            <w:r w:rsidRPr="00602CBE">
              <w:t>evaluating samples of work.</w:t>
            </w:r>
          </w:p>
        </w:tc>
      </w:tr>
      <w:tr w:rsidTr="00602CBE">
        <w:tblPrEx>
          <w:tblW w:w="0" w:type="auto"/>
          <w:tblLayout w:type="fixed"/>
          <w:tblCellMar>
            <w:left w:w="62" w:type="dxa"/>
            <w:right w:w="62" w:type="dxa"/>
          </w:tblCellMar>
          <w:tblLook w:val="0000"/>
        </w:tblPrEx>
        <w:tc>
          <w:tcPr>
            <w:tcW w:w="35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2CBE">
            <w:pPr>
              <w:pStyle w:val="BodyText"/>
              <w:rPr>
                <w:lang w:val="en-NZ"/>
              </w:rPr>
            </w:pPr>
            <w:r w:rsidRPr="00602CBE">
              <w:rPr>
                <w:rStyle w:val="SpecialBold"/>
              </w:rPr>
              <w:t>Guidance information for assessment</w:t>
            </w:r>
          </w:p>
        </w:tc>
        <w:tc>
          <w:tcPr>
            <w:tcW w:w="53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2CBE" w:rsidP="00602CBE">
            <w:pPr>
              <w:pStyle w:val="BodyText"/>
            </w:pPr>
          </w:p>
        </w:tc>
      </w:tr>
    </w:tbl>
    <w:p w:rsidR="00000000" w:rsidRPr="00602CBE" w:rsidP="00602CBE">
      <w:pPr>
        <w:pStyle w:val="BodyText"/>
      </w:pPr>
    </w:p>
    <w:p w:rsidR="00000000" w:rsidRPr="00602CBE" w:rsidP="00602CBE">
      <w:pPr>
        <w:pStyle w:val="AllowPageBreak"/>
      </w:pPr>
    </w:p>
    <w:p w:rsidR="00000000" w:rsidRPr="00602CBE" w:rsidP="00602CBE">
      <w:pPr>
        <w:pStyle w:val="Heading1"/>
      </w:pPr>
      <w:bookmarkStart w:id="11" w:name="O_418082"/>
      <w:bookmarkEnd w:id="11"/>
      <w:r w:rsidRPr="00602CBE">
        <w:t>Range Statement</w:t>
      </w:r>
    </w:p>
    <w:p w:rsidR="00000000" w:rsidRPr="00602CBE" w:rsidP="00602CBE">
      <w:pPr>
        <w:pStyle w:val="BodyText"/>
      </w:pPr>
      <w:r w:rsidRPr="00602CBE">
        <w:rPr>
          <w:rStyle w:val="Emphasis"/>
        </w:rPr>
        <w:t>The range statement relates to the unit of competency as a whole. It allows for different work environments and situations that may affect per</w:t>
      </w:r>
      <w:r w:rsidRPr="00602CBE">
        <w:rPr>
          <w:rStyle w:val="Emphasis"/>
        </w:rPr>
        <w:t xml:space="preserve">formance. Bold italicised wording, if used in the performance criteria, is detailed below. Essential operating conditions that may be present with training and assessment (depending on the work situation, needs of the candidate, accessibility of the item, </w:t>
      </w:r>
      <w:r w:rsidRPr="00602CBE">
        <w:rPr>
          <w:rStyle w:val="Emphasis"/>
        </w:rPr>
        <w:t>and local industry and regional contexts) may also be included.</w:t>
      </w:r>
    </w:p>
    <w:p w:rsidR="00000000" w:rsidRPr="00602CBE" w:rsidP="00602CBE">
      <w:pPr>
        <w:pStyle w:val="BodyText"/>
      </w:pPr>
    </w:p>
    <w:tbl>
      <w:tblPr>
        <w:tblW w:w="0" w:type="auto"/>
        <w:tblLayout w:type="fixed"/>
        <w:tblCellMar>
          <w:left w:w="62" w:type="dxa"/>
          <w:right w:w="62" w:type="dxa"/>
        </w:tblCellMar>
        <w:tblLook w:val="0000"/>
      </w:tblPr>
      <w:tblGrid>
        <w:gridCol w:w="3536"/>
        <w:gridCol w:w="5344"/>
      </w:tblGrid>
      <w:tr w:rsidTr="00602CBE">
        <w:tblPrEx>
          <w:tblW w:w="0" w:type="auto"/>
          <w:tblLayout w:type="fixed"/>
          <w:tblCellMar>
            <w:left w:w="62" w:type="dxa"/>
            <w:right w:w="62" w:type="dxa"/>
          </w:tblCellMar>
          <w:tblLook w:val="0000"/>
        </w:tblPrEx>
        <w:tc>
          <w:tcPr>
            <w:tcW w:w="3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2CBE">
            <w:pPr>
              <w:pStyle w:val="BodyText"/>
              <w:rPr>
                <w:lang w:val="en-NZ"/>
              </w:rPr>
            </w:pPr>
            <w:r w:rsidRPr="00602CBE">
              <w:rPr>
                <w:rStyle w:val="BoldandItalics"/>
              </w:rPr>
              <w:t>Relevant legislation, regulations and policies</w:t>
            </w:r>
            <w:r w:rsidRPr="00602CBE">
              <w:t xml:space="preserve"> may include:</w:t>
            </w:r>
          </w:p>
        </w:tc>
        <w:tc>
          <w:tcPr>
            <w:tcW w:w="5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2CBE" w:rsidP="00602CBE">
            <w:pPr>
              <w:pStyle w:val="ListBullet"/>
            </w:pPr>
            <w:r w:rsidRPr="00602CBE">
              <w:t>Australian Securities and Investments Commission (ASIC) Act, policy and guidelines including RG 146</w:t>
            </w:r>
          </w:p>
          <w:p w:rsidR="00000000" w:rsidRPr="00602CBE" w:rsidP="00602CBE">
            <w:pPr>
              <w:pStyle w:val="ListBullet"/>
            </w:pPr>
            <w:r w:rsidRPr="00602CBE">
              <w:t>Australian Prudential Regulation Authority (APRA) supervised regulation</w:t>
            </w:r>
          </w:p>
          <w:p w:rsidR="00000000" w:rsidRPr="00602CBE" w:rsidP="00602CBE">
            <w:pPr>
              <w:pStyle w:val="ListBullet"/>
            </w:pPr>
            <w:r w:rsidRPr="00602CBE">
              <w:t>Taxation Acts and regulations</w:t>
            </w:r>
          </w:p>
          <w:p w:rsidR="00000000" w:rsidRPr="00602CBE" w:rsidP="00602CBE">
            <w:pPr>
              <w:pStyle w:val="ListBullet"/>
            </w:pPr>
            <w:r w:rsidRPr="00602CBE">
              <w:t>Corporations Act</w:t>
            </w:r>
          </w:p>
          <w:p w:rsidR="00000000" w:rsidRPr="00602CBE" w:rsidP="00602CBE">
            <w:pPr>
              <w:pStyle w:val="ListBullet"/>
            </w:pPr>
            <w:r w:rsidRPr="00602CBE">
              <w:t>Competition and Consumer Act</w:t>
            </w:r>
          </w:p>
          <w:p w:rsidR="00000000" w:rsidRPr="00602CBE" w:rsidP="00602CBE">
            <w:pPr>
              <w:pStyle w:val="ListBullet"/>
            </w:pPr>
            <w:r w:rsidRPr="00602CBE">
              <w:t>Workplace Relations Act, State Industrial Relations Acts, awards and enterprise agreements</w:t>
            </w:r>
          </w:p>
          <w:p w:rsidR="00000000" w:rsidRPr="00602CBE" w:rsidP="00602CBE">
            <w:pPr>
              <w:pStyle w:val="ListBullet"/>
            </w:pPr>
            <w:r w:rsidRPr="00602CBE">
              <w:t>occupational heal</w:t>
            </w:r>
            <w:r w:rsidRPr="00602CBE">
              <w:t>th and safety (OH&amp;S) legislation</w:t>
            </w:r>
          </w:p>
          <w:p w:rsidR="00000000" w:rsidRPr="00602CBE" w:rsidP="00602CBE">
            <w:pPr>
              <w:pStyle w:val="ListBullet"/>
            </w:pPr>
            <w:r w:rsidRPr="00602CBE">
              <w:t>applicable state legislation and regulations</w:t>
            </w:r>
          </w:p>
          <w:p w:rsidR="00000000" w:rsidRPr="00602CBE" w:rsidP="00602CBE">
            <w:pPr>
              <w:pStyle w:val="ListBullet"/>
            </w:pPr>
            <w:r w:rsidRPr="00602CBE">
              <w:t xml:space="preserve">organisational codes of conduct  </w:t>
            </w:r>
          </w:p>
          <w:p w:rsidR="00000000" w:rsidRPr="00602CBE" w:rsidP="00602CBE">
            <w:pPr>
              <w:pStyle w:val="ListBullet"/>
            </w:pPr>
            <w:r w:rsidRPr="00602CBE">
              <w:t>Contract, General and Trust Law</w:t>
            </w:r>
          </w:p>
          <w:p w:rsidR="00000000" w:rsidRPr="00602CBE" w:rsidP="00602CBE">
            <w:pPr>
              <w:pStyle w:val="ListBullet"/>
            </w:pPr>
            <w:r w:rsidRPr="00602CBE">
              <w:t>Consumer Affairs legislation</w:t>
            </w:r>
          </w:p>
          <w:p w:rsidR="00000000" w:rsidRPr="00602CBE" w:rsidP="00602CBE">
            <w:pPr>
              <w:pStyle w:val="ListBullet"/>
            </w:pPr>
            <w:r w:rsidRPr="00602CBE">
              <w:t>social security regulations</w:t>
            </w:r>
          </w:p>
          <w:p w:rsidR="00000000" w:rsidRPr="00602CBE" w:rsidP="00602CBE">
            <w:pPr>
              <w:pStyle w:val="ListBullet"/>
            </w:pPr>
            <w:r w:rsidRPr="00602CBE">
              <w:t>Privacy Act Amendment (Private Sector)</w:t>
            </w:r>
          </w:p>
          <w:p w:rsidR="00000000" w:rsidRPr="00602CBE" w:rsidP="00602CBE">
            <w:pPr>
              <w:pStyle w:val="ListBullet"/>
            </w:pPr>
            <w:r w:rsidRPr="00602CBE">
              <w:t>National Consume</w:t>
            </w:r>
            <w:r w:rsidRPr="00602CBE">
              <w:t>r Credit Protection Act</w:t>
            </w:r>
          </w:p>
          <w:p w:rsidR="00000000" w:rsidP="00602CBE">
            <w:pPr>
              <w:pStyle w:val="ListBullet"/>
              <w:rPr>
                <w:lang w:val="en-NZ"/>
              </w:rPr>
            </w:pPr>
            <w:r w:rsidRPr="00602CBE">
              <w:t>Consumer Protection state based legislation</w:t>
            </w:r>
          </w:p>
        </w:tc>
      </w:tr>
      <w:tr w:rsidTr="00602CBE">
        <w:tblPrEx>
          <w:tblW w:w="0" w:type="auto"/>
          <w:tblLayout w:type="fixed"/>
          <w:tblCellMar>
            <w:left w:w="62" w:type="dxa"/>
            <w:right w:w="62" w:type="dxa"/>
          </w:tblCellMar>
          <w:tblLook w:val="0000"/>
        </w:tblPrEx>
        <w:tc>
          <w:tcPr>
            <w:tcW w:w="3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2CBE">
            <w:pPr>
              <w:pStyle w:val="BodyText"/>
              <w:rPr>
                <w:lang w:val="en-NZ"/>
              </w:rPr>
            </w:pPr>
            <w:r w:rsidRPr="00602CBE">
              <w:rPr>
                <w:rStyle w:val="BoldandItalics"/>
              </w:rPr>
              <w:t>Organisational requirements</w:t>
            </w:r>
            <w:r w:rsidRPr="00602CBE">
              <w:t xml:space="preserve"> may be outlined and reflected in:</w:t>
            </w:r>
          </w:p>
        </w:tc>
        <w:tc>
          <w:tcPr>
            <w:tcW w:w="5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2CBE" w:rsidP="00602CBE">
            <w:pPr>
              <w:pStyle w:val="ListBullet"/>
            </w:pPr>
            <w:r w:rsidRPr="00602CBE">
              <w:t>use of compliance documentation (e.g. Product Disclosure Statements, Statements of Advice)</w:t>
            </w:r>
          </w:p>
          <w:p w:rsidR="00000000" w:rsidRPr="00602CBE" w:rsidP="00602CBE">
            <w:pPr>
              <w:pStyle w:val="ListBullet"/>
            </w:pPr>
            <w:r w:rsidRPr="00602CBE">
              <w:t>legal and organisational policies/guidelines</w:t>
            </w:r>
          </w:p>
          <w:p w:rsidR="00000000" w:rsidRPr="00602CBE" w:rsidP="00602CBE">
            <w:pPr>
              <w:pStyle w:val="ListBullet"/>
            </w:pPr>
            <w:r w:rsidRPr="00602CBE">
              <w:t>policies and procedures in relation to client service</w:t>
            </w:r>
          </w:p>
          <w:p w:rsidR="00000000" w:rsidRPr="00602CBE" w:rsidP="00602CBE">
            <w:pPr>
              <w:pStyle w:val="ListBullet"/>
            </w:pPr>
            <w:r w:rsidRPr="00602CBE">
              <w:t>formal procedures manual and/or quality assurance documents</w:t>
            </w:r>
          </w:p>
          <w:p w:rsidR="00000000" w:rsidRPr="00602CBE" w:rsidP="00602CBE">
            <w:pPr>
              <w:pStyle w:val="ListBullet"/>
            </w:pPr>
            <w:r w:rsidRPr="00602CBE">
              <w:t>goals, objectives, plans, systems and processes</w:t>
            </w:r>
          </w:p>
          <w:p w:rsidR="00000000" w:rsidRPr="00602CBE" w:rsidP="00602CBE">
            <w:pPr>
              <w:pStyle w:val="ListBullet"/>
            </w:pPr>
            <w:r w:rsidRPr="00602CBE">
              <w:t>business and performance plans</w:t>
            </w:r>
          </w:p>
          <w:p w:rsidR="00000000" w:rsidRPr="00602CBE" w:rsidP="00602CBE">
            <w:pPr>
              <w:pStyle w:val="ListBullet"/>
            </w:pPr>
            <w:r w:rsidRPr="00602CBE">
              <w:t>mission statements</w:t>
            </w:r>
            <w:r w:rsidRPr="00602CBE">
              <w:t>, strategic plans</w:t>
            </w:r>
          </w:p>
          <w:p w:rsidR="00000000" w:rsidRPr="00602CBE" w:rsidP="00602CBE">
            <w:pPr>
              <w:pStyle w:val="ListBullet"/>
            </w:pPr>
            <w:r w:rsidRPr="00602CBE">
              <w:t>cash handling and storage procedures</w:t>
            </w:r>
          </w:p>
          <w:p w:rsidR="00000000" w:rsidRPr="00602CBE" w:rsidP="00602CBE">
            <w:pPr>
              <w:pStyle w:val="ListBullet"/>
            </w:pPr>
            <w:r w:rsidRPr="00602CBE">
              <w:t>teller cash count procedures</w:t>
            </w:r>
          </w:p>
          <w:p w:rsidR="00000000" w:rsidRPr="00602CBE" w:rsidP="00602CBE">
            <w:pPr>
              <w:pStyle w:val="ListBullet"/>
            </w:pPr>
            <w:r w:rsidRPr="00602CBE">
              <w:t>dispute resolution processes</w:t>
            </w:r>
          </w:p>
          <w:p w:rsidR="00000000" w:rsidRPr="00602CBE" w:rsidP="00602CBE">
            <w:pPr>
              <w:pStyle w:val="ListBullet"/>
            </w:pPr>
            <w:r w:rsidRPr="00602CBE">
              <w:t>referral procedures</w:t>
            </w:r>
          </w:p>
          <w:p w:rsidR="00000000" w:rsidRPr="00602CBE" w:rsidP="00602CBE">
            <w:pPr>
              <w:pStyle w:val="ListBullet"/>
            </w:pPr>
            <w:r w:rsidRPr="00602CBE">
              <w:t>access and equity principles an practice guidelines</w:t>
            </w:r>
          </w:p>
          <w:p w:rsidR="00000000" w:rsidRPr="00602CBE" w:rsidP="00602CBE">
            <w:pPr>
              <w:pStyle w:val="ListBullet"/>
            </w:pPr>
            <w:r w:rsidRPr="00602CBE">
              <w:t>ethical standards, codes of practice</w:t>
            </w:r>
          </w:p>
          <w:p w:rsidR="00000000" w:rsidRPr="00602CBE" w:rsidP="00602CBE">
            <w:pPr>
              <w:pStyle w:val="ListBullet"/>
            </w:pPr>
            <w:r w:rsidRPr="00602CBE">
              <w:t xml:space="preserve">product or service development </w:t>
            </w:r>
          </w:p>
          <w:p w:rsidR="00000000" w:rsidRPr="00602CBE" w:rsidP="00602CBE">
            <w:pPr>
              <w:pStyle w:val="ListBullet"/>
            </w:pPr>
            <w:r w:rsidRPr="00602CBE">
              <w:t>complaints and dispute resolution procedures</w:t>
            </w:r>
          </w:p>
          <w:p w:rsidR="00000000" w:rsidRPr="00602CBE" w:rsidP="00602CBE">
            <w:pPr>
              <w:pStyle w:val="ListBullet"/>
            </w:pPr>
            <w:r w:rsidRPr="00602CBE">
              <w:t>OH&amp;S policies, procedures and programs</w:t>
            </w:r>
          </w:p>
          <w:p w:rsidR="00000000" w:rsidP="00602CBE">
            <w:pPr>
              <w:pStyle w:val="ListBullet"/>
              <w:rPr>
                <w:lang w:val="en-NZ"/>
              </w:rPr>
            </w:pPr>
            <w:r w:rsidRPr="00602CBE">
              <w:t>quality and continuous improvement process and standards</w:t>
            </w:r>
          </w:p>
        </w:tc>
      </w:tr>
      <w:tr w:rsidTr="00602CBE">
        <w:tblPrEx>
          <w:tblW w:w="0" w:type="auto"/>
          <w:tblLayout w:type="fixed"/>
          <w:tblCellMar>
            <w:left w:w="62" w:type="dxa"/>
            <w:right w:w="62" w:type="dxa"/>
          </w:tblCellMar>
          <w:tblLook w:val="0000"/>
        </w:tblPrEx>
        <w:tc>
          <w:tcPr>
            <w:tcW w:w="3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2CBE">
            <w:pPr>
              <w:pStyle w:val="BodyText"/>
              <w:rPr>
                <w:lang w:val="en-NZ"/>
              </w:rPr>
            </w:pPr>
            <w:r w:rsidRPr="00602CBE">
              <w:rPr>
                <w:rStyle w:val="BoldandItalics"/>
              </w:rPr>
              <w:t>Internal monitoring/audit programs</w:t>
            </w:r>
            <w:r w:rsidRPr="00602CBE">
              <w:t xml:space="preserve"> may include:</w:t>
            </w:r>
          </w:p>
        </w:tc>
        <w:tc>
          <w:tcPr>
            <w:tcW w:w="5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2CBE" w:rsidP="00602CBE">
            <w:pPr>
              <w:pStyle w:val="ListBullet"/>
            </w:pPr>
            <w:r w:rsidRPr="00602CBE">
              <w:t>monthly journal audits</w:t>
            </w:r>
          </w:p>
          <w:p w:rsidR="00000000" w:rsidRPr="00602CBE" w:rsidP="00602CBE">
            <w:pPr>
              <w:pStyle w:val="ListBullet"/>
            </w:pPr>
            <w:r w:rsidRPr="00602CBE">
              <w:t>Financial Services Reform (FSR) document a</w:t>
            </w:r>
            <w:r w:rsidRPr="00602CBE">
              <w:t>udits</w:t>
            </w:r>
          </w:p>
          <w:p w:rsidR="00000000" w:rsidRPr="00602CBE" w:rsidP="00602CBE">
            <w:pPr>
              <w:pStyle w:val="ListBullet"/>
            </w:pPr>
            <w:r w:rsidRPr="00602CBE">
              <w:t>loan document audits</w:t>
            </w:r>
          </w:p>
          <w:p w:rsidR="00000000" w:rsidRPr="00602CBE" w:rsidP="00602CBE">
            <w:pPr>
              <w:pStyle w:val="ListBullet"/>
            </w:pPr>
            <w:r w:rsidRPr="00602CBE">
              <w:t>audits of disclosure documentation</w:t>
            </w:r>
          </w:p>
          <w:p w:rsidR="00000000" w:rsidP="00602CBE">
            <w:pPr>
              <w:pStyle w:val="ListBullet"/>
              <w:rPr>
                <w:lang w:val="en-NZ"/>
              </w:rPr>
            </w:pPr>
            <w:r w:rsidRPr="00602CBE">
              <w:t>qualification checks</w:t>
            </w:r>
          </w:p>
        </w:tc>
      </w:tr>
      <w:tr w:rsidTr="00602CBE">
        <w:tblPrEx>
          <w:tblW w:w="0" w:type="auto"/>
          <w:tblLayout w:type="fixed"/>
          <w:tblCellMar>
            <w:left w:w="62" w:type="dxa"/>
            <w:right w:w="62" w:type="dxa"/>
          </w:tblCellMar>
          <w:tblLook w:val="0000"/>
        </w:tblPrEx>
        <w:tc>
          <w:tcPr>
            <w:tcW w:w="3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2CBE">
            <w:pPr>
              <w:pStyle w:val="BodyText"/>
              <w:rPr>
                <w:lang w:val="en-NZ"/>
              </w:rPr>
            </w:pPr>
            <w:r w:rsidRPr="00602CBE">
              <w:rPr>
                <w:rStyle w:val="BoldandItalics"/>
              </w:rPr>
              <w:t>Relevant industry and professional codes</w:t>
            </w:r>
            <w:r w:rsidRPr="00602CBE">
              <w:t xml:space="preserve"> include:</w:t>
            </w:r>
          </w:p>
        </w:tc>
        <w:tc>
          <w:tcPr>
            <w:tcW w:w="5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2CBE" w:rsidP="00602CBE">
            <w:pPr>
              <w:pStyle w:val="ListBullet"/>
            </w:pPr>
            <w:r w:rsidRPr="00602CBE">
              <w:t>Life Insurance Code of Practice</w:t>
            </w:r>
          </w:p>
          <w:p w:rsidR="00000000" w:rsidRPr="00602CBE" w:rsidP="00602CBE">
            <w:pPr>
              <w:pStyle w:val="ListBullet"/>
            </w:pPr>
            <w:r w:rsidRPr="00602CBE">
              <w:t>Banking Code of Practice</w:t>
            </w:r>
          </w:p>
          <w:p w:rsidR="00000000" w:rsidRPr="00602CBE" w:rsidP="00602CBE">
            <w:pPr>
              <w:pStyle w:val="ListBullet"/>
            </w:pPr>
            <w:r w:rsidRPr="00602CBE">
              <w:t>Australian Society of Certified Practicing Accountants (ASCPA) C</w:t>
            </w:r>
            <w:r w:rsidRPr="00602CBE">
              <w:t>ode of Practice</w:t>
            </w:r>
          </w:p>
          <w:p w:rsidR="00000000" w:rsidRPr="00602CBE" w:rsidP="00602CBE">
            <w:pPr>
              <w:pStyle w:val="ListBullet"/>
            </w:pPr>
            <w:r w:rsidRPr="00602CBE">
              <w:t>Mortgage Brokers Code of Practice</w:t>
            </w:r>
          </w:p>
          <w:p w:rsidR="00000000" w:rsidRPr="00602CBE" w:rsidP="00602CBE">
            <w:pPr>
              <w:pStyle w:val="ListBullet"/>
            </w:pPr>
            <w:r w:rsidRPr="00602CBE">
              <w:t>any ethical codes of any association or body to which the adviser belongs</w:t>
            </w:r>
          </w:p>
        </w:tc>
      </w:tr>
    </w:tbl>
    <w:p w:rsidR="00000000" w:rsidRPr="00602CBE" w:rsidP="00602CBE">
      <w:pPr>
        <w:pStyle w:val="BodyText"/>
      </w:pPr>
    </w:p>
    <w:p w:rsidR="00000000" w:rsidRPr="00602CBE" w:rsidP="00602CBE">
      <w:pPr>
        <w:pStyle w:val="AllowPageBreak"/>
      </w:pPr>
    </w:p>
    <w:p w:rsidR="00000000" w:rsidRPr="00602CBE" w:rsidP="00602CBE">
      <w:pPr>
        <w:pStyle w:val="Heading1"/>
      </w:pPr>
      <w:bookmarkStart w:id="12" w:name="O_418083"/>
      <w:bookmarkEnd w:id="12"/>
      <w:r w:rsidRPr="00602CBE">
        <w:t>Unit Sector(s)</w:t>
      </w:r>
    </w:p>
    <w:p w:rsidR="00000000" w:rsidRPr="00602CBE" w:rsidP="00602CBE">
      <w:pPr>
        <w:pStyle w:val="BodyText"/>
      </w:pPr>
      <w:r w:rsidRPr="00602CBE">
        <w:t>Compliance</w:t>
      </w:r>
    </w:p>
    <w:p w:rsidR="00000000" w:rsidRPr="00602CBE" w:rsidP="00602CBE"/>
    <w:sectPr w:rsidSect="00602CB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C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E09B3" w:rsidP="007E09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C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9B3" w:rsidP="00602C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E09B3" w:rsidP="00602CB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E09B3" w:rsidP="00602CB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C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E09B3" w:rsidP="007E09B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C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9B3" w:rsidP="00602CBE">
    <w:pPr>
      <w:pStyle w:val="Header"/>
      <w:framePr w:wrap="around"/>
    </w:pPr>
    <w:r>
      <w:fldChar w:fldCharType="begin"/>
    </w:r>
    <w:r>
      <w:instrText xml:space="preserve"> TITLE   \* MERGEFORMAT </w:instrText>
    </w:r>
    <w:r>
      <w:fldChar w:fldCharType="separate"/>
    </w:r>
    <w:r>
      <w:t>FNSCMP501A Comply with financial services legislation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E09B3" w:rsidP="00602CB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16AAF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A24D4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72633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2CB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02CBE"/>
    <w:pPr>
      <w:spacing w:before="360" w:after="60"/>
      <w:outlineLvl w:val="0"/>
    </w:pPr>
    <w:rPr>
      <w:sz w:val="32"/>
    </w:rPr>
  </w:style>
  <w:style w:type="paragraph" w:styleId="Heading2">
    <w:name w:val="heading 2"/>
    <w:basedOn w:val="HeadingBase"/>
    <w:next w:val="BodyText"/>
    <w:link w:val="Heading2Char"/>
    <w:qFormat/>
    <w:rsid w:val="00602CBE"/>
    <w:pPr>
      <w:keepLines/>
      <w:spacing w:before="240" w:after="120"/>
      <w:outlineLvl w:val="1"/>
    </w:pPr>
    <w:rPr>
      <w:sz w:val="28"/>
      <w:szCs w:val="40"/>
    </w:rPr>
  </w:style>
  <w:style w:type="paragraph" w:styleId="Heading3">
    <w:name w:val="heading 3"/>
    <w:basedOn w:val="HeadingBase"/>
    <w:next w:val="BodyText"/>
    <w:link w:val="Heading3Char"/>
    <w:qFormat/>
    <w:rsid w:val="00602CBE"/>
    <w:pPr>
      <w:spacing w:before="180" w:after="120"/>
      <w:outlineLvl w:val="2"/>
    </w:pPr>
    <w:rPr>
      <w:spacing w:val="-10"/>
      <w:kern w:val="32"/>
    </w:rPr>
  </w:style>
  <w:style w:type="paragraph" w:styleId="Heading4">
    <w:name w:val="heading 4"/>
    <w:basedOn w:val="HeadingBase"/>
    <w:next w:val="BodyText"/>
    <w:link w:val="Heading4Char"/>
    <w:qFormat/>
    <w:rsid w:val="00602CBE"/>
    <w:pPr>
      <w:spacing w:before="160" w:after="120"/>
      <w:outlineLvl w:val="3"/>
    </w:pPr>
    <w:rPr>
      <w:sz w:val="22"/>
    </w:rPr>
  </w:style>
  <w:style w:type="paragraph" w:styleId="Heading5">
    <w:name w:val="heading 5"/>
    <w:basedOn w:val="HeadingBase"/>
    <w:next w:val="Normal"/>
    <w:link w:val="Heading5Char"/>
    <w:qFormat/>
    <w:rsid w:val="00602CBE"/>
    <w:pPr>
      <w:spacing w:before="80"/>
      <w:outlineLvl w:val="4"/>
    </w:pPr>
    <w:rPr>
      <w:color w:val="918585"/>
      <w:sz w:val="20"/>
    </w:rPr>
  </w:style>
  <w:style w:type="paragraph" w:styleId="Heading6">
    <w:name w:val="heading 6"/>
    <w:basedOn w:val="HeadingBase"/>
    <w:next w:val="Normal"/>
    <w:link w:val="Heading6Char"/>
    <w:qFormat/>
    <w:rsid w:val="00602CBE"/>
    <w:pPr>
      <w:spacing w:before="60"/>
      <w:outlineLvl w:val="5"/>
    </w:pPr>
    <w:rPr>
      <w:color w:val="918585"/>
      <w:sz w:val="20"/>
    </w:rPr>
  </w:style>
  <w:style w:type="paragraph" w:styleId="Heading7">
    <w:name w:val="heading 7"/>
    <w:basedOn w:val="Normal"/>
    <w:next w:val="Normal"/>
    <w:link w:val="Heading7Char"/>
    <w:qFormat/>
    <w:rsid w:val="00602CBE"/>
    <w:pPr>
      <w:ind w:left="720"/>
      <w:outlineLvl w:val="6"/>
    </w:pPr>
    <w:rPr>
      <w:i/>
    </w:rPr>
  </w:style>
  <w:style w:type="paragraph" w:styleId="Heading8">
    <w:name w:val="heading 8"/>
    <w:basedOn w:val="Normal"/>
    <w:next w:val="Normal"/>
    <w:link w:val="Heading8Char"/>
    <w:qFormat/>
    <w:rsid w:val="00602CBE"/>
    <w:pPr>
      <w:ind w:left="720"/>
      <w:outlineLvl w:val="7"/>
    </w:pPr>
    <w:rPr>
      <w:i/>
    </w:rPr>
  </w:style>
  <w:style w:type="paragraph" w:styleId="Heading9">
    <w:name w:val="heading 9"/>
    <w:basedOn w:val="Normal"/>
    <w:next w:val="Normal"/>
    <w:link w:val="Heading9Char"/>
    <w:qFormat/>
    <w:rsid w:val="00602CBE"/>
    <w:pPr>
      <w:ind w:left="720"/>
      <w:outlineLvl w:val="8"/>
    </w:pPr>
    <w:rPr>
      <w:i/>
    </w:rPr>
  </w:style>
  <w:style w:type="character" w:default="1" w:styleId="DefaultParagraphFont">
    <w:name w:val="Default Paragraph Font"/>
    <w:uiPriority w:val="1"/>
    <w:unhideWhenUsed/>
    <w:rsid w:val="00602C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2CBE"/>
  </w:style>
  <w:style w:type="character" w:customStyle="1" w:styleId="Heading1Char">
    <w:name w:val="Heading 1 Char"/>
    <w:basedOn w:val="DefaultParagraphFont"/>
    <w:link w:val="Heading1"/>
    <w:rsid w:val="00602CBE"/>
    <w:rPr>
      <w:rFonts w:ascii="Times New Roman" w:eastAsia="Times New Roman" w:hAnsi="Times New Roman" w:cs="Times New Roman"/>
      <w:b/>
      <w:sz w:val="32"/>
      <w:szCs w:val="20"/>
      <w:lang w:eastAsia="en-US"/>
    </w:rPr>
  </w:style>
  <w:style w:type="paragraph" w:styleId="BodyText">
    <w:name w:val="Body Text"/>
    <w:basedOn w:val="Normal"/>
    <w:link w:val="BodyTextChar"/>
    <w:rsid w:val="00602CB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02CBE"/>
    <w:rPr>
      <w:rFonts w:ascii="Times New Roman" w:eastAsia="Times New Roman" w:hAnsi="Times New Roman" w:cs="Times New Roman"/>
      <w:sz w:val="24"/>
      <w:lang w:val="en-US" w:eastAsia="en-US"/>
    </w:rPr>
  </w:style>
  <w:style w:type="paragraph" w:styleId="Footer">
    <w:name w:val="footer"/>
    <w:basedOn w:val="Normal"/>
    <w:link w:val="FooterChar"/>
    <w:rsid w:val="00602C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2CBE"/>
    <w:rPr>
      <w:rFonts w:ascii="Times New Roman" w:eastAsia="Times New Roman" w:hAnsi="Times New Roman" w:cs="Times New Roman"/>
      <w:sz w:val="16"/>
      <w:lang w:val="en-US" w:eastAsia="en-US"/>
    </w:rPr>
  </w:style>
  <w:style w:type="paragraph" w:styleId="ListBullet">
    <w:name w:val="List Bullet"/>
    <w:basedOn w:val="List"/>
    <w:rsid w:val="00602CBE"/>
    <w:pPr>
      <w:numPr>
        <w:numId w:val="13"/>
      </w:numPr>
      <w:tabs>
        <w:tab w:val="clear" w:pos="340"/>
      </w:tabs>
      <w:spacing w:before="40" w:after="40"/>
    </w:pPr>
  </w:style>
  <w:style w:type="character" w:customStyle="1" w:styleId="SpecialBold">
    <w:name w:val="Special Bold"/>
    <w:basedOn w:val="DefaultParagraphFont"/>
    <w:rsid w:val="00602CBE"/>
    <w:rPr>
      <w:b/>
      <w:spacing w:val="0"/>
    </w:rPr>
  </w:style>
  <w:style w:type="paragraph" w:styleId="ListBullet2">
    <w:name w:val="List Bullet 2"/>
    <w:basedOn w:val="List2"/>
    <w:rsid w:val="00602CBE"/>
    <w:pPr>
      <w:numPr>
        <w:numId w:val="14"/>
      </w:numPr>
      <w:tabs>
        <w:tab w:val="clear" w:pos="680"/>
      </w:tabs>
    </w:pPr>
  </w:style>
  <w:style w:type="paragraph" w:styleId="Header">
    <w:name w:val="header"/>
    <w:basedOn w:val="Normal"/>
    <w:link w:val="HeaderChar"/>
    <w:rsid w:val="00602C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2CB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02CBE"/>
    <w:rPr>
      <w:i/>
    </w:rPr>
  </w:style>
  <w:style w:type="paragraph" w:customStyle="1" w:styleId="SuperHeading">
    <w:name w:val="SuperHeading"/>
    <w:basedOn w:val="Normal"/>
    <w:rsid w:val="00602CBE"/>
    <w:pPr>
      <w:spacing w:before="240" w:after="120"/>
      <w:outlineLvl w:val="0"/>
    </w:pPr>
    <w:rPr>
      <w:rFonts w:ascii="Times New Roman" w:hAnsi="Times New Roman"/>
      <w:b/>
      <w:sz w:val="28"/>
    </w:rPr>
  </w:style>
  <w:style w:type="paragraph" w:customStyle="1" w:styleId="AllowPageBreak">
    <w:name w:val="AllowPageBreak"/>
    <w:rsid w:val="00602CB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02CBE"/>
    <w:rPr>
      <w:b/>
      <w:i/>
      <w:u w:val="none"/>
    </w:rPr>
  </w:style>
  <w:style w:type="character" w:customStyle="1" w:styleId="Heading2Char">
    <w:name w:val="Heading 2 Char"/>
    <w:basedOn w:val="DefaultParagraphFont"/>
    <w:link w:val="Heading2"/>
    <w:rsid w:val="00602C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2C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2C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2C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2C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2CB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02CB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02CBE"/>
    <w:rPr>
      <w:rFonts w:ascii="Courier New" w:eastAsia="Times New Roman" w:hAnsi="Courier New" w:cs="Times New Roman"/>
      <w:i/>
      <w:szCs w:val="20"/>
      <w:lang w:val="en-US" w:eastAsia="en-US"/>
    </w:rPr>
  </w:style>
  <w:style w:type="paragraph" w:customStyle="1" w:styleId="HeadingBase">
    <w:name w:val="Heading Base"/>
    <w:rsid w:val="00602C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2CBE"/>
    <w:pPr>
      <w:tabs>
        <w:tab w:val="right" w:leader="dot" w:pos="9072"/>
      </w:tabs>
      <w:ind w:left="567"/>
    </w:pPr>
    <w:rPr>
      <w:szCs w:val="22"/>
    </w:rPr>
  </w:style>
  <w:style w:type="paragraph" w:customStyle="1" w:styleId="TOCBase">
    <w:name w:val="TOC Base"/>
    <w:rsid w:val="00602C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2CBE"/>
    <w:pPr>
      <w:tabs>
        <w:tab w:val="right" w:leader="dot" w:pos="9072"/>
      </w:tabs>
      <w:spacing w:before="40" w:after="40"/>
      <w:ind w:left="284"/>
    </w:pPr>
    <w:rPr>
      <w:rFonts w:ascii="Times New Roman" w:hAnsi="Times New Roman"/>
    </w:rPr>
  </w:style>
  <w:style w:type="paragraph" w:styleId="TOC1">
    <w:name w:val="toc 1"/>
    <w:basedOn w:val="TOCBase"/>
    <w:next w:val="Normal"/>
    <w:rsid w:val="00602CB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02CBE"/>
    <w:pPr>
      <w:spacing w:before="5040"/>
      <w:jc w:val="center"/>
    </w:pPr>
    <w:rPr>
      <w:sz w:val="48"/>
      <w:szCs w:val="72"/>
      <w:lang w:val="en-US"/>
    </w:rPr>
  </w:style>
  <w:style w:type="character" w:customStyle="1" w:styleId="TitleChar">
    <w:name w:val="Title Char"/>
    <w:basedOn w:val="DefaultParagraphFont"/>
    <w:link w:val="Title"/>
    <w:rsid w:val="00602C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2CBE"/>
    <w:pPr>
      <w:tabs>
        <w:tab w:val="left" w:pos="3600"/>
        <w:tab w:val="left" w:pos="3958"/>
      </w:tabs>
    </w:pPr>
  </w:style>
  <w:style w:type="paragraph" w:styleId="List">
    <w:name w:val="List"/>
    <w:basedOn w:val="BodyText"/>
    <w:next w:val="BodyText"/>
    <w:rsid w:val="00602CBE"/>
    <w:pPr>
      <w:tabs>
        <w:tab w:val="left" w:pos="340"/>
      </w:tabs>
      <w:spacing w:before="60" w:after="60"/>
      <w:ind w:left="340" w:hanging="340"/>
    </w:pPr>
  </w:style>
  <w:style w:type="paragraph" w:customStyle="1" w:styleId="Note">
    <w:name w:val="Note"/>
    <w:basedOn w:val="BodyText"/>
    <w:rsid w:val="00602C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2CBE"/>
    <w:pPr>
      <w:framePr w:wrap="auto" w:hAnchor="text" w:y="6049"/>
    </w:pPr>
    <w:rPr>
      <w:color w:val="000000"/>
      <w:sz w:val="40"/>
    </w:rPr>
  </w:style>
  <w:style w:type="paragraph" w:customStyle="1" w:styleId="TOCTitle">
    <w:name w:val="TOCTitle"/>
    <w:basedOn w:val="Heading1"/>
    <w:rsid w:val="00602CBE"/>
    <w:pPr>
      <w:spacing w:after="240"/>
      <w:jc w:val="center"/>
      <w:outlineLvl w:val="9"/>
    </w:pPr>
    <w:rPr>
      <w:caps/>
    </w:rPr>
  </w:style>
  <w:style w:type="paragraph" w:customStyle="1" w:styleId="Version">
    <w:name w:val="Version"/>
    <w:rsid w:val="00602C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02CBE"/>
    <w:pPr>
      <w:keepNext w:val="0"/>
      <w:tabs>
        <w:tab w:val="right" w:pos="4176"/>
      </w:tabs>
      <w:ind w:left="198" w:hanging="198"/>
    </w:pPr>
    <w:rPr>
      <w:rFonts w:ascii="Garamond" w:hAnsi="Garamond"/>
    </w:rPr>
  </w:style>
  <w:style w:type="paragraph" w:styleId="IndexHeading">
    <w:name w:val="index heading"/>
    <w:basedOn w:val="Normal"/>
    <w:next w:val="Index1"/>
    <w:semiHidden/>
    <w:rsid w:val="00602CBE"/>
    <w:pPr>
      <w:spacing w:before="120" w:after="120"/>
    </w:pPr>
    <w:rPr>
      <w:rFonts w:ascii="Arial" w:hAnsi="Arial"/>
      <w:b/>
      <w:color w:val="918585"/>
      <w:sz w:val="24"/>
    </w:rPr>
  </w:style>
  <w:style w:type="paragraph" w:customStyle="1" w:styleId="Chapter">
    <w:name w:val="Chapter"/>
    <w:basedOn w:val="Normal"/>
    <w:rsid w:val="00602CBE"/>
    <w:pPr>
      <w:spacing w:before="240"/>
    </w:pPr>
    <w:rPr>
      <w:rFonts w:ascii="Times New Roman" w:hAnsi="Times New Roman"/>
      <w:smallCaps/>
      <w:spacing w:val="80"/>
      <w:sz w:val="28"/>
    </w:rPr>
  </w:style>
  <w:style w:type="paragraph" w:customStyle="1" w:styleId="InChapter">
    <w:name w:val="InChapter"/>
    <w:basedOn w:val="Heading3"/>
    <w:rsid w:val="00602CBE"/>
    <w:pPr>
      <w:spacing w:after="240"/>
      <w:outlineLvl w:val="9"/>
    </w:pPr>
    <w:rPr>
      <w:noProof/>
    </w:rPr>
  </w:style>
  <w:style w:type="paragraph" w:styleId="Index2">
    <w:name w:val="index 2"/>
    <w:basedOn w:val="Normal"/>
    <w:next w:val="Normal"/>
    <w:semiHidden/>
    <w:rsid w:val="00602CBE"/>
    <w:pPr>
      <w:tabs>
        <w:tab w:val="right" w:pos="4176"/>
      </w:tabs>
      <w:ind w:left="568" w:hanging="284"/>
    </w:pPr>
    <w:rPr>
      <w:rFonts w:ascii="Garamond" w:hAnsi="Garamond"/>
    </w:rPr>
  </w:style>
  <w:style w:type="paragraph" w:customStyle="1" w:styleId="Byline">
    <w:name w:val="Byline"/>
    <w:rsid w:val="00602C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2CBE"/>
    <w:pPr>
      <w:tabs>
        <w:tab w:val="clear" w:pos="3600"/>
        <w:tab w:val="clear" w:pos="3958"/>
      </w:tabs>
      <w:jc w:val="right"/>
    </w:pPr>
  </w:style>
  <w:style w:type="paragraph" w:styleId="Caption">
    <w:name w:val="caption"/>
    <w:basedOn w:val="BodyText"/>
    <w:next w:val="Normal"/>
    <w:qFormat/>
    <w:rsid w:val="00602CBE"/>
    <w:pPr>
      <w:framePr w:w="2268" w:hSpace="181" w:vSpace="181" w:wrap="around" w:vAnchor="text" w:hAnchor="page" w:x="1135" w:y="285" w:anchorLock="1"/>
    </w:pPr>
    <w:rPr>
      <w:i/>
    </w:rPr>
  </w:style>
  <w:style w:type="paragraph" w:customStyle="1" w:styleId="MiniTOCTitle">
    <w:name w:val="MiniTOCTitle"/>
    <w:basedOn w:val="Heading4"/>
    <w:rsid w:val="00602CBE"/>
    <w:pPr>
      <w:spacing w:before="240"/>
      <w:outlineLvl w:val="9"/>
    </w:pPr>
    <w:rPr>
      <w:noProof/>
      <w:sz w:val="24"/>
    </w:rPr>
  </w:style>
  <w:style w:type="paragraph" w:customStyle="1" w:styleId="MiniTOCItem">
    <w:name w:val="MiniTOCItem"/>
    <w:basedOn w:val="ListBullet"/>
    <w:rsid w:val="00602CBE"/>
    <w:pPr>
      <w:numPr>
        <w:numId w:val="0"/>
      </w:numPr>
      <w:tabs>
        <w:tab w:val="right" w:leader="dot" w:pos="6521"/>
      </w:tabs>
      <w:spacing w:before="0" w:after="0"/>
    </w:pPr>
  </w:style>
  <w:style w:type="paragraph" w:customStyle="1" w:styleId="TOFTitle">
    <w:name w:val="TOFTitle"/>
    <w:basedOn w:val="TOCTitle"/>
    <w:rsid w:val="00602CBE"/>
  </w:style>
  <w:style w:type="paragraph" w:styleId="TableofFigures">
    <w:name w:val="table of figures"/>
    <w:basedOn w:val="Normal"/>
    <w:next w:val="Normal"/>
    <w:semiHidden/>
    <w:rsid w:val="00602CBE"/>
    <w:pPr>
      <w:tabs>
        <w:tab w:val="right" w:leader="dot" w:pos="9072"/>
      </w:tabs>
      <w:ind w:left="970" w:hanging="403"/>
    </w:pPr>
    <w:rPr>
      <w:rFonts w:ascii="Times New Roman" w:hAnsi="Times New Roman"/>
      <w:b/>
    </w:rPr>
  </w:style>
  <w:style w:type="paragraph" w:styleId="ListNumber">
    <w:name w:val="List Number"/>
    <w:basedOn w:val="List"/>
    <w:rsid w:val="00602CBE"/>
    <w:pPr>
      <w:numPr>
        <w:numId w:val="11"/>
      </w:numPr>
    </w:pPr>
  </w:style>
  <w:style w:type="character" w:customStyle="1" w:styleId="WingdingSymbols">
    <w:name w:val="Wingding Symbols"/>
    <w:rsid w:val="00602CBE"/>
    <w:rPr>
      <w:rFonts w:ascii="Wingdings" w:hAnsi="Wingdings"/>
    </w:rPr>
  </w:style>
  <w:style w:type="paragraph" w:customStyle="1" w:styleId="TableHeading">
    <w:name w:val="Table Heading"/>
    <w:basedOn w:val="HeadingBase"/>
    <w:rsid w:val="00602CBE"/>
    <w:pPr>
      <w:keepLines/>
      <w:pBdr>
        <w:bottom w:val="single" w:sz="6" w:space="1" w:color="918585"/>
      </w:pBdr>
      <w:spacing w:before="240"/>
    </w:pPr>
  </w:style>
  <w:style w:type="character" w:customStyle="1" w:styleId="HotSpot">
    <w:name w:val="HotSpot"/>
    <w:rsid w:val="00602CBE"/>
    <w:rPr>
      <w:color w:val="0033CC"/>
      <w:u w:val="none"/>
    </w:rPr>
  </w:style>
  <w:style w:type="paragraph" w:customStyle="1" w:styleId="BodyTextRight">
    <w:name w:val="Body Text Right"/>
    <w:basedOn w:val="BodyText"/>
    <w:rsid w:val="00602CBE"/>
    <w:pPr>
      <w:spacing w:before="0" w:after="0"/>
      <w:jc w:val="right"/>
    </w:pPr>
  </w:style>
  <w:style w:type="paragraph" w:styleId="Index3">
    <w:name w:val="index 3"/>
    <w:basedOn w:val="ListNumber2"/>
    <w:next w:val="Normal"/>
    <w:semiHidden/>
    <w:rsid w:val="00602CBE"/>
    <w:pPr>
      <w:numPr>
        <w:numId w:val="0"/>
      </w:numPr>
      <w:tabs>
        <w:tab w:val="right" w:leader="dot" w:pos="4176"/>
      </w:tabs>
    </w:pPr>
  </w:style>
  <w:style w:type="paragraph" w:styleId="ListNumber2">
    <w:name w:val="List Number 2"/>
    <w:basedOn w:val="List2"/>
    <w:rsid w:val="00602CBE"/>
    <w:pPr>
      <w:numPr>
        <w:numId w:val="10"/>
      </w:numPr>
      <w:tabs>
        <w:tab w:val="clear" w:pos="1060"/>
      </w:tabs>
    </w:pPr>
  </w:style>
  <w:style w:type="paragraph" w:customStyle="1" w:styleId="MarginNote">
    <w:name w:val="Margin Note"/>
    <w:basedOn w:val="BodyText"/>
    <w:rsid w:val="00602C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2C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2CB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02CBE"/>
    <w:rPr>
      <w:sz w:val="32"/>
    </w:rPr>
  </w:style>
  <w:style w:type="paragraph" w:customStyle="1" w:styleId="HeadingProcedure">
    <w:name w:val="Heading Procedure"/>
    <w:basedOn w:val="HeadingBase"/>
    <w:next w:val="Normal"/>
    <w:rsid w:val="00602CBE"/>
    <w:pPr>
      <w:tabs>
        <w:tab w:val="left" w:pos="0"/>
      </w:tabs>
      <w:spacing w:before="120" w:after="60"/>
    </w:pPr>
    <w:rPr>
      <w:i/>
      <w:color w:val="918585"/>
      <w:sz w:val="22"/>
    </w:rPr>
  </w:style>
  <w:style w:type="paragraph" w:customStyle="1" w:styleId="TableBodyText">
    <w:name w:val="Table Body Text"/>
    <w:basedOn w:val="BodyText"/>
    <w:rsid w:val="00602CBE"/>
    <w:pPr>
      <w:spacing w:before="60" w:after="60"/>
    </w:pPr>
  </w:style>
  <w:style w:type="paragraph" w:styleId="ListContinue">
    <w:name w:val="List Continue"/>
    <w:basedOn w:val="List"/>
    <w:rsid w:val="00602CBE"/>
    <w:pPr>
      <w:ind w:firstLine="0"/>
    </w:pPr>
  </w:style>
  <w:style w:type="paragraph" w:customStyle="1" w:styleId="ListNote">
    <w:name w:val="List Note"/>
    <w:basedOn w:val="List"/>
    <w:rsid w:val="00602CBE"/>
    <w:pPr>
      <w:pBdr>
        <w:top w:val="single" w:sz="6" w:space="2" w:color="918585"/>
        <w:bottom w:val="single" w:sz="6" w:space="2" w:color="918585"/>
      </w:pBdr>
      <w:tabs>
        <w:tab w:val="left" w:pos="1021"/>
      </w:tabs>
      <w:ind w:firstLine="0"/>
    </w:pPr>
  </w:style>
  <w:style w:type="paragraph" w:customStyle="1" w:styleId="Warning">
    <w:name w:val="Warning"/>
    <w:basedOn w:val="BodyText"/>
    <w:rsid w:val="00602CBE"/>
    <w:pPr>
      <w:shd w:val="clear" w:color="auto" w:fill="D9D9D9"/>
      <w:tabs>
        <w:tab w:val="left" w:pos="992"/>
      </w:tabs>
      <w:ind w:left="119" w:right="119"/>
    </w:pPr>
    <w:rPr>
      <w:sz w:val="20"/>
    </w:rPr>
  </w:style>
  <w:style w:type="paragraph" w:customStyle="1" w:styleId="MarginIcons">
    <w:name w:val="Margin Icons"/>
    <w:basedOn w:val="BodyText"/>
    <w:rsid w:val="00602C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2CBE"/>
    <w:rPr>
      <w:rFonts w:ascii="Courier New" w:hAnsi="Courier New"/>
    </w:rPr>
  </w:style>
  <w:style w:type="paragraph" w:customStyle="1" w:styleId="NoteBullet">
    <w:name w:val="Note Bullet"/>
    <w:basedOn w:val="Note"/>
    <w:rsid w:val="00602CBE"/>
    <w:pPr>
      <w:tabs>
        <w:tab w:val="clear" w:pos="680"/>
      </w:tabs>
      <w:spacing w:before="60" w:after="60"/>
    </w:pPr>
  </w:style>
  <w:style w:type="paragraph" w:customStyle="1" w:styleId="SubHeading2">
    <w:name w:val="SubHeading2"/>
    <w:basedOn w:val="HeadingBase"/>
    <w:rsid w:val="00602CBE"/>
    <w:pPr>
      <w:spacing w:before="240" w:after="60"/>
    </w:pPr>
    <w:rPr>
      <w:sz w:val="20"/>
    </w:rPr>
  </w:style>
  <w:style w:type="paragraph" w:customStyle="1" w:styleId="SubHeading1">
    <w:name w:val="SubHeading1"/>
    <w:basedOn w:val="HeadingBase"/>
    <w:rsid w:val="00602CBE"/>
    <w:pPr>
      <w:spacing w:before="240" w:after="60"/>
    </w:pPr>
    <w:rPr>
      <w:color w:val="918585"/>
      <w:sz w:val="22"/>
    </w:rPr>
  </w:style>
  <w:style w:type="paragraph" w:customStyle="1" w:styleId="SideHeading">
    <w:name w:val="Side Heading"/>
    <w:basedOn w:val="HeadingBase"/>
    <w:rsid w:val="00602C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2CBE"/>
    <w:pPr>
      <w:numPr>
        <w:numId w:val="12"/>
      </w:numPr>
    </w:pPr>
  </w:style>
  <w:style w:type="paragraph" w:styleId="PlainText">
    <w:name w:val="Plain Text"/>
    <w:basedOn w:val="Normal"/>
    <w:link w:val="PlainTextChar"/>
    <w:rsid w:val="00602CBE"/>
    <w:rPr>
      <w:sz w:val="20"/>
    </w:rPr>
  </w:style>
  <w:style w:type="character" w:customStyle="1" w:styleId="PlainTextChar">
    <w:name w:val="Plain Text Char"/>
    <w:basedOn w:val="DefaultParagraphFont"/>
    <w:link w:val="PlainText"/>
    <w:rsid w:val="00602CB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02CBE"/>
    <w:rPr>
      <w:b/>
      <w:smallCaps/>
    </w:rPr>
  </w:style>
  <w:style w:type="paragraph" w:customStyle="1" w:styleId="TableListNumber">
    <w:name w:val="Table List Number"/>
    <w:basedOn w:val="ListNumber"/>
    <w:rsid w:val="00602CBE"/>
    <w:pPr>
      <w:numPr>
        <w:numId w:val="0"/>
      </w:numPr>
    </w:pPr>
  </w:style>
  <w:style w:type="paragraph" w:styleId="TOC4">
    <w:name w:val="toc 4"/>
    <w:basedOn w:val="TOCBase"/>
    <w:next w:val="Normal"/>
    <w:semiHidden/>
    <w:rsid w:val="00602CBE"/>
    <w:pPr>
      <w:tabs>
        <w:tab w:val="right" w:leader="dot" w:pos="9071"/>
      </w:tabs>
      <w:ind w:left="1701"/>
    </w:pPr>
  </w:style>
  <w:style w:type="paragraph" w:customStyle="1" w:styleId="ListAlpha">
    <w:name w:val="List Alpha"/>
    <w:basedOn w:val="List"/>
    <w:rsid w:val="00602CBE"/>
    <w:pPr>
      <w:numPr>
        <w:numId w:val="9"/>
      </w:numPr>
    </w:pPr>
  </w:style>
  <w:style w:type="paragraph" w:customStyle="1" w:styleId="ListAlpha2">
    <w:name w:val="List Alpha 2"/>
    <w:basedOn w:val="List2"/>
    <w:rsid w:val="00602CBE"/>
    <w:pPr>
      <w:numPr>
        <w:numId w:val="8"/>
      </w:numPr>
    </w:pPr>
  </w:style>
  <w:style w:type="paragraph" w:styleId="List2">
    <w:name w:val="List 2"/>
    <w:basedOn w:val="BodyText"/>
    <w:rsid w:val="00602CBE"/>
    <w:pPr>
      <w:tabs>
        <w:tab w:val="left" w:pos="680"/>
      </w:tabs>
      <w:spacing w:before="60" w:after="60"/>
      <w:ind w:left="680" w:hanging="340"/>
    </w:pPr>
  </w:style>
  <w:style w:type="paragraph" w:styleId="List3">
    <w:name w:val="List 3"/>
    <w:basedOn w:val="BodyText"/>
    <w:rsid w:val="00602CBE"/>
    <w:pPr>
      <w:tabs>
        <w:tab w:val="left" w:pos="1021"/>
      </w:tabs>
      <w:spacing w:before="60" w:after="60"/>
      <w:ind w:left="1020" w:hanging="340"/>
    </w:pPr>
  </w:style>
  <w:style w:type="paragraph" w:styleId="List4">
    <w:name w:val="List 4"/>
    <w:basedOn w:val="BodyText"/>
    <w:rsid w:val="00602CBE"/>
    <w:pPr>
      <w:tabs>
        <w:tab w:val="left" w:pos="1361"/>
      </w:tabs>
      <w:spacing w:before="60" w:after="60"/>
      <w:ind w:left="1361" w:hanging="340"/>
    </w:pPr>
  </w:style>
  <w:style w:type="paragraph" w:styleId="List5">
    <w:name w:val="List 5"/>
    <w:basedOn w:val="BodyText"/>
    <w:rsid w:val="00602CBE"/>
    <w:pPr>
      <w:tabs>
        <w:tab w:val="left" w:pos="1701"/>
      </w:tabs>
      <w:spacing w:before="60" w:after="60"/>
      <w:ind w:left="1701" w:hanging="340"/>
    </w:pPr>
  </w:style>
  <w:style w:type="paragraph" w:styleId="ListBullet3">
    <w:name w:val="List Bullet 3"/>
    <w:basedOn w:val="List3"/>
    <w:rsid w:val="00602CBE"/>
    <w:pPr>
      <w:numPr>
        <w:numId w:val="15"/>
      </w:numPr>
      <w:tabs>
        <w:tab w:val="clear" w:pos="1021"/>
      </w:tabs>
      <w:ind w:left="1037" w:hanging="357"/>
    </w:pPr>
  </w:style>
  <w:style w:type="paragraph" w:styleId="ListBullet4">
    <w:name w:val="List Bullet 4"/>
    <w:basedOn w:val="List4"/>
    <w:rsid w:val="00602CBE"/>
    <w:pPr>
      <w:numPr>
        <w:numId w:val="3"/>
      </w:numPr>
    </w:pPr>
  </w:style>
  <w:style w:type="paragraph" w:styleId="ListBullet5">
    <w:name w:val="List Bullet 5"/>
    <w:basedOn w:val="List5"/>
    <w:rsid w:val="00602CBE"/>
    <w:pPr>
      <w:numPr>
        <w:numId w:val="4"/>
      </w:numPr>
    </w:pPr>
  </w:style>
  <w:style w:type="paragraph" w:styleId="ListContinue2">
    <w:name w:val="List Continue 2"/>
    <w:basedOn w:val="List2"/>
    <w:rsid w:val="00602CBE"/>
    <w:pPr>
      <w:ind w:firstLine="0"/>
    </w:pPr>
  </w:style>
  <w:style w:type="paragraph" w:styleId="ListContinue3">
    <w:name w:val="List Continue 3"/>
    <w:basedOn w:val="List3"/>
    <w:rsid w:val="00602CBE"/>
    <w:pPr>
      <w:ind w:left="1021" w:firstLine="0"/>
    </w:pPr>
  </w:style>
  <w:style w:type="paragraph" w:styleId="ListContinue4">
    <w:name w:val="List Continue 4"/>
    <w:basedOn w:val="List4"/>
    <w:rsid w:val="00602CBE"/>
    <w:pPr>
      <w:ind w:firstLine="0"/>
    </w:pPr>
  </w:style>
  <w:style w:type="paragraph" w:styleId="ListContinue5">
    <w:name w:val="List Continue 5"/>
    <w:basedOn w:val="List5"/>
    <w:rsid w:val="00602CBE"/>
    <w:pPr>
      <w:ind w:firstLine="0"/>
    </w:pPr>
  </w:style>
  <w:style w:type="paragraph" w:styleId="ListNumber3">
    <w:name w:val="List Number 3"/>
    <w:basedOn w:val="List3"/>
    <w:rsid w:val="00602CBE"/>
    <w:pPr>
      <w:numPr>
        <w:numId w:val="5"/>
      </w:numPr>
    </w:pPr>
  </w:style>
  <w:style w:type="paragraph" w:styleId="ListNumber4">
    <w:name w:val="List Number 4"/>
    <w:basedOn w:val="List4"/>
    <w:rsid w:val="00602CBE"/>
    <w:pPr>
      <w:numPr>
        <w:numId w:val="6"/>
      </w:numPr>
    </w:pPr>
  </w:style>
  <w:style w:type="paragraph" w:styleId="ListNumber5">
    <w:name w:val="List Number 5"/>
    <w:basedOn w:val="List5"/>
    <w:rsid w:val="00602CBE"/>
    <w:pPr>
      <w:numPr>
        <w:numId w:val="7"/>
      </w:numPr>
    </w:pPr>
  </w:style>
  <w:style w:type="paragraph" w:styleId="BlockText">
    <w:name w:val="Block Text"/>
    <w:basedOn w:val="Normal"/>
    <w:rsid w:val="00602CBE"/>
    <w:pPr>
      <w:spacing w:after="120"/>
      <w:ind w:left="1440" w:right="1440"/>
    </w:pPr>
  </w:style>
  <w:style w:type="character" w:customStyle="1" w:styleId="Subscript">
    <w:name w:val="Subscript"/>
    <w:basedOn w:val="DefaultParagraphFont"/>
    <w:rsid w:val="00602CBE"/>
    <w:rPr>
      <w:sz w:val="16"/>
      <w:vertAlign w:val="subscript"/>
    </w:rPr>
  </w:style>
  <w:style w:type="character" w:customStyle="1" w:styleId="Superscript">
    <w:name w:val="Superscript"/>
    <w:basedOn w:val="DefaultParagraphFont"/>
    <w:rsid w:val="00602CBE"/>
    <w:rPr>
      <w:sz w:val="16"/>
      <w:vertAlign w:val="superscript"/>
    </w:rPr>
  </w:style>
  <w:style w:type="character" w:customStyle="1" w:styleId="Symbols">
    <w:name w:val="Symbols"/>
    <w:basedOn w:val="DefaultParagraphFont"/>
    <w:rsid w:val="00602CBE"/>
    <w:rPr>
      <w:rFonts w:ascii="Symbol" w:hAnsi="Symbol"/>
    </w:rPr>
  </w:style>
  <w:style w:type="character" w:customStyle="1" w:styleId="MenuOptions">
    <w:name w:val="Menu Options"/>
    <w:basedOn w:val="DefaultParagraphFont"/>
    <w:rsid w:val="00602CBE"/>
    <w:rPr>
      <w:rFonts w:ascii="Arial Narrow" w:hAnsi="Arial Narrow"/>
      <w:smallCaps/>
    </w:rPr>
  </w:style>
  <w:style w:type="character" w:customStyle="1" w:styleId="Buttons">
    <w:name w:val="Buttons"/>
    <w:basedOn w:val="DefaultParagraphFont"/>
    <w:rsid w:val="00602CBE"/>
    <w:rPr>
      <w:b/>
    </w:rPr>
  </w:style>
  <w:style w:type="character" w:customStyle="1" w:styleId="Underlined">
    <w:name w:val="Underlined"/>
    <w:basedOn w:val="DefaultParagraphFont"/>
    <w:rsid w:val="00602CBE"/>
    <w:rPr>
      <w:u w:val="single"/>
    </w:rPr>
  </w:style>
  <w:style w:type="paragraph" w:customStyle="1" w:styleId="TableBodyTextRight">
    <w:name w:val="Table Body Text Right"/>
    <w:basedOn w:val="TableBodyText"/>
    <w:rsid w:val="00602CBE"/>
    <w:pPr>
      <w:widowControl w:val="0"/>
      <w:autoSpaceDE w:val="0"/>
      <w:autoSpaceDN w:val="0"/>
      <w:adjustRightInd w:val="0"/>
      <w:jc w:val="right"/>
    </w:pPr>
    <w:rPr>
      <w:rFonts w:cs="Arial"/>
      <w:szCs w:val="18"/>
    </w:rPr>
  </w:style>
  <w:style w:type="paragraph" w:customStyle="1" w:styleId="CopyrightText">
    <w:name w:val="Copyright Text"/>
    <w:basedOn w:val="BodyText"/>
    <w:rsid w:val="00602CBE"/>
    <w:rPr>
      <w:sz w:val="18"/>
    </w:rPr>
  </w:style>
  <w:style w:type="paragraph" w:customStyle="1" w:styleId="BodySmallRight">
    <w:name w:val="Body Small Right"/>
    <w:basedOn w:val="BodyTextRight"/>
    <w:rsid w:val="00602CBE"/>
    <w:rPr>
      <w:sz w:val="18"/>
      <w:szCs w:val="18"/>
    </w:rPr>
  </w:style>
  <w:style w:type="paragraph" w:customStyle="1" w:styleId="MarginEdition">
    <w:name w:val="Margin Edition"/>
    <w:basedOn w:val="MarginNote"/>
    <w:rsid w:val="00602CBE"/>
    <w:pPr>
      <w:spacing w:before="0" w:after="0"/>
    </w:pPr>
    <w:rPr>
      <w:rFonts w:ascii="Times New Roman" w:hAnsi="Times New Roman"/>
      <w:color w:val="999999"/>
    </w:rPr>
  </w:style>
  <w:style w:type="paragraph" w:customStyle="1" w:styleId="Spacer">
    <w:name w:val="Spacer"/>
    <w:basedOn w:val="Normal"/>
    <w:rsid w:val="00602CBE"/>
    <w:rPr>
      <w:sz w:val="2"/>
      <w:szCs w:val="2"/>
    </w:rPr>
  </w:style>
  <w:style w:type="character" w:customStyle="1" w:styleId="Small">
    <w:name w:val="Small"/>
    <w:basedOn w:val="DefaultParagraphFont"/>
    <w:rsid w:val="00602CBE"/>
    <w:rPr>
      <w:sz w:val="16"/>
    </w:rPr>
  </w:style>
  <w:style w:type="paragraph" w:customStyle="1" w:styleId="WideTable">
    <w:name w:val="Wide Table"/>
    <w:basedOn w:val="Normal"/>
    <w:rsid w:val="00602CBE"/>
    <w:pPr>
      <w:ind w:left="-1418"/>
    </w:pPr>
    <w:rPr>
      <w:sz w:val="2"/>
      <w:szCs w:val="2"/>
    </w:rPr>
  </w:style>
  <w:style w:type="character" w:styleId="PageNumber">
    <w:name w:val="page number"/>
    <w:basedOn w:val="DefaultParagraphFont"/>
    <w:rsid w:val="00602CBE"/>
  </w:style>
  <w:style w:type="paragraph" w:styleId="Quote">
    <w:name w:val="Quote"/>
    <w:basedOn w:val="Heading1"/>
    <w:link w:val="QuoteChar"/>
    <w:qFormat/>
    <w:rsid w:val="00602CBE"/>
    <w:rPr>
      <w:b w:val="0"/>
      <w:sz w:val="72"/>
      <w:szCs w:val="72"/>
      <w:lang w:val="en-NZ"/>
    </w:rPr>
  </w:style>
  <w:style w:type="character" w:customStyle="1" w:styleId="QuoteChar">
    <w:name w:val="Quote Char"/>
    <w:basedOn w:val="DefaultParagraphFont"/>
    <w:link w:val="Quote"/>
    <w:rsid w:val="00602C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2CBE"/>
    <w:pPr>
      <w:pageBreakBefore/>
    </w:pPr>
  </w:style>
  <w:style w:type="paragraph" w:customStyle="1" w:styleId="Border">
    <w:name w:val="Border"/>
    <w:basedOn w:val="Normal"/>
    <w:qFormat/>
    <w:rsid w:val="00602C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2CBE"/>
    <w:rPr>
      <w:b/>
      <w:bCs/>
      <w:i/>
      <w:iCs/>
      <w:color w:val="auto"/>
    </w:rPr>
  </w:style>
  <w:style w:type="paragraph" w:styleId="IntenseQuote">
    <w:name w:val="Intense Quote"/>
    <w:basedOn w:val="Normal"/>
    <w:next w:val="Normal"/>
    <w:link w:val="IntenseQuoteChar"/>
    <w:uiPriority w:val="30"/>
    <w:qFormat/>
    <w:rsid w:val="00602C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2CB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02CBE"/>
    <w:rPr>
      <w:smallCaps/>
      <w:color w:val="auto"/>
      <w:u w:val="single"/>
    </w:rPr>
  </w:style>
  <w:style w:type="character" w:styleId="IntenseReference">
    <w:name w:val="Intense Reference"/>
    <w:basedOn w:val="DefaultParagraphFont"/>
    <w:uiPriority w:val="32"/>
    <w:qFormat/>
    <w:rsid w:val="00602CBE"/>
    <w:rPr>
      <w:b/>
      <w:bCs/>
      <w:smallCaps/>
      <w:color w:val="auto"/>
      <w:spacing w:val="5"/>
      <w:u w:val="single"/>
    </w:rPr>
  </w:style>
  <w:style w:type="paragraph" w:customStyle="1" w:styleId="2ColumnHeading">
    <w:name w:val="2Column Heading"/>
    <w:basedOn w:val="BodyText"/>
    <w:qFormat/>
    <w:rsid w:val="00602CBE"/>
    <w:pPr>
      <w:spacing w:after="60"/>
      <w:ind w:left="-2268"/>
    </w:pPr>
    <w:rPr>
      <w:b/>
    </w:rPr>
  </w:style>
  <w:style w:type="paragraph" w:customStyle="1" w:styleId="Heading1TOC">
    <w:name w:val="Heading1 TOC"/>
    <w:basedOn w:val="Normal"/>
    <w:qFormat/>
    <w:rsid w:val="00602CBE"/>
    <w:pPr>
      <w:spacing w:before="240" w:after="120"/>
    </w:pPr>
    <w:rPr>
      <w:rFonts w:ascii="Times New Roman" w:hAnsi="Times New Roman"/>
      <w:b/>
      <w:sz w:val="32"/>
    </w:rPr>
  </w:style>
  <w:style w:type="paragraph" w:customStyle="1" w:styleId="Heading2TOC">
    <w:name w:val="Heading2 TOC"/>
    <w:basedOn w:val="Normal"/>
    <w:qFormat/>
    <w:rsid w:val="00602CBE"/>
    <w:pPr>
      <w:spacing w:before="240" w:after="60"/>
    </w:pPr>
    <w:rPr>
      <w:rFonts w:ascii="Times New Roman" w:hAnsi="Times New Roman"/>
      <w:b/>
      <w:sz w:val="28"/>
    </w:rPr>
  </w:style>
  <w:style w:type="character" w:customStyle="1" w:styleId="Underline">
    <w:name w:val="Underline"/>
    <w:basedOn w:val="DefaultParagraphFont"/>
    <w:qFormat/>
    <w:rsid w:val="00602CBE"/>
    <w:rPr>
      <w:u w:val="single"/>
    </w:rPr>
  </w:style>
  <w:style w:type="paragraph" w:styleId="BalloonText">
    <w:name w:val="Balloon Text"/>
    <w:basedOn w:val="Normal"/>
    <w:link w:val="BalloonTextChar"/>
    <w:rsid w:val="00602CBE"/>
    <w:rPr>
      <w:rFonts w:ascii="Tahoma" w:hAnsi="Tahoma" w:cs="Tahoma"/>
      <w:sz w:val="16"/>
      <w:szCs w:val="16"/>
    </w:rPr>
  </w:style>
  <w:style w:type="character" w:customStyle="1" w:styleId="BalloonTextChar">
    <w:name w:val="Balloon Text Char"/>
    <w:basedOn w:val="DefaultParagraphFont"/>
    <w:link w:val="BalloonText"/>
    <w:rsid w:val="00602CB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02CB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02CB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1335</Words>
  <Characters>8749</Characters>
  <Application>Microsoft Office Word</Application>
  <DocSecurity>0</DocSecurity>
  <Lines>274</Lines>
  <Paragraphs>156</Paragraphs>
  <ScaleCrop>false</ScaleCrop>
  <Company>Author-it Software Corporation Ltd.</Company>
  <LinksUpToDate>false</LinksUpToDate>
  <CharactersWithSpaces>10020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FNSCMP501A Comply with financial services legislation</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2012-05-26T16:14:00Z</dcterms:created>
  <dcterms:modified xsi:type="dcterms:W3CDTF">2012-05-26T16:14:00Z</dcterms:modified>
</cp:coreProperties>
</file>