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66F" w:rsidP="007F066F">
      <w:pPr>
        <w:pStyle w:val="Title"/>
      </w:pPr>
      <w:r>
        <w:fldChar w:fldCharType="begin"/>
      </w:r>
      <w:r>
        <w:instrText xml:space="preserve"> TITLE   \* MERGEFORMAT </w:instrText>
      </w:r>
      <w:r>
        <w:fldChar w:fldCharType="separate"/>
      </w:r>
      <w:r>
        <w:t>FNSBNK404A Promote mobile banking services</w:t>
      </w:r>
      <w:r>
        <w:fldChar w:fldCharType="end"/>
      </w:r>
    </w:p>
    <w:p w:rsidR="007F066F" w:rsidP="007F066F">
      <w:pPr>
        <w:pStyle w:val="Version"/>
        <w:sectPr w:rsidSect="00080B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0B36" w:rsidP="00080B36">
      <w:pPr>
        <w:pStyle w:val="SuperHeading"/>
      </w:pPr>
      <w:r w:rsidRPr="00080B36">
        <w:t>FNSBNK404A Promote mobile banking services</w:t>
      </w:r>
    </w:p>
    <w:p w:rsidR="00000000" w:rsidRPr="00080B36" w:rsidP="00080B36">
      <w:pPr>
        <w:pStyle w:val="SuperHeading"/>
      </w:pPr>
    </w:p>
    <w:p w:rsidR="00000000" w:rsidRPr="00080B36" w:rsidP="00080B36">
      <w:pPr>
        <w:pStyle w:val="Heading1"/>
      </w:pPr>
      <w:bookmarkStart w:id="1" w:name="O_77703"/>
      <w:bookmarkEnd w:id="1"/>
      <w:r w:rsidRPr="00080B36">
        <w:t>Modification History</w:t>
      </w:r>
    </w:p>
    <w:p w:rsidR="00000000" w:rsidRPr="00080B36" w:rsidP="00080B36">
      <w:pPr>
        <w:pStyle w:val="BodyText"/>
      </w:pPr>
      <w:r w:rsidRPr="00080B36">
        <w:t>Not applicable.</w:t>
      </w:r>
    </w:p>
    <w:p w:rsidR="00000000" w:rsidRPr="00080B36" w:rsidP="00080B36">
      <w:pPr>
        <w:pStyle w:val="AllowPageBreak"/>
      </w:pPr>
    </w:p>
    <w:p w:rsidR="00000000" w:rsidRPr="00080B36" w:rsidP="00080B36">
      <w:pPr>
        <w:pStyle w:val="Heading1"/>
      </w:pPr>
      <w:bookmarkStart w:id="2" w:name="O_77704"/>
      <w:bookmarkEnd w:id="2"/>
      <w:r w:rsidRPr="00080B36">
        <w:t>Unit Descriptor</w:t>
      </w:r>
    </w:p>
    <w:tbl>
      <w:tblPr>
        <w:tblW w:w="0" w:type="auto"/>
        <w:tblLayout w:type="fixed"/>
        <w:tblCellMar>
          <w:left w:w="62" w:type="dxa"/>
          <w:right w:w="62" w:type="dxa"/>
        </w:tblCellMar>
        <w:tblLook w:val="0000"/>
      </w:tblPr>
      <w:tblGrid>
        <w:gridCol w:w="2646"/>
        <w:gridCol w:w="5876"/>
      </w:tblGrid>
      <w:tr w:rsidTr="007F066F">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t>This unit describes the performance outcomes, skills and knowledge required to identify customers who would be</w:t>
            </w:r>
            <w:r w:rsidRPr="00080B36">
              <w:t>nefit from mobile banking services and develop promotional tools and techniques to introduce the service.</w:t>
            </w:r>
          </w:p>
          <w:p w:rsidR="00000000" w:rsidRPr="00080B36" w:rsidP="00080B36">
            <w:pPr>
              <w:pStyle w:val="BodyText"/>
            </w:pPr>
          </w:p>
          <w:p w:rsidR="00000000" w:rsidRPr="00080B36" w:rsidP="00080B36">
            <w:pPr>
              <w:pStyle w:val="BodyText"/>
            </w:pPr>
            <w:r w:rsidRPr="00080B36">
              <w:t>No licensing, legislative, regulatory or certification requirements apply to this unit at the time of endorsement.</w:t>
            </w: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3" w:name="O_77705"/>
      <w:bookmarkEnd w:id="3"/>
      <w:r w:rsidRPr="00080B36">
        <w:t>Application of the Unit</w:t>
      </w:r>
    </w:p>
    <w:tbl>
      <w:tblPr>
        <w:tblW w:w="0" w:type="auto"/>
        <w:tblLayout w:type="fixed"/>
        <w:tblCellMar>
          <w:left w:w="62" w:type="dxa"/>
          <w:right w:w="62" w:type="dxa"/>
        </w:tblCellMar>
        <w:tblLook w:val="0000"/>
      </w:tblPr>
      <w:tblGrid>
        <w:gridCol w:w="2723"/>
        <w:gridCol w:w="5799"/>
      </w:tblGrid>
      <w:tr w:rsidTr="007F066F">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t>This unit applies to job roles involved in promoting banking products and services to customers.</w:t>
            </w: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4" w:name="O_77706"/>
      <w:bookmarkEnd w:id="4"/>
      <w:r w:rsidRPr="00080B36">
        <w:t>Licensing/Regulatory Information</w:t>
      </w:r>
    </w:p>
    <w:p w:rsidR="00000000" w:rsidRPr="00080B36" w:rsidP="00080B36">
      <w:pPr>
        <w:pStyle w:val="BodyText"/>
      </w:pPr>
      <w:r w:rsidRPr="00080B36">
        <w:t>Not applicable.</w:t>
      </w:r>
    </w:p>
    <w:p w:rsidR="00000000" w:rsidRPr="00080B36" w:rsidP="00080B36">
      <w:pPr>
        <w:pStyle w:val="AllowPageBreak"/>
      </w:pPr>
    </w:p>
    <w:p w:rsidR="00000000" w:rsidRPr="00080B36" w:rsidP="00080B36">
      <w:pPr>
        <w:pStyle w:val="Heading1"/>
      </w:pPr>
      <w:bookmarkStart w:id="5" w:name="O_77707"/>
      <w:bookmarkEnd w:id="5"/>
      <w:r w:rsidRPr="00080B36">
        <w:t>Pre-Requisites</w:t>
      </w:r>
    </w:p>
    <w:tbl>
      <w:tblPr>
        <w:tblW w:w="0" w:type="auto"/>
        <w:tblLayout w:type="fixed"/>
        <w:tblCellMar>
          <w:left w:w="62" w:type="dxa"/>
          <w:right w:w="62" w:type="dxa"/>
        </w:tblCellMar>
        <w:tblLook w:val="0000"/>
      </w:tblPr>
      <w:tblGrid>
        <w:gridCol w:w="2745"/>
        <w:gridCol w:w="1301"/>
        <w:gridCol w:w="4476"/>
      </w:tblGrid>
      <w:tr w:rsidTr="007F066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p>
        </w:tc>
      </w:tr>
      <w:tr w:rsidTr="007F066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p>
        </w:tc>
      </w:tr>
      <w:tr w:rsidTr="007F066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6" w:name="O_77708"/>
      <w:bookmarkEnd w:id="6"/>
      <w:r w:rsidRPr="00080B36">
        <w:t>Employability Skills Information</w:t>
      </w:r>
    </w:p>
    <w:tbl>
      <w:tblPr>
        <w:tblW w:w="0" w:type="auto"/>
        <w:tblLayout w:type="fixed"/>
        <w:tblCellMar>
          <w:left w:w="62" w:type="dxa"/>
          <w:right w:w="62" w:type="dxa"/>
        </w:tblCellMar>
        <w:tblLook w:val="0000"/>
      </w:tblPr>
      <w:tblGrid>
        <w:gridCol w:w="2762"/>
        <w:gridCol w:w="5760"/>
      </w:tblGrid>
      <w:tr w:rsidTr="007F066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t>This unit contains employability skills.</w:t>
            </w: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7" w:name="O_77709"/>
      <w:bookmarkEnd w:id="7"/>
      <w:r w:rsidRPr="00080B36">
        <w:t>Elements and Performance Criteria Pre-Content</w:t>
      </w:r>
    </w:p>
    <w:tbl>
      <w:tblPr>
        <w:tblW w:w="0" w:type="auto"/>
        <w:tblLayout w:type="fixed"/>
        <w:tblCellMar>
          <w:left w:w="62" w:type="dxa"/>
          <w:right w:w="62" w:type="dxa"/>
        </w:tblCellMar>
        <w:tblLook w:val="0000"/>
      </w:tblPr>
      <w:tblGrid>
        <w:gridCol w:w="2538"/>
        <w:gridCol w:w="5984"/>
      </w:tblGrid>
      <w:tr w:rsidTr="007F066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t>Performance criteria describe the performance needed to demonstrate achievement of the element. Where bold italicised text is used, further information is detailed in the required skills and</w:t>
            </w:r>
            <w:r w:rsidRPr="00080B36">
              <w:t xml:space="preserve"> knowledge section and the range statement. Assessment of performance is to be consistent with the evidence guide.</w:t>
            </w: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8" w:name="O_77710"/>
      <w:bookmarkEnd w:id="8"/>
      <w:r w:rsidRPr="00080B36">
        <w:t>Elements and Performance Criteria</w:t>
      </w:r>
    </w:p>
    <w:tbl>
      <w:tblPr>
        <w:tblW w:w="0" w:type="auto"/>
        <w:tblLayout w:type="fixed"/>
        <w:tblCellMar>
          <w:left w:w="62" w:type="dxa"/>
          <w:right w:w="62" w:type="dxa"/>
        </w:tblCellMar>
        <w:tblLook w:val="0000"/>
      </w:tblPr>
      <w:tblGrid>
        <w:gridCol w:w="2538"/>
        <w:gridCol w:w="5984"/>
      </w:tblGrid>
      <w:tr w:rsidTr="007F066F">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PERFORMANCE CRITERIA</w:t>
            </w:r>
          </w:p>
        </w:tc>
      </w:tr>
      <w:tr w:rsidTr="007F066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List"/>
              <w:rPr>
                <w:lang w:val="en-NZ"/>
              </w:rPr>
            </w:pPr>
            <w:r w:rsidRPr="00080B36">
              <w:t>1.</w:t>
            </w:r>
            <w:r w:rsidRPr="00080B36">
              <w:tab/>
              <w:t>Establish customer needs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2"/>
            </w:pPr>
            <w:r w:rsidRPr="00080B36">
              <w:t>1.1.</w:t>
            </w:r>
            <w:r w:rsidRPr="00080B36">
              <w:tab/>
            </w:r>
            <w:r w:rsidRPr="00080B36">
              <w:t xml:space="preserve">Customers who would benefit from </w:t>
            </w:r>
            <w:r w:rsidRPr="00080B36">
              <w:rPr>
                <w:rStyle w:val="BoldandItalics"/>
              </w:rPr>
              <w:t>mobile banking services</w:t>
            </w:r>
            <w:r w:rsidRPr="00080B36">
              <w:t xml:space="preserve"> are identified</w:t>
            </w:r>
          </w:p>
          <w:p w:rsidR="00000000" w:rsidRPr="00080B36" w:rsidP="00080B36">
            <w:pPr>
              <w:pStyle w:val="List2"/>
            </w:pPr>
            <w:r w:rsidRPr="00080B36">
              <w:t>1.2.</w:t>
            </w:r>
            <w:r w:rsidRPr="00080B36">
              <w:tab/>
              <w:t>Communication techniques for informing customers about mobile banking services are analysed</w:t>
            </w:r>
          </w:p>
          <w:p w:rsidR="00000000" w:rsidP="00080B36">
            <w:pPr>
              <w:pStyle w:val="List2"/>
              <w:rPr>
                <w:lang w:val="en-NZ"/>
              </w:rPr>
            </w:pPr>
            <w:r w:rsidRPr="00080B36">
              <w:t>1.3.</w:t>
            </w:r>
            <w:r w:rsidRPr="00080B36">
              <w:tab/>
              <w:t>Contact procedures for customers are developed</w:t>
            </w:r>
          </w:p>
        </w:tc>
      </w:tr>
      <w:tr w:rsidTr="007F066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List"/>
              <w:rPr>
                <w:lang w:val="en-NZ"/>
              </w:rPr>
            </w:pPr>
            <w:r w:rsidRPr="00080B36">
              <w:t>2.</w:t>
            </w:r>
            <w:r w:rsidRPr="00080B36">
              <w:tab/>
              <w:t>Develop promotional tools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2"/>
            </w:pPr>
            <w:r w:rsidRPr="00080B36">
              <w:t>2.1.</w:t>
            </w:r>
            <w:r w:rsidRPr="00080B36">
              <w:tab/>
            </w:r>
            <w:r w:rsidRPr="00080B36">
              <w:t xml:space="preserve">The appropriate </w:t>
            </w:r>
            <w:r w:rsidRPr="00080B36">
              <w:rPr>
                <w:rStyle w:val="BoldandItalics"/>
              </w:rPr>
              <w:t>mobile banking service model</w:t>
            </w:r>
            <w:r w:rsidRPr="00080B36">
              <w:t xml:space="preserve"> is identified</w:t>
            </w:r>
          </w:p>
          <w:p w:rsidR="00000000" w:rsidRPr="00080B36" w:rsidP="00080B36">
            <w:pPr>
              <w:pStyle w:val="List2"/>
            </w:pPr>
            <w:r w:rsidRPr="00080B36">
              <w:t>2.2.</w:t>
            </w:r>
            <w:r w:rsidRPr="00080B36">
              <w:tab/>
              <w:t>Promotional concepts for mobile banking to individual customers are analysed</w:t>
            </w:r>
          </w:p>
          <w:p w:rsidR="00000000" w:rsidRPr="00080B36" w:rsidP="00080B36">
            <w:pPr>
              <w:pStyle w:val="List2"/>
            </w:pPr>
            <w:r w:rsidRPr="00080B36">
              <w:t>2.3.</w:t>
            </w:r>
            <w:r w:rsidRPr="00080B36">
              <w:tab/>
              <w:t xml:space="preserve">Suitable </w:t>
            </w:r>
            <w:r w:rsidRPr="00080B36">
              <w:rPr>
                <w:rStyle w:val="BoldandItalics"/>
              </w:rPr>
              <w:t>promotional tools and techniques</w:t>
            </w:r>
            <w:r w:rsidRPr="00080B36">
              <w:t xml:space="preserve"> for mobile banking services are identified or developed</w:t>
            </w:r>
          </w:p>
          <w:p w:rsidR="00000000" w:rsidP="00080B36">
            <w:pPr>
              <w:pStyle w:val="List2"/>
              <w:rPr>
                <w:lang w:val="en-NZ"/>
              </w:rPr>
            </w:pPr>
            <w:r w:rsidRPr="00080B36">
              <w:t>2.4.</w:t>
            </w:r>
            <w:r w:rsidRPr="00080B36">
              <w:tab/>
            </w:r>
            <w:r w:rsidRPr="00080B36">
              <w:rPr>
                <w:rStyle w:val="BoldandItalics"/>
              </w:rPr>
              <w:t>Documen</w:t>
            </w:r>
            <w:r w:rsidRPr="00080B36">
              <w:rPr>
                <w:rStyle w:val="BoldandItalics"/>
              </w:rPr>
              <w:t>tation</w:t>
            </w:r>
            <w:r w:rsidRPr="00080B36">
              <w:t xml:space="preserve"> to assist in promotional activities are produced consistent with organisational policies and standards</w:t>
            </w:r>
          </w:p>
        </w:tc>
      </w:tr>
      <w:tr w:rsidTr="007F066F">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List"/>
              <w:rPr>
                <w:lang w:val="en-NZ"/>
              </w:rPr>
            </w:pPr>
            <w:r w:rsidRPr="00080B36">
              <w:t>3.</w:t>
            </w:r>
            <w:r w:rsidRPr="00080B36">
              <w:tab/>
              <w:t>Introduce promotional tools and techniques to the sales team</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2"/>
            </w:pPr>
            <w:r w:rsidRPr="00080B36">
              <w:t>3.1.</w:t>
            </w:r>
            <w:r w:rsidRPr="00080B36">
              <w:tab/>
              <w:t>Team members are provided with information on promoting mobile banking servi</w:t>
            </w:r>
            <w:r w:rsidRPr="00080B36">
              <w:t>ces</w:t>
            </w:r>
          </w:p>
          <w:p w:rsidR="00000000" w:rsidRPr="00080B36" w:rsidP="00080B36">
            <w:pPr>
              <w:pStyle w:val="List2"/>
            </w:pPr>
            <w:r w:rsidRPr="00080B36">
              <w:t>3.2.</w:t>
            </w:r>
            <w:r w:rsidRPr="00080B36">
              <w:tab/>
              <w:t>Queries on the techniques and tools are covered to ensure team members are proficient in dealing with queries in accordance with relevant standards and policies</w:t>
            </w:r>
          </w:p>
          <w:p w:rsidR="00000000" w:rsidRPr="00080B36" w:rsidP="00080B36">
            <w:pPr>
              <w:pStyle w:val="List2"/>
            </w:pPr>
            <w:r w:rsidRPr="00080B36">
              <w:t>3.3.</w:t>
            </w:r>
            <w:r w:rsidRPr="00080B36">
              <w:tab/>
            </w:r>
            <w:r w:rsidRPr="00080B36">
              <w:rPr>
                <w:rStyle w:val="BoldandItalics"/>
              </w:rPr>
              <w:t>Documentation</w:t>
            </w:r>
            <w:r w:rsidRPr="00080B36">
              <w:t xml:space="preserve"> </w:t>
            </w:r>
            <w:r w:rsidRPr="00080B36">
              <w:rPr>
                <w:rStyle w:val="BoldandItalics"/>
              </w:rPr>
              <w:t>for agreements on providing mobile banking services</w:t>
            </w:r>
            <w:r w:rsidRPr="00080B36">
              <w:t xml:space="preserve"> to customers is completed to appropriate standards as set out in quality control documentation</w:t>
            </w: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9" w:name="O_77711"/>
      <w:bookmarkEnd w:id="9"/>
      <w:r w:rsidRPr="00080B36">
        <w:t>Required Skills and Knowledge</w:t>
      </w:r>
    </w:p>
    <w:tbl>
      <w:tblPr>
        <w:tblW w:w="0" w:type="auto"/>
        <w:tblLayout w:type="fixed"/>
        <w:tblCellMar>
          <w:left w:w="62" w:type="dxa"/>
          <w:right w:w="62" w:type="dxa"/>
        </w:tblCellMar>
        <w:tblLook w:val="0000"/>
      </w:tblPr>
      <w:tblGrid>
        <w:gridCol w:w="8522"/>
      </w:tblGrid>
      <w:tr w:rsidTr="007F06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REQUIRED SKILLS AND KNOWLEDGE</w:t>
            </w:r>
          </w:p>
        </w:tc>
      </w:tr>
      <w:tr w:rsidTr="007F06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t>This section describes the skills and knowledge required for this unit.</w:t>
            </w:r>
          </w:p>
        </w:tc>
      </w:tr>
      <w:tr w:rsidTr="007F06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Required skills</w:t>
            </w:r>
          </w:p>
        </w:tc>
      </w:tr>
      <w:tr w:rsidTr="007F06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Bullet"/>
            </w:pPr>
            <w:r w:rsidRPr="00080B36">
              <w:t>well-developed communication skills to:</w:t>
            </w:r>
          </w:p>
          <w:p w:rsidR="00000000" w:rsidRPr="00080B36" w:rsidP="00080B36">
            <w:pPr>
              <w:pStyle w:val="ListBullet2"/>
            </w:pPr>
            <w:r w:rsidRPr="00080B36">
              <w:t>engage customers to determine and confirm their requirements, using questioning and active listening as required and avoiding unnecessary industry jargon</w:t>
            </w:r>
          </w:p>
          <w:p w:rsidR="00000000" w:rsidRPr="00080B36" w:rsidP="00080B36">
            <w:pPr>
              <w:pStyle w:val="ListBullet2"/>
            </w:pPr>
            <w:r w:rsidRPr="00080B36">
              <w:t>promote banking services effectively to customers</w:t>
            </w:r>
          </w:p>
          <w:p w:rsidR="00000000" w:rsidRPr="00080B36" w:rsidP="00080B36">
            <w:pPr>
              <w:pStyle w:val="ListBullet2"/>
            </w:pPr>
            <w:r w:rsidRPr="00080B36">
              <w:t>liaise with others, share information, listen and understand</w:t>
            </w:r>
          </w:p>
          <w:p w:rsidR="00000000" w:rsidRPr="00080B36" w:rsidP="00080B36">
            <w:pPr>
              <w:pStyle w:val="ListBullet2"/>
            </w:pPr>
            <w:r w:rsidRPr="00080B36">
              <w:t>use language and concepts appropriate to cultural differences</w:t>
            </w:r>
          </w:p>
          <w:p w:rsidR="00000000" w:rsidRPr="00080B36" w:rsidP="00080B36">
            <w:pPr>
              <w:pStyle w:val="ListBullet"/>
            </w:pPr>
            <w:r w:rsidRPr="00080B36">
              <w:t>literacy skills for:</w:t>
            </w:r>
          </w:p>
          <w:p w:rsidR="00000000" w:rsidRPr="00080B36" w:rsidP="00080B36">
            <w:pPr>
              <w:pStyle w:val="ListBullet2"/>
            </w:pPr>
            <w:r w:rsidRPr="00080B36">
              <w:t>analysing information on mobile banking services to ensure a</w:t>
            </w:r>
            <w:r w:rsidRPr="00080B36">
              <w:t>ppropriateness to customer needs, currency and accuracy</w:t>
            </w:r>
          </w:p>
          <w:p w:rsidR="00000000" w:rsidRPr="00080B36" w:rsidP="00080B36">
            <w:pPr>
              <w:pStyle w:val="ListBullet2"/>
            </w:pPr>
            <w:r w:rsidRPr="00080B36">
              <w:t>reading and interpreting documentation from a variety of sources and recording, gathering and consolidating financial information</w:t>
            </w:r>
          </w:p>
          <w:p w:rsidR="00000000" w:rsidRPr="00080B36" w:rsidP="00080B36">
            <w:pPr>
              <w:pStyle w:val="ListBullet"/>
            </w:pPr>
            <w:r w:rsidRPr="00080B36">
              <w:t>numeracy skills to make financial calculations and accurately analyse</w:t>
            </w:r>
            <w:r w:rsidRPr="00080B36">
              <w:t>, record and store financial data in accordance with organisational requirements</w:t>
            </w:r>
          </w:p>
          <w:p w:rsidR="00000000" w:rsidRPr="00080B36" w:rsidP="00080B36">
            <w:pPr>
              <w:pStyle w:val="ListBullet"/>
            </w:pPr>
            <w:r w:rsidRPr="00080B36">
              <w:t>IT skills for accessing and using appropriate software such as spreadsheets and databases and using internet information</w:t>
            </w:r>
          </w:p>
          <w:p w:rsidR="00000000" w:rsidP="00080B36">
            <w:pPr>
              <w:pStyle w:val="ListBullet"/>
              <w:rPr>
                <w:lang w:val="en-NZ"/>
              </w:rPr>
            </w:pPr>
            <w:r w:rsidRPr="00080B36">
              <w:t>organisational skills, including the ability to plan a</w:t>
            </w:r>
            <w:r w:rsidRPr="00080B36">
              <w:t>nd sequence work</w:t>
            </w:r>
          </w:p>
        </w:tc>
      </w:tr>
      <w:tr w:rsidTr="007F06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Required knowledge</w:t>
            </w:r>
          </w:p>
        </w:tc>
      </w:tr>
      <w:tr w:rsidTr="007F06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Bullet"/>
            </w:pPr>
            <w:r w:rsidRPr="00080B36">
              <w:t>organisational policy and guidelines related to mobile banking services and products</w:t>
            </w:r>
          </w:p>
          <w:p w:rsidR="00000000" w:rsidRPr="00080B36" w:rsidP="00080B36">
            <w:pPr>
              <w:pStyle w:val="ListBullet"/>
            </w:pPr>
            <w:r w:rsidRPr="00080B36">
              <w:t>overview of similar products available in the industry, their characteristics and conditions</w:t>
            </w:r>
          </w:p>
          <w:p w:rsidR="00000000" w:rsidRPr="00080B36" w:rsidP="00080B36">
            <w:pPr>
              <w:pStyle w:val="ListBullet"/>
            </w:pPr>
            <w:r w:rsidRPr="00080B36">
              <w:t>relevant financial document details including:</w:t>
            </w:r>
          </w:p>
          <w:p w:rsidR="00000000" w:rsidRPr="00080B36" w:rsidP="00080B36">
            <w:pPr>
              <w:pStyle w:val="ListBullet2"/>
            </w:pPr>
            <w:r w:rsidRPr="00080B36">
              <w:t>brochures</w:t>
            </w:r>
          </w:p>
          <w:p w:rsidR="00000000" w:rsidRPr="00080B36" w:rsidP="00080B36">
            <w:pPr>
              <w:pStyle w:val="ListBullet2"/>
            </w:pPr>
            <w:r w:rsidRPr="00080B36">
              <w:t>fact sheets</w:t>
            </w:r>
          </w:p>
          <w:p w:rsidR="00000000" w:rsidRPr="00080B36" w:rsidP="00080B36">
            <w:pPr>
              <w:pStyle w:val="ListBullet"/>
            </w:pPr>
            <w:r w:rsidRPr="00080B36">
              <w:t>promotion and selling techniques</w:t>
            </w: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10" w:name="O_77712"/>
      <w:bookmarkEnd w:id="10"/>
      <w:r w:rsidRPr="00080B36">
        <w:t>Evidence Guide</w:t>
      </w:r>
    </w:p>
    <w:tbl>
      <w:tblPr>
        <w:tblW w:w="9570" w:type="dxa"/>
        <w:tblLayout w:type="fixed"/>
        <w:tblCellMar>
          <w:left w:w="62" w:type="dxa"/>
          <w:right w:w="62" w:type="dxa"/>
        </w:tblCellMar>
        <w:tblLook w:val="0000"/>
      </w:tblPr>
      <w:tblGrid>
        <w:gridCol w:w="2808"/>
        <w:gridCol w:w="6762"/>
      </w:tblGrid>
      <w:tr w:rsidTr="007F06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EVIDENCE GUIDE</w:t>
            </w:r>
          </w:p>
        </w:tc>
      </w:tr>
      <w:tr w:rsidTr="007F06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t>The Evidence Guide provides advice on assessment and must be read in conjunction with the performance criteria, required skills and knowledge, range statement and the Assessment Guidelines for the Training Package.</w:t>
            </w:r>
          </w:p>
        </w:tc>
      </w:tr>
      <w:tr w:rsidTr="007F066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p>
        </w:tc>
      </w:tr>
      <w:tr w:rsidTr="007F066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Critical aspec</w:t>
            </w:r>
            <w:r w:rsidRPr="00080B3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t>Evidence of the ability to:</w:t>
            </w:r>
          </w:p>
          <w:p w:rsidR="00000000" w:rsidRPr="00080B36" w:rsidP="00080B36">
            <w:pPr>
              <w:pStyle w:val="ListBullet"/>
            </w:pPr>
            <w:r w:rsidRPr="00080B36">
              <w:t>maintain current knowledge of mobile banking products and services available to customers</w:t>
            </w:r>
          </w:p>
          <w:p w:rsidR="00000000" w:rsidRPr="00080B36" w:rsidP="00080B36">
            <w:pPr>
              <w:pStyle w:val="ListBullet"/>
            </w:pPr>
            <w:r w:rsidRPr="00080B36">
              <w:t>work with others to promote banking products and services</w:t>
            </w:r>
          </w:p>
          <w:p w:rsidR="00000000" w:rsidP="00080B36">
            <w:pPr>
              <w:pStyle w:val="ListBullet"/>
              <w:rPr>
                <w:lang w:val="en-NZ"/>
              </w:rPr>
            </w:pPr>
            <w:r w:rsidRPr="00080B36">
              <w:t>contribute to business improvement in developing new tools and documentation.</w:t>
            </w:r>
          </w:p>
        </w:tc>
      </w:tr>
      <w:tr w:rsidTr="007F066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t>Assessment must ensure:</w:t>
            </w:r>
          </w:p>
          <w:p w:rsidR="00000000" w:rsidRPr="00080B36" w:rsidP="00080B36">
            <w:pPr>
              <w:pStyle w:val="ListBullet"/>
            </w:pPr>
            <w:r w:rsidRPr="00080B36">
              <w:t>competency is demonstrated in the context of the financial services work environment and conditions spe</w:t>
            </w:r>
            <w:r w:rsidRPr="00080B36">
              <w:t>cified in the range statement either in a relevant workplace or a closely simulated work environment</w:t>
            </w:r>
          </w:p>
          <w:p w:rsidR="00000000" w:rsidRPr="00080B36" w:rsidP="00080B36">
            <w:pPr>
              <w:pStyle w:val="ListBullet"/>
            </w:pPr>
            <w:r w:rsidRPr="00080B36">
              <w:t>access to and the use of a range of common office equipment, technology, software and consumables</w:t>
            </w:r>
          </w:p>
          <w:p w:rsidR="00000000" w:rsidP="00080B36">
            <w:pPr>
              <w:pStyle w:val="ListBullet"/>
              <w:rPr>
                <w:lang w:val="en-NZ"/>
              </w:rPr>
            </w:pPr>
            <w:r w:rsidRPr="00080B36">
              <w:t>access to mobile banking services information.</w:t>
            </w:r>
          </w:p>
        </w:tc>
      </w:tr>
      <w:tr w:rsidTr="007F066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Method of</w:t>
            </w:r>
            <w:r w:rsidRPr="00080B36">
              <w:rPr>
                <w:rStyle w:val="SpecialBold"/>
              </w:rPr>
              <w:t xml:space="preserve">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t>A range of assessment methods should be used to assess practical skills and knowledge. The following examples, in combination, are appropriate for this unit:</w:t>
            </w:r>
          </w:p>
          <w:p w:rsidR="00000000" w:rsidRPr="00080B36" w:rsidP="00080B36">
            <w:pPr>
              <w:pStyle w:val="ListBullet"/>
            </w:pPr>
            <w:r w:rsidRPr="00080B36">
              <w:t>evaluating an integrated activity which combines the elements of competency for the u</w:t>
            </w:r>
            <w:r w:rsidRPr="00080B36">
              <w:t>nit or a cluster of related units of competency</w:t>
            </w:r>
          </w:p>
          <w:p w:rsidR="00000000" w:rsidRPr="00080B36" w:rsidP="00080B36">
            <w:pPr>
              <w:pStyle w:val="ListBullet"/>
            </w:pPr>
            <w:r w:rsidRPr="00080B36">
              <w:t>observing and adhering to processes and procedures in simulations</w:t>
            </w:r>
          </w:p>
          <w:p w:rsidR="00000000" w:rsidRPr="00080B36" w:rsidP="00080B36">
            <w:pPr>
              <w:pStyle w:val="ListBullet"/>
            </w:pPr>
            <w:r w:rsidRPr="00080B36">
              <w:t>verbal or written questioning on underpinning knowledge and skills</w:t>
            </w:r>
          </w:p>
          <w:p w:rsidR="00000000" w:rsidP="00080B36">
            <w:pPr>
              <w:pStyle w:val="ListBullet"/>
              <w:rPr>
                <w:lang w:val="en-NZ"/>
              </w:rPr>
            </w:pPr>
            <w:r w:rsidRPr="00080B36">
              <w:t>accessing and validating third party reports.</w:t>
            </w:r>
          </w:p>
        </w:tc>
      </w:tr>
      <w:tr w:rsidTr="007F066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Guidance in</w:t>
            </w:r>
            <w:r w:rsidRPr="00080B36">
              <w:rPr>
                <w:rStyle w:val="SpecialBold"/>
              </w:rPr>
              <w:t>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p>
        </w:tc>
      </w:tr>
    </w:tbl>
    <w:p w:rsidR="00000000" w:rsidRPr="00080B36" w:rsidP="00080B36">
      <w:pPr>
        <w:pStyle w:val="BodyText"/>
      </w:pPr>
    </w:p>
    <w:p w:rsidR="007F066F" w:rsidP="00080B36">
      <w:pPr>
        <w:pStyle w:val="BodyText"/>
      </w:pPr>
      <w:r w:rsidRPr="00080B36">
        <w:tab/>
      </w:r>
    </w:p>
    <w:p w:rsidR="007F066F" w:rsidP="00080B36">
      <w:pPr>
        <w:pStyle w:val="BodyText"/>
      </w:pPr>
    </w:p>
    <w:p w:rsidR="00000000" w:rsidRPr="00080B36" w:rsidP="00080B36">
      <w:pPr>
        <w:pStyle w:val="Heading1"/>
      </w:pPr>
      <w:bookmarkStart w:id="11" w:name="O_77713"/>
      <w:bookmarkEnd w:id="11"/>
      <w:r w:rsidRPr="00080B36">
        <w:t>Range Statement</w:t>
      </w:r>
    </w:p>
    <w:tbl>
      <w:tblPr>
        <w:tblW w:w="0" w:type="auto"/>
        <w:tblLayout w:type="fixed"/>
        <w:tblCellMar>
          <w:left w:w="62" w:type="dxa"/>
          <w:right w:w="62" w:type="dxa"/>
        </w:tblCellMar>
        <w:tblLook w:val="0000"/>
      </w:tblPr>
      <w:tblGrid>
        <w:gridCol w:w="2552"/>
        <w:gridCol w:w="5970"/>
      </w:tblGrid>
      <w:tr w:rsidTr="007F06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RANGE STATEMENT</w:t>
            </w:r>
          </w:p>
        </w:tc>
      </w:tr>
      <w:tr w:rsidTr="007F06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t xml:space="preserve">The range statement relates to the unit of competency as a whole. It allows for different work environments and situations that may affect </w:t>
            </w:r>
            <w:r w:rsidRPr="00080B36">
              <w:t>performance. Bold italicised wording, if used in the performance criteria, is detailed below. Essential operating conditions that may be present with training and assessment (depending on the work situation, needs of the candidate, accessibility of the ite</w:t>
            </w:r>
            <w:r w:rsidRPr="00080B36">
              <w:t>m, and local industry and regional contexts) may also be included.</w:t>
            </w:r>
          </w:p>
        </w:tc>
      </w:tr>
      <w:tr w:rsidTr="007F066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BoldandItalics"/>
              </w:rPr>
              <w:t>Mobile banking services</w:t>
            </w:r>
            <w:r w:rsidRPr="00080B36">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Bullet"/>
            </w:pPr>
            <w:r w:rsidRPr="00080B36">
              <w:t>advising on lending services</w:t>
            </w:r>
          </w:p>
          <w:p w:rsidR="00000000" w:rsidRPr="00080B36" w:rsidP="00080B36">
            <w:pPr>
              <w:pStyle w:val="ListBullet"/>
            </w:pPr>
            <w:r w:rsidRPr="00080B36">
              <w:t>assessing customer needs and explaining lending products</w:t>
            </w:r>
          </w:p>
          <w:p w:rsidR="00000000" w:rsidP="00080B36">
            <w:pPr>
              <w:pStyle w:val="ListBullet"/>
              <w:rPr>
                <w:lang w:val="en-NZ"/>
              </w:rPr>
            </w:pPr>
            <w:r w:rsidRPr="00080B36">
              <w:t>assisting to complete and quality assuring lending documentatio</w:t>
            </w:r>
            <w:r w:rsidRPr="00080B36">
              <w:t>n.</w:t>
            </w:r>
          </w:p>
        </w:tc>
      </w:tr>
      <w:tr w:rsidTr="007F066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BoldandItalics"/>
              </w:rPr>
              <w:t>Mobile banking service models</w:t>
            </w:r>
            <w:r w:rsidRPr="00080B36">
              <w:t xml:space="preserve">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Bullet"/>
            </w:pPr>
            <w:r w:rsidRPr="00080B36">
              <w:t>bank focused</w:t>
            </w:r>
          </w:p>
          <w:p w:rsidR="00000000" w:rsidRPr="00080B36" w:rsidP="00080B36">
            <w:pPr>
              <w:pStyle w:val="ListBullet"/>
            </w:pPr>
            <w:r w:rsidRPr="00080B36">
              <w:t>bank led</w:t>
            </w:r>
          </w:p>
          <w:p w:rsidR="00000000" w:rsidP="00080B36">
            <w:pPr>
              <w:pStyle w:val="ListBullet"/>
              <w:rPr>
                <w:lang w:val="en-NZ"/>
              </w:rPr>
            </w:pPr>
            <w:r w:rsidRPr="00080B36">
              <w:t>non-bank led.</w:t>
            </w:r>
          </w:p>
        </w:tc>
      </w:tr>
      <w:tr w:rsidTr="007F066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BoldandItalics"/>
              </w:rPr>
              <w:t>Promotional tools and techniques</w:t>
            </w:r>
            <w:r w:rsidRPr="00080B36">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Bullet"/>
            </w:pPr>
            <w:r w:rsidRPr="00080B36">
              <w:t>Short Message Service (SMS) advisories</w:t>
            </w:r>
          </w:p>
          <w:p w:rsidR="00000000" w:rsidRPr="00080B36" w:rsidP="00080B36">
            <w:pPr>
              <w:pStyle w:val="ListBullet"/>
            </w:pPr>
            <w:r w:rsidRPr="00080B36">
              <w:t>sales scripts</w:t>
            </w:r>
          </w:p>
          <w:p w:rsidR="00000000" w:rsidRPr="00080B36" w:rsidP="00080B36">
            <w:pPr>
              <w:pStyle w:val="ListBullet"/>
            </w:pPr>
            <w:r w:rsidRPr="00080B36">
              <w:t>video demonstrations</w:t>
            </w:r>
          </w:p>
          <w:p w:rsidR="00000000" w:rsidP="00080B36">
            <w:pPr>
              <w:pStyle w:val="ListBullet"/>
              <w:rPr>
                <w:lang w:val="en-NZ"/>
              </w:rPr>
            </w:pPr>
            <w:r w:rsidRPr="00080B36">
              <w:t>web pages.</w:t>
            </w:r>
          </w:p>
        </w:tc>
      </w:tr>
      <w:tr w:rsidTr="007F066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BoldandItalics"/>
              </w:rPr>
              <w:t>Documentation</w:t>
            </w:r>
            <w:r w:rsidRPr="00080B36">
              <w:t xml:space="preserve"> to assist in promoting mobile banking services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Bullet"/>
            </w:pPr>
            <w:r w:rsidRPr="00080B36">
              <w:t>attachments to account documentation</w:t>
            </w:r>
          </w:p>
          <w:p w:rsidR="00000000" w:rsidP="00080B36">
            <w:pPr>
              <w:pStyle w:val="ListBullet"/>
              <w:rPr>
                <w:lang w:val="en-NZ"/>
              </w:rPr>
            </w:pPr>
            <w:r w:rsidRPr="00080B36">
              <w:t>brochures.</w:t>
            </w:r>
          </w:p>
        </w:tc>
      </w:tr>
      <w:tr w:rsidTr="007F066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t xml:space="preserve">Customer </w:t>
            </w:r>
            <w:r w:rsidRPr="00080B36">
              <w:rPr>
                <w:rStyle w:val="BoldandItalics"/>
              </w:rPr>
              <w:t>documentation for agreements on providing mobile banking services</w:t>
            </w:r>
            <w:r w:rsidRPr="00080B36">
              <w:t xml:space="preserve"> may include, but is not limited to:</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ListBullet"/>
            </w:pPr>
            <w:r w:rsidRPr="00080B36">
              <w:t>computer and manual application forms</w:t>
            </w:r>
          </w:p>
          <w:p w:rsidR="00000000" w:rsidRPr="00080B36" w:rsidP="00080B36">
            <w:pPr>
              <w:pStyle w:val="ListBullet"/>
            </w:pPr>
            <w:r w:rsidRPr="00080B36">
              <w:t>disclaimers</w:t>
            </w:r>
          </w:p>
          <w:p w:rsidR="00000000" w:rsidRPr="00080B36" w:rsidP="00080B36">
            <w:pPr>
              <w:pStyle w:val="ListBullet"/>
            </w:pPr>
            <w:r w:rsidRPr="00080B36">
              <w:t xml:space="preserve">disclosures </w:t>
            </w:r>
          </w:p>
          <w:p w:rsidR="00000000" w:rsidRPr="00080B36" w:rsidP="00080B36">
            <w:pPr>
              <w:pStyle w:val="ListBullet"/>
            </w:pPr>
            <w:r w:rsidRPr="00080B36">
              <w:t>written advice.</w:t>
            </w:r>
          </w:p>
        </w:tc>
      </w:tr>
    </w:tbl>
    <w:p w:rsidR="007F066F" w:rsidP="00080B36">
      <w:pPr>
        <w:pStyle w:val="BodyText"/>
      </w:pPr>
    </w:p>
    <w:p w:rsidR="007F066F" w:rsidP="00080B36">
      <w:pPr>
        <w:pStyle w:val="BodyText"/>
      </w:pPr>
    </w:p>
    <w:p w:rsidR="00000000" w:rsidRPr="00080B36" w:rsidP="00080B36">
      <w:pPr>
        <w:pStyle w:val="Heading1"/>
      </w:pPr>
      <w:bookmarkStart w:id="12" w:name="O_77714"/>
      <w:bookmarkEnd w:id="12"/>
      <w:r w:rsidRPr="00080B36">
        <w:t>Unit Sector(s)</w:t>
      </w:r>
    </w:p>
    <w:tbl>
      <w:tblPr>
        <w:tblW w:w="0" w:type="auto"/>
        <w:tblLayout w:type="fixed"/>
        <w:tblCellMar>
          <w:left w:w="62" w:type="dxa"/>
          <w:right w:w="62" w:type="dxa"/>
        </w:tblCellMar>
        <w:tblLook w:val="0000"/>
      </w:tblPr>
      <w:tblGrid>
        <w:gridCol w:w="2600"/>
        <w:gridCol w:w="5922"/>
      </w:tblGrid>
      <w:tr w:rsidTr="007F066F">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r w:rsidRPr="00080B36">
              <w:t>Banking</w:t>
            </w: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13" w:name="O_156185"/>
      <w:bookmarkEnd w:id="13"/>
      <w:r w:rsidRPr="00080B36">
        <w:t>Competency field</w:t>
      </w:r>
    </w:p>
    <w:tbl>
      <w:tblPr>
        <w:tblW w:w="0" w:type="auto"/>
        <w:tblLayout w:type="fixed"/>
        <w:tblCellMar>
          <w:left w:w="62" w:type="dxa"/>
          <w:right w:w="62" w:type="dxa"/>
        </w:tblCellMar>
        <w:tblLook w:val="0000"/>
      </w:tblPr>
      <w:tblGrid>
        <w:gridCol w:w="2754"/>
        <w:gridCol w:w="5768"/>
      </w:tblGrid>
      <w:tr w:rsidTr="007F066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p>
        </w:tc>
      </w:tr>
    </w:tbl>
    <w:p w:rsidR="00000000" w:rsidRPr="00080B36" w:rsidP="00080B36">
      <w:pPr>
        <w:pStyle w:val="BodyText"/>
      </w:pPr>
    </w:p>
    <w:p w:rsidR="00000000" w:rsidRPr="00080B36" w:rsidP="00080B36">
      <w:pPr>
        <w:pStyle w:val="AllowPageBreak"/>
      </w:pPr>
    </w:p>
    <w:p w:rsidR="00000000" w:rsidRPr="00080B36" w:rsidP="00080B36">
      <w:pPr>
        <w:pStyle w:val="Heading1"/>
      </w:pPr>
      <w:bookmarkStart w:id="14" w:name="O_156184"/>
      <w:bookmarkEnd w:id="14"/>
      <w:r w:rsidRPr="00080B36">
        <w:t>Co-requisite units</w:t>
      </w:r>
    </w:p>
    <w:tbl>
      <w:tblPr>
        <w:tblW w:w="0" w:type="auto"/>
        <w:tblLayout w:type="fixed"/>
        <w:tblCellMar>
          <w:left w:w="62" w:type="dxa"/>
          <w:right w:w="62" w:type="dxa"/>
        </w:tblCellMar>
        <w:tblLook w:val="0000"/>
      </w:tblPr>
      <w:tblGrid>
        <w:gridCol w:w="2629"/>
        <w:gridCol w:w="1324"/>
        <w:gridCol w:w="4569"/>
      </w:tblGrid>
      <w:tr w:rsidTr="007F066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r w:rsidRPr="00080B3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B36">
            <w:pPr>
              <w:pStyle w:val="BodyText"/>
              <w:rPr>
                <w:lang w:val="en-NZ"/>
              </w:rPr>
            </w:pPr>
          </w:p>
        </w:tc>
      </w:tr>
      <w:tr w:rsidTr="007F066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B36" w:rsidP="00080B36">
            <w:pPr>
              <w:pStyle w:val="BodyText"/>
            </w:pPr>
          </w:p>
        </w:tc>
      </w:tr>
    </w:tbl>
    <w:p w:rsidR="00000000" w:rsidRPr="00080B36" w:rsidP="00080B36">
      <w:pPr>
        <w:pStyle w:val="BodyText"/>
      </w:pPr>
    </w:p>
    <w:p w:rsidR="00000000" w:rsidRPr="00080B36" w:rsidP="00080B36"/>
    <w:sectPr w:rsidSect="00080B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66F" w:rsidP="007F0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66F" w:rsidP="00080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F066F" w:rsidP="00080B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066F" w:rsidP="00080B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66F" w:rsidP="007F06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66F" w:rsidP="00080B36">
    <w:pPr>
      <w:pStyle w:val="Header"/>
      <w:framePr w:wrap="around"/>
    </w:pPr>
    <w:r>
      <w:fldChar w:fldCharType="begin"/>
    </w:r>
    <w:r>
      <w:instrText xml:space="preserve"> TITLE   \* MERGEFORMAT </w:instrText>
    </w:r>
    <w:r>
      <w:fldChar w:fldCharType="separate"/>
    </w:r>
    <w:r>
      <w:t>FNSBNK404A Promote mobile banking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066F" w:rsidP="00080B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64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308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20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B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B36"/>
    <w:pPr>
      <w:spacing w:before="360" w:after="60"/>
      <w:outlineLvl w:val="0"/>
    </w:pPr>
    <w:rPr>
      <w:sz w:val="32"/>
    </w:rPr>
  </w:style>
  <w:style w:type="paragraph" w:styleId="Heading2">
    <w:name w:val="heading 2"/>
    <w:basedOn w:val="HeadingBase"/>
    <w:next w:val="BodyText"/>
    <w:link w:val="Heading2Char"/>
    <w:qFormat/>
    <w:rsid w:val="00080B36"/>
    <w:pPr>
      <w:keepLines/>
      <w:spacing w:before="240" w:after="120"/>
      <w:outlineLvl w:val="1"/>
    </w:pPr>
    <w:rPr>
      <w:sz w:val="28"/>
      <w:szCs w:val="40"/>
    </w:rPr>
  </w:style>
  <w:style w:type="paragraph" w:styleId="Heading3">
    <w:name w:val="heading 3"/>
    <w:basedOn w:val="HeadingBase"/>
    <w:next w:val="BodyText"/>
    <w:link w:val="Heading3Char"/>
    <w:qFormat/>
    <w:rsid w:val="00080B36"/>
    <w:pPr>
      <w:spacing w:before="180" w:after="120"/>
      <w:outlineLvl w:val="2"/>
    </w:pPr>
    <w:rPr>
      <w:spacing w:val="-10"/>
      <w:kern w:val="32"/>
    </w:rPr>
  </w:style>
  <w:style w:type="paragraph" w:styleId="Heading4">
    <w:name w:val="heading 4"/>
    <w:basedOn w:val="HeadingBase"/>
    <w:next w:val="BodyText"/>
    <w:link w:val="Heading4Char"/>
    <w:qFormat/>
    <w:rsid w:val="00080B36"/>
    <w:pPr>
      <w:spacing w:before="160" w:after="120"/>
      <w:outlineLvl w:val="3"/>
    </w:pPr>
    <w:rPr>
      <w:sz w:val="22"/>
    </w:rPr>
  </w:style>
  <w:style w:type="paragraph" w:styleId="Heading5">
    <w:name w:val="heading 5"/>
    <w:basedOn w:val="HeadingBase"/>
    <w:next w:val="Normal"/>
    <w:link w:val="Heading5Char"/>
    <w:qFormat/>
    <w:rsid w:val="00080B36"/>
    <w:pPr>
      <w:spacing w:before="80"/>
      <w:outlineLvl w:val="4"/>
    </w:pPr>
    <w:rPr>
      <w:color w:val="918585"/>
      <w:sz w:val="20"/>
    </w:rPr>
  </w:style>
  <w:style w:type="paragraph" w:styleId="Heading6">
    <w:name w:val="heading 6"/>
    <w:basedOn w:val="HeadingBase"/>
    <w:next w:val="Normal"/>
    <w:link w:val="Heading6Char"/>
    <w:qFormat/>
    <w:rsid w:val="00080B36"/>
    <w:pPr>
      <w:spacing w:before="60"/>
      <w:outlineLvl w:val="5"/>
    </w:pPr>
    <w:rPr>
      <w:color w:val="918585"/>
      <w:sz w:val="20"/>
    </w:rPr>
  </w:style>
  <w:style w:type="paragraph" w:styleId="Heading7">
    <w:name w:val="heading 7"/>
    <w:basedOn w:val="Normal"/>
    <w:next w:val="Normal"/>
    <w:link w:val="Heading7Char"/>
    <w:qFormat/>
    <w:rsid w:val="00080B36"/>
    <w:pPr>
      <w:ind w:left="720"/>
      <w:outlineLvl w:val="6"/>
    </w:pPr>
    <w:rPr>
      <w:i/>
    </w:rPr>
  </w:style>
  <w:style w:type="paragraph" w:styleId="Heading8">
    <w:name w:val="heading 8"/>
    <w:basedOn w:val="Normal"/>
    <w:next w:val="Normal"/>
    <w:link w:val="Heading8Char"/>
    <w:qFormat/>
    <w:rsid w:val="00080B36"/>
    <w:pPr>
      <w:ind w:left="720"/>
      <w:outlineLvl w:val="7"/>
    </w:pPr>
    <w:rPr>
      <w:i/>
    </w:rPr>
  </w:style>
  <w:style w:type="paragraph" w:styleId="Heading9">
    <w:name w:val="heading 9"/>
    <w:basedOn w:val="Normal"/>
    <w:next w:val="Normal"/>
    <w:link w:val="Heading9Char"/>
    <w:qFormat/>
    <w:rsid w:val="00080B36"/>
    <w:pPr>
      <w:ind w:left="720"/>
      <w:outlineLvl w:val="8"/>
    </w:pPr>
    <w:rPr>
      <w:i/>
    </w:rPr>
  </w:style>
  <w:style w:type="character" w:default="1" w:styleId="DefaultParagraphFont">
    <w:name w:val="Default Paragraph Font"/>
    <w:uiPriority w:val="1"/>
    <w:unhideWhenUsed/>
    <w:rsid w:val="00080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B36"/>
  </w:style>
  <w:style w:type="character" w:customStyle="1" w:styleId="Heading1Char">
    <w:name w:val="Heading 1 Char"/>
    <w:basedOn w:val="DefaultParagraphFont"/>
    <w:link w:val="Heading1"/>
    <w:rsid w:val="00080B36"/>
    <w:rPr>
      <w:rFonts w:ascii="Times New Roman" w:eastAsia="Times New Roman" w:hAnsi="Times New Roman" w:cs="Times New Roman"/>
      <w:b/>
      <w:sz w:val="32"/>
      <w:szCs w:val="20"/>
      <w:lang w:eastAsia="en-US"/>
    </w:rPr>
  </w:style>
  <w:style w:type="paragraph" w:styleId="BodyText">
    <w:name w:val="Body Text"/>
    <w:basedOn w:val="Normal"/>
    <w:link w:val="BodyTextChar"/>
    <w:rsid w:val="00080B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B36"/>
    <w:rPr>
      <w:rFonts w:ascii="Times New Roman" w:eastAsia="Times New Roman" w:hAnsi="Times New Roman" w:cs="Times New Roman"/>
      <w:sz w:val="24"/>
      <w:lang w:val="en-US" w:eastAsia="en-US"/>
    </w:rPr>
  </w:style>
  <w:style w:type="paragraph" w:styleId="Footer">
    <w:name w:val="footer"/>
    <w:basedOn w:val="Normal"/>
    <w:link w:val="FooterChar"/>
    <w:rsid w:val="00080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B36"/>
    <w:rPr>
      <w:rFonts w:ascii="Times New Roman" w:eastAsia="Times New Roman" w:hAnsi="Times New Roman" w:cs="Times New Roman"/>
      <w:sz w:val="16"/>
      <w:lang w:val="en-US" w:eastAsia="en-US"/>
    </w:rPr>
  </w:style>
  <w:style w:type="paragraph" w:styleId="List">
    <w:name w:val="List"/>
    <w:basedOn w:val="BodyText"/>
    <w:next w:val="BodyText"/>
    <w:rsid w:val="00080B36"/>
    <w:pPr>
      <w:tabs>
        <w:tab w:val="left" w:pos="340"/>
      </w:tabs>
      <w:spacing w:before="60" w:after="60"/>
      <w:ind w:left="340" w:hanging="340"/>
    </w:pPr>
  </w:style>
  <w:style w:type="paragraph" w:styleId="ListBullet">
    <w:name w:val="List Bullet"/>
    <w:basedOn w:val="List"/>
    <w:rsid w:val="00080B36"/>
    <w:pPr>
      <w:numPr>
        <w:numId w:val="13"/>
      </w:numPr>
      <w:tabs>
        <w:tab w:val="clear" w:pos="340"/>
      </w:tabs>
      <w:spacing w:before="40" w:after="40"/>
    </w:pPr>
  </w:style>
  <w:style w:type="character" w:customStyle="1" w:styleId="SpecialBold">
    <w:name w:val="Special Bold"/>
    <w:basedOn w:val="DefaultParagraphFont"/>
    <w:rsid w:val="00080B36"/>
    <w:rPr>
      <w:b/>
      <w:spacing w:val="0"/>
    </w:rPr>
  </w:style>
  <w:style w:type="paragraph" w:styleId="ListBullet2">
    <w:name w:val="List Bullet 2"/>
    <w:basedOn w:val="List2"/>
    <w:rsid w:val="00080B36"/>
    <w:pPr>
      <w:numPr>
        <w:numId w:val="14"/>
      </w:numPr>
      <w:tabs>
        <w:tab w:val="clear" w:pos="680"/>
      </w:tabs>
    </w:pPr>
  </w:style>
  <w:style w:type="paragraph" w:styleId="Header">
    <w:name w:val="header"/>
    <w:basedOn w:val="Normal"/>
    <w:link w:val="HeaderChar"/>
    <w:rsid w:val="00080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B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0B36"/>
    <w:pPr>
      <w:spacing w:before="240" w:after="120"/>
      <w:outlineLvl w:val="0"/>
    </w:pPr>
    <w:rPr>
      <w:rFonts w:ascii="Times New Roman" w:hAnsi="Times New Roman"/>
      <w:b/>
      <w:sz w:val="28"/>
    </w:rPr>
  </w:style>
  <w:style w:type="paragraph" w:customStyle="1" w:styleId="AllowPageBreak">
    <w:name w:val="AllowPageBreak"/>
    <w:rsid w:val="00080B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0B36"/>
    <w:pPr>
      <w:tabs>
        <w:tab w:val="left" w:pos="680"/>
      </w:tabs>
      <w:spacing w:before="60" w:after="60"/>
      <w:ind w:left="680" w:hanging="340"/>
    </w:pPr>
  </w:style>
  <w:style w:type="character" w:customStyle="1" w:styleId="BoldandItalics">
    <w:name w:val="Bold and Italics"/>
    <w:qFormat/>
    <w:rsid w:val="00080B36"/>
    <w:rPr>
      <w:b/>
      <w:i/>
      <w:u w:val="none"/>
    </w:rPr>
  </w:style>
  <w:style w:type="character" w:customStyle="1" w:styleId="Heading2Char">
    <w:name w:val="Heading 2 Char"/>
    <w:basedOn w:val="DefaultParagraphFont"/>
    <w:link w:val="Heading2"/>
    <w:rsid w:val="00080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B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B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B36"/>
    <w:rPr>
      <w:rFonts w:ascii="Courier New" w:eastAsia="Times New Roman" w:hAnsi="Courier New" w:cs="Times New Roman"/>
      <w:i/>
      <w:szCs w:val="20"/>
      <w:lang w:val="en-US" w:eastAsia="en-US"/>
    </w:rPr>
  </w:style>
  <w:style w:type="paragraph" w:customStyle="1" w:styleId="HeadingBase">
    <w:name w:val="Heading Base"/>
    <w:rsid w:val="00080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B36"/>
    <w:pPr>
      <w:tabs>
        <w:tab w:val="right" w:leader="dot" w:pos="9072"/>
      </w:tabs>
      <w:ind w:left="567"/>
    </w:pPr>
    <w:rPr>
      <w:szCs w:val="22"/>
    </w:rPr>
  </w:style>
  <w:style w:type="paragraph" w:customStyle="1" w:styleId="TOCBase">
    <w:name w:val="TOC Base"/>
    <w:rsid w:val="00080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B36"/>
    <w:pPr>
      <w:tabs>
        <w:tab w:val="right" w:leader="dot" w:pos="9072"/>
      </w:tabs>
      <w:spacing w:before="40" w:after="40"/>
      <w:ind w:left="284"/>
    </w:pPr>
    <w:rPr>
      <w:rFonts w:ascii="Times New Roman" w:hAnsi="Times New Roman"/>
    </w:rPr>
  </w:style>
  <w:style w:type="paragraph" w:styleId="TOC1">
    <w:name w:val="toc 1"/>
    <w:basedOn w:val="TOCBase"/>
    <w:next w:val="Normal"/>
    <w:rsid w:val="00080B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B36"/>
    <w:pPr>
      <w:spacing w:before="5040"/>
      <w:jc w:val="center"/>
    </w:pPr>
    <w:rPr>
      <w:sz w:val="48"/>
      <w:szCs w:val="72"/>
      <w:lang w:val="en-US"/>
    </w:rPr>
  </w:style>
  <w:style w:type="character" w:customStyle="1" w:styleId="TitleChar">
    <w:name w:val="Title Char"/>
    <w:basedOn w:val="DefaultParagraphFont"/>
    <w:link w:val="Title"/>
    <w:rsid w:val="00080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B36"/>
    <w:pPr>
      <w:tabs>
        <w:tab w:val="left" w:pos="3600"/>
        <w:tab w:val="left" w:pos="3958"/>
      </w:tabs>
    </w:pPr>
  </w:style>
  <w:style w:type="paragraph" w:customStyle="1" w:styleId="Note">
    <w:name w:val="Note"/>
    <w:basedOn w:val="BodyText"/>
    <w:rsid w:val="00080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B36"/>
    <w:pPr>
      <w:framePr w:wrap="auto" w:hAnchor="text" w:y="6049"/>
    </w:pPr>
    <w:rPr>
      <w:color w:val="000000"/>
      <w:sz w:val="40"/>
    </w:rPr>
  </w:style>
  <w:style w:type="paragraph" w:customStyle="1" w:styleId="TOCTitle">
    <w:name w:val="TOCTitle"/>
    <w:basedOn w:val="Heading1"/>
    <w:rsid w:val="00080B36"/>
    <w:pPr>
      <w:spacing w:after="240"/>
      <w:jc w:val="center"/>
      <w:outlineLvl w:val="9"/>
    </w:pPr>
    <w:rPr>
      <w:caps/>
    </w:rPr>
  </w:style>
  <w:style w:type="paragraph" w:customStyle="1" w:styleId="Version">
    <w:name w:val="Version"/>
    <w:rsid w:val="00080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B36"/>
    <w:pPr>
      <w:keepNext w:val="0"/>
      <w:tabs>
        <w:tab w:val="right" w:pos="4176"/>
      </w:tabs>
      <w:ind w:left="198" w:hanging="198"/>
    </w:pPr>
    <w:rPr>
      <w:rFonts w:ascii="Garamond" w:hAnsi="Garamond"/>
    </w:rPr>
  </w:style>
  <w:style w:type="paragraph" w:styleId="IndexHeading">
    <w:name w:val="index heading"/>
    <w:basedOn w:val="Normal"/>
    <w:next w:val="Index1"/>
    <w:semiHidden/>
    <w:rsid w:val="00080B36"/>
    <w:pPr>
      <w:spacing w:before="120" w:after="120"/>
    </w:pPr>
    <w:rPr>
      <w:rFonts w:ascii="Arial" w:hAnsi="Arial"/>
      <w:b/>
      <w:color w:val="918585"/>
      <w:sz w:val="24"/>
    </w:rPr>
  </w:style>
  <w:style w:type="paragraph" w:customStyle="1" w:styleId="Chapter">
    <w:name w:val="Chapter"/>
    <w:basedOn w:val="Normal"/>
    <w:rsid w:val="00080B36"/>
    <w:pPr>
      <w:spacing w:before="240"/>
    </w:pPr>
    <w:rPr>
      <w:rFonts w:ascii="Times New Roman" w:hAnsi="Times New Roman"/>
      <w:smallCaps/>
      <w:spacing w:val="80"/>
      <w:sz w:val="28"/>
    </w:rPr>
  </w:style>
  <w:style w:type="paragraph" w:customStyle="1" w:styleId="InChapter">
    <w:name w:val="InChapter"/>
    <w:basedOn w:val="Heading3"/>
    <w:rsid w:val="00080B36"/>
    <w:pPr>
      <w:spacing w:after="240"/>
      <w:outlineLvl w:val="9"/>
    </w:pPr>
    <w:rPr>
      <w:noProof/>
    </w:rPr>
  </w:style>
  <w:style w:type="paragraph" w:styleId="Index2">
    <w:name w:val="index 2"/>
    <w:basedOn w:val="Normal"/>
    <w:next w:val="Normal"/>
    <w:semiHidden/>
    <w:rsid w:val="00080B36"/>
    <w:pPr>
      <w:tabs>
        <w:tab w:val="right" w:pos="4176"/>
      </w:tabs>
      <w:ind w:left="568" w:hanging="284"/>
    </w:pPr>
    <w:rPr>
      <w:rFonts w:ascii="Garamond" w:hAnsi="Garamond"/>
    </w:rPr>
  </w:style>
  <w:style w:type="paragraph" w:customStyle="1" w:styleId="Byline">
    <w:name w:val="Byline"/>
    <w:rsid w:val="00080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B36"/>
    <w:pPr>
      <w:tabs>
        <w:tab w:val="clear" w:pos="3600"/>
        <w:tab w:val="clear" w:pos="3958"/>
      </w:tabs>
      <w:jc w:val="right"/>
    </w:pPr>
  </w:style>
  <w:style w:type="character" w:styleId="Emphasis">
    <w:name w:val="Emphasis"/>
    <w:basedOn w:val="DefaultParagraphFont"/>
    <w:qFormat/>
    <w:rsid w:val="00080B36"/>
    <w:rPr>
      <w:i/>
    </w:rPr>
  </w:style>
  <w:style w:type="paragraph" w:styleId="Caption">
    <w:name w:val="caption"/>
    <w:basedOn w:val="BodyText"/>
    <w:next w:val="Normal"/>
    <w:qFormat/>
    <w:rsid w:val="00080B36"/>
    <w:pPr>
      <w:framePr w:w="2268" w:hSpace="181" w:vSpace="181" w:wrap="around" w:vAnchor="text" w:hAnchor="page" w:x="1135" w:y="285" w:anchorLock="1"/>
    </w:pPr>
    <w:rPr>
      <w:i/>
    </w:rPr>
  </w:style>
  <w:style w:type="paragraph" w:customStyle="1" w:styleId="MiniTOCTitle">
    <w:name w:val="MiniTOCTitle"/>
    <w:basedOn w:val="Heading4"/>
    <w:rsid w:val="00080B36"/>
    <w:pPr>
      <w:spacing w:before="240"/>
      <w:outlineLvl w:val="9"/>
    </w:pPr>
    <w:rPr>
      <w:noProof/>
      <w:sz w:val="24"/>
    </w:rPr>
  </w:style>
  <w:style w:type="paragraph" w:customStyle="1" w:styleId="MiniTOCItem">
    <w:name w:val="MiniTOCItem"/>
    <w:basedOn w:val="ListBullet"/>
    <w:rsid w:val="00080B36"/>
    <w:pPr>
      <w:numPr>
        <w:numId w:val="0"/>
      </w:numPr>
      <w:tabs>
        <w:tab w:val="right" w:leader="dot" w:pos="6521"/>
      </w:tabs>
      <w:spacing w:before="0" w:after="0"/>
    </w:pPr>
  </w:style>
  <w:style w:type="paragraph" w:customStyle="1" w:styleId="TOFTitle">
    <w:name w:val="TOFTitle"/>
    <w:basedOn w:val="TOCTitle"/>
    <w:rsid w:val="00080B36"/>
  </w:style>
  <w:style w:type="paragraph" w:styleId="TableofFigures">
    <w:name w:val="table of figures"/>
    <w:basedOn w:val="Normal"/>
    <w:next w:val="Normal"/>
    <w:semiHidden/>
    <w:rsid w:val="00080B36"/>
    <w:pPr>
      <w:tabs>
        <w:tab w:val="right" w:leader="dot" w:pos="9072"/>
      </w:tabs>
      <w:ind w:left="970" w:hanging="403"/>
    </w:pPr>
    <w:rPr>
      <w:rFonts w:ascii="Times New Roman" w:hAnsi="Times New Roman"/>
      <w:b/>
    </w:rPr>
  </w:style>
  <w:style w:type="paragraph" w:styleId="ListNumber">
    <w:name w:val="List Number"/>
    <w:basedOn w:val="List"/>
    <w:rsid w:val="00080B36"/>
    <w:pPr>
      <w:numPr>
        <w:numId w:val="11"/>
      </w:numPr>
    </w:pPr>
  </w:style>
  <w:style w:type="character" w:customStyle="1" w:styleId="WingdingSymbols">
    <w:name w:val="Wingding Symbols"/>
    <w:rsid w:val="00080B36"/>
    <w:rPr>
      <w:rFonts w:ascii="Wingdings" w:hAnsi="Wingdings"/>
    </w:rPr>
  </w:style>
  <w:style w:type="paragraph" w:customStyle="1" w:styleId="TableHeading">
    <w:name w:val="Table Heading"/>
    <w:basedOn w:val="HeadingBase"/>
    <w:rsid w:val="00080B36"/>
    <w:pPr>
      <w:keepLines/>
      <w:pBdr>
        <w:bottom w:val="single" w:sz="6" w:space="1" w:color="918585"/>
      </w:pBdr>
      <w:spacing w:before="240"/>
    </w:pPr>
  </w:style>
  <w:style w:type="character" w:customStyle="1" w:styleId="HotSpot">
    <w:name w:val="HotSpot"/>
    <w:rsid w:val="00080B36"/>
    <w:rPr>
      <w:color w:val="0033CC"/>
      <w:u w:val="none"/>
    </w:rPr>
  </w:style>
  <w:style w:type="paragraph" w:customStyle="1" w:styleId="BodyTextRight">
    <w:name w:val="Body Text Right"/>
    <w:basedOn w:val="BodyText"/>
    <w:rsid w:val="00080B36"/>
    <w:pPr>
      <w:spacing w:before="0" w:after="0"/>
      <w:jc w:val="right"/>
    </w:pPr>
  </w:style>
  <w:style w:type="paragraph" w:styleId="Index3">
    <w:name w:val="index 3"/>
    <w:basedOn w:val="ListNumber2"/>
    <w:next w:val="Normal"/>
    <w:semiHidden/>
    <w:rsid w:val="00080B36"/>
    <w:pPr>
      <w:numPr>
        <w:numId w:val="0"/>
      </w:numPr>
      <w:tabs>
        <w:tab w:val="right" w:leader="dot" w:pos="4176"/>
      </w:tabs>
    </w:pPr>
  </w:style>
  <w:style w:type="paragraph" w:styleId="ListNumber2">
    <w:name w:val="List Number 2"/>
    <w:basedOn w:val="List2"/>
    <w:rsid w:val="00080B36"/>
    <w:pPr>
      <w:numPr>
        <w:numId w:val="10"/>
      </w:numPr>
      <w:tabs>
        <w:tab w:val="clear" w:pos="1060"/>
      </w:tabs>
    </w:pPr>
  </w:style>
  <w:style w:type="paragraph" w:customStyle="1" w:styleId="MarginNote">
    <w:name w:val="Margin Note"/>
    <w:basedOn w:val="BodyText"/>
    <w:rsid w:val="00080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B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B36"/>
    <w:rPr>
      <w:sz w:val="32"/>
    </w:rPr>
  </w:style>
  <w:style w:type="paragraph" w:customStyle="1" w:styleId="HeadingProcedure">
    <w:name w:val="Heading Procedure"/>
    <w:basedOn w:val="HeadingBase"/>
    <w:next w:val="Normal"/>
    <w:rsid w:val="00080B36"/>
    <w:pPr>
      <w:tabs>
        <w:tab w:val="left" w:pos="0"/>
      </w:tabs>
      <w:spacing w:before="120" w:after="60"/>
    </w:pPr>
    <w:rPr>
      <w:i/>
      <w:color w:val="918585"/>
      <w:sz w:val="22"/>
    </w:rPr>
  </w:style>
  <w:style w:type="paragraph" w:customStyle="1" w:styleId="TableBodyText">
    <w:name w:val="Table Body Text"/>
    <w:basedOn w:val="BodyText"/>
    <w:rsid w:val="00080B36"/>
    <w:pPr>
      <w:spacing w:before="60" w:after="60"/>
    </w:pPr>
  </w:style>
  <w:style w:type="paragraph" w:styleId="ListContinue">
    <w:name w:val="List Continue"/>
    <w:basedOn w:val="List"/>
    <w:rsid w:val="00080B36"/>
    <w:pPr>
      <w:ind w:firstLine="0"/>
    </w:pPr>
  </w:style>
  <w:style w:type="paragraph" w:customStyle="1" w:styleId="ListNote">
    <w:name w:val="List Note"/>
    <w:basedOn w:val="List"/>
    <w:rsid w:val="00080B36"/>
    <w:pPr>
      <w:pBdr>
        <w:top w:val="single" w:sz="6" w:space="2" w:color="918585"/>
        <w:bottom w:val="single" w:sz="6" w:space="2" w:color="918585"/>
      </w:pBdr>
      <w:tabs>
        <w:tab w:val="left" w:pos="1021"/>
      </w:tabs>
      <w:ind w:firstLine="0"/>
    </w:pPr>
  </w:style>
  <w:style w:type="paragraph" w:customStyle="1" w:styleId="Warning">
    <w:name w:val="Warning"/>
    <w:basedOn w:val="BodyText"/>
    <w:rsid w:val="00080B36"/>
    <w:pPr>
      <w:shd w:val="clear" w:color="auto" w:fill="D9D9D9"/>
      <w:tabs>
        <w:tab w:val="left" w:pos="992"/>
      </w:tabs>
      <w:ind w:left="119" w:right="119"/>
    </w:pPr>
    <w:rPr>
      <w:sz w:val="20"/>
    </w:rPr>
  </w:style>
  <w:style w:type="paragraph" w:customStyle="1" w:styleId="MarginIcons">
    <w:name w:val="Margin Icons"/>
    <w:basedOn w:val="BodyText"/>
    <w:rsid w:val="00080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B36"/>
    <w:rPr>
      <w:rFonts w:ascii="Courier New" w:hAnsi="Courier New"/>
    </w:rPr>
  </w:style>
  <w:style w:type="paragraph" w:customStyle="1" w:styleId="NoteBullet">
    <w:name w:val="Note Bullet"/>
    <w:basedOn w:val="Note"/>
    <w:rsid w:val="00080B36"/>
    <w:pPr>
      <w:tabs>
        <w:tab w:val="clear" w:pos="680"/>
      </w:tabs>
      <w:spacing w:before="60" w:after="60"/>
    </w:pPr>
  </w:style>
  <w:style w:type="paragraph" w:customStyle="1" w:styleId="SubHeading2">
    <w:name w:val="SubHeading2"/>
    <w:basedOn w:val="HeadingBase"/>
    <w:rsid w:val="00080B36"/>
    <w:pPr>
      <w:spacing w:before="240" w:after="60"/>
    </w:pPr>
    <w:rPr>
      <w:sz w:val="20"/>
    </w:rPr>
  </w:style>
  <w:style w:type="paragraph" w:customStyle="1" w:styleId="SubHeading1">
    <w:name w:val="SubHeading1"/>
    <w:basedOn w:val="HeadingBase"/>
    <w:rsid w:val="00080B36"/>
    <w:pPr>
      <w:spacing w:before="240" w:after="60"/>
    </w:pPr>
    <w:rPr>
      <w:color w:val="918585"/>
      <w:sz w:val="22"/>
    </w:rPr>
  </w:style>
  <w:style w:type="paragraph" w:customStyle="1" w:styleId="SideHeading">
    <w:name w:val="Side Heading"/>
    <w:basedOn w:val="HeadingBase"/>
    <w:rsid w:val="00080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B36"/>
    <w:pPr>
      <w:numPr>
        <w:numId w:val="12"/>
      </w:numPr>
    </w:pPr>
  </w:style>
  <w:style w:type="paragraph" w:styleId="PlainText">
    <w:name w:val="Plain Text"/>
    <w:basedOn w:val="Normal"/>
    <w:link w:val="PlainTextChar"/>
    <w:rsid w:val="00080B36"/>
    <w:rPr>
      <w:sz w:val="20"/>
    </w:rPr>
  </w:style>
  <w:style w:type="character" w:customStyle="1" w:styleId="PlainTextChar">
    <w:name w:val="Plain Text Char"/>
    <w:basedOn w:val="DefaultParagraphFont"/>
    <w:link w:val="PlainText"/>
    <w:rsid w:val="00080B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0B36"/>
    <w:rPr>
      <w:b/>
      <w:smallCaps/>
    </w:rPr>
  </w:style>
  <w:style w:type="paragraph" w:customStyle="1" w:styleId="TableListNumber">
    <w:name w:val="Table List Number"/>
    <w:basedOn w:val="ListNumber"/>
    <w:rsid w:val="00080B36"/>
    <w:pPr>
      <w:numPr>
        <w:numId w:val="0"/>
      </w:numPr>
    </w:pPr>
  </w:style>
  <w:style w:type="paragraph" w:styleId="TOC4">
    <w:name w:val="toc 4"/>
    <w:basedOn w:val="TOCBase"/>
    <w:next w:val="Normal"/>
    <w:semiHidden/>
    <w:rsid w:val="00080B36"/>
    <w:pPr>
      <w:tabs>
        <w:tab w:val="right" w:leader="dot" w:pos="9071"/>
      </w:tabs>
      <w:ind w:left="1701"/>
    </w:pPr>
  </w:style>
  <w:style w:type="paragraph" w:customStyle="1" w:styleId="ListAlpha">
    <w:name w:val="List Alpha"/>
    <w:basedOn w:val="List"/>
    <w:rsid w:val="00080B36"/>
    <w:pPr>
      <w:numPr>
        <w:numId w:val="9"/>
      </w:numPr>
    </w:pPr>
  </w:style>
  <w:style w:type="paragraph" w:customStyle="1" w:styleId="ListAlpha2">
    <w:name w:val="List Alpha 2"/>
    <w:basedOn w:val="List2"/>
    <w:rsid w:val="00080B36"/>
    <w:pPr>
      <w:numPr>
        <w:numId w:val="8"/>
      </w:numPr>
    </w:pPr>
  </w:style>
  <w:style w:type="paragraph" w:styleId="List3">
    <w:name w:val="List 3"/>
    <w:basedOn w:val="BodyText"/>
    <w:rsid w:val="00080B36"/>
    <w:pPr>
      <w:tabs>
        <w:tab w:val="left" w:pos="1021"/>
      </w:tabs>
      <w:spacing w:before="60" w:after="60"/>
      <w:ind w:left="1020" w:hanging="340"/>
    </w:pPr>
  </w:style>
  <w:style w:type="paragraph" w:styleId="List4">
    <w:name w:val="List 4"/>
    <w:basedOn w:val="BodyText"/>
    <w:rsid w:val="00080B36"/>
    <w:pPr>
      <w:tabs>
        <w:tab w:val="left" w:pos="1361"/>
      </w:tabs>
      <w:spacing w:before="60" w:after="60"/>
      <w:ind w:left="1361" w:hanging="340"/>
    </w:pPr>
  </w:style>
  <w:style w:type="paragraph" w:styleId="List5">
    <w:name w:val="List 5"/>
    <w:basedOn w:val="BodyText"/>
    <w:rsid w:val="00080B36"/>
    <w:pPr>
      <w:tabs>
        <w:tab w:val="left" w:pos="1701"/>
      </w:tabs>
      <w:spacing w:before="60" w:after="60"/>
      <w:ind w:left="1701" w:hanging="340"/>
    </w:pPr>
  </w:style>
  <w:style w:type="paragraph" w:styleId="ListBullet3">
    <w:name w:val="List Bullet 3"/>
    <w:basedOn w:val="List3"/>
    <w:rsid w:val="00080B36"/>
    <w:pPr>
      <w:numPr>
        <w:numId w:val="15"/>
      </w:numPr>
      <w:tabs>
        <w:tab w:val="clear" w:pos="1021"/>
      </w:tabs>
      <w:ind w:left="1037" w:hanging="357"/>
    </w:pPr>
  </w:style>
  <w:style w:type="paragraph" w:styleId="ListBullet4">
    <w:name w:val="List Bullet 4"/>
    <w:basedOn w:val="List4"/>
    <w:rsid w:val="00080B36"/>
    <w:pPr>
      <w:numPr>
        <w:numId w:val="3"/>
      </w:numPr>
    </w:pPr>
  </w:style>
  <w:style w:type="paragraph" w:styleId="ListBullet5">
    <w:name w:val="List Bullet 5"/>
    <w:basedOn w:val="List5"/>
    <w:rsid w:val="00080B36"/>
    <w:pPr>
      <w:numPr>
        <w:numId w:val="4"/>
      </w:numPr>
    </w:pPr>
  </w:style>
  <w:style w:type="paragraph" w:styleId="ListContinue2">
    <w:name w:val="List Continue 2"/>
    <w:basedOn w:val="List2"/>
    <w:rsid w:val="00080B36"/>
    <w:pPr>
      <w:ind w:firstLine="0"/>
    </w:pPr>
  </w:style>
  <w:style w:type="paragraph" w:styleId="ListContinue3">
    <w:name w:val="List Continue 3"/>
    <w:basedOn w:val="List3"/>
    <w:rsid w:val="00080B36"/>
    <w:pPr>
      <w:ind w:left="1021" w:firstLine="0"/>
    </w:pPr>
  </w:style>
  <w:style w:type="paragraph" w:styleId="ListContinue4">
    <w:name w:val="List Continue 4"/>
    <w:basedOn w:val="List4"/>
    <w:rsid w:val="00080B36"/>
    <w:pPr>
      <w:ind w:firstLine="0"/>
    </w:pPr>
  </w:style>
  <w:style w:type="paragraph" w:styleId="ListContinue5">
    <w:name w:val="List Continue 5"/>
    <w:basedOn w:val="List5"/>
    <w:rsid w:val="00080B36"/>
    <w:pPr>
      <w:ind w:firstLine="0"/>
    </w:pPr>
  </w:style>
  <w:style w:type="paragraph" w:styleId="ListNumber3">
    <w:name w:val="List Number 3"/>
    <w:basedOn w:val="List3"/>
    <w:rsid w:val="00080B36"/>
    <w:pPr>
      <w:numPr>
        <w:numId w:val="5"/>
      </w:numPr>
    </w:pPr>
  </w:style>
  <w:style w:type="paragraph" w:styleId="ListNumber4">
    <w:name w:val="List Number 4"/>
    <w:basedOn w:val="List4"/>
    <w:rsid w:val="00080B36"/>
    <w:pPr>
      <w:numPr>
        <w:numId w:val="6"/>
      </w:numPr>
    </w:pPr>
  </w:style>
  <w:style w:type="paragraph" w:styleId="ListNumber5">
    <w:name w:val="List Number 5"/>
    <w:basedOn w:val="List5"/>
    <w:rsid w:val="00080B36"/>
    <w:pPr>
      <w:numPr>
        <w:numId w:val="7"/>
      </w:numPr>
    </w:pPr>
  </w:style>
  <w:style w:type="paragraph" w:styleId="BlockText">
    <w:name w:val="Block Text"/>
    <w:basedOn w:val="Normal"/>
    <w:rsid w:val="00080B36"/>
    <w:pPr>
      <w:spacing w:after="120"/>
      <w:ind w:left="1440" w:right="1440"/>
    </w:pPr>
  </w:style>
  <w:style w:type="character" w:customStyle="1" w:styleId="Subscript">
    <w:name w:val="Subscript"/>
    <w:basedOn w:val="DefaultParagraphFont"/>
    <w:rsid w:val="00080B36"/>
    <w:rPr>
      <w:sz w:val="16"/>
      <w:vertAlign w:val="subscript"/>
    </w:rPr>
  </w:style>
  <w:style w:type="character" w:customStyle="1" w:styleId="Superscript">
    <w:name w:val="Superscript"/>
    <w:basedOn w:val="DefaultParagraphFont"/>
    <w:rsid w:val="00080B36"/>
    <w:rPr>
      <w:sz w:val="16"/>
      <w:vertAlign w:val="superscript"/>
    </w:rPr>
  </w:style>
  <w:style w:type="character" w:customStyle="1" w:styleId="Symbols">
    <w:name w:val="Symbols"/>
    <w:basedOn w:val="DefaultParagraphFont"/>
    <w:rsid w:val="00080B36"/>
    <w:rPr>
      <w:rFonts w:ascii="Symbol" w:hAnsi="Symbol"/>
    </w:rPr>
  </w:style>
  <w:style w:type="character" w:customStyle="1" w:styleId="MenuOptions">
    <w:name w:val="Menu Options"/>
    <w:basedOn w:val="DefaultParagraphFont"/>
    <w:rsid w:val="00080B36"/>
    <w:rPr>
      <w:rFonts w:ascii="Arial Narrow" w:hAnsi="Arial Narrow"/>
      <w:smallCaps/>
    </w:rPr>
  </w:style>
  <w:style w:type="character" w:customStyle="1" w:styleId="Buttons">
    <w:name w:val="Buttons"/>
    <w:basedOn w:val="DefaultParagraphFont"/>
    <w:rsid w:val="00080B36"/>
    <w:rPr>
      <w:b/>
    </w:rPr>
  </w:style>
  <w:style w:type="character" w:customStyle="1" w:styleId="Underlined">
    <w:name w:val="Underlined"/>
    <w:basedOn w:val="DefaultParagraphFont"/>
    <w:rsid w:val="00080B36"/>
    <w:rPr>
      <w:u w:val="single"/>
    </w:rPr>
  </w:style>
  <w:style w:type="paragraph" w:customStyle="1" w:styleId="TableBodyTextRight">
    <w:name w:val="Table Body Text Right"/>
    <w:basedOn w:val="TableBodyText"/>
    <w:rsid w:val="00080B36"/>
    <w:pPr>
      <w:widowControl w:val="0"/>
      <w:autoSpaceDE w:val="0"/>
      <w:autoSpaceDN w:val="0"/>
      <w:adjustRightInd w:val="0"/>
      <w:jc w:val="right"/>
    </w:pPr>
    <w:rPr>
      <w:rFonts w:cs="Arial"/>
      <w:szCs w:val="18"/>
    </w:rPr>
  </w:style>
  <w:style w:type="paragraph" w:customStyle="1" w:styleId="CopyrightText">
    <w:name w:val="Copyright Text"/>
    <w:basedOn w:val="BodyText"/>
    <w:rsid w:val="00080B36"/>
    <w:rPr>
      <w:sz w:val="18"/>
    </w:rPr>
  </w:style>
  <w:style w:type="paragraph" w:customStyle="1" w:styleId="BodySmallRight">
    <w:name w:val="Body Small Right"/>
    <w:basedOn w:val="BodyTextRight"/>
    <w:rsid w:val="00080B36"/>
    <w:rPr>
      <w:sz w:val="18"/>
      <w:szCs w:val="18"/>
    </w:rPr>
  </w:style>
  <w:style w:type="paragraph" w:customStyle="1" w:styleId="MarginEdition">
    <w:name w:val="Margin Edition"/>
    <w:basedOn w:val="MarginNote"/>
    <w:rsid w:val="00080B36"/>
    <w:pPr>
      <w:spacing w:before="0" w:after="0"/>
    </w:pPr>
    <w:rPr>
      <w:rFonts w:ascii="Times New Roman" w:hAnsi="Times New Roman"/>
      <w:color w:val="999999"/>
    </w:rPr>
  </w:style>
  <w:style w:type="paragraph" w:customStyle="1" w:styleId="Spacer">
    <w:name w:val="Spacer"/>
    <w:basedOn w:val="Normal"/>
    <w:rsid w:val="00080B36"/>
    <w:rPr>
      <w:sz w:val="2"/>
      <w:szCs w:val="2"/>
    </w:rPr>
  </w:style>
  <w:style w:type="character" w:customStyle="1" w:styleId="Small">
    <w:name w:val="Small"/>
    <w:basedOn w:val="DefaultParagraphFont"/>
    <w:rsid w:val="00080B36"/>
    <w:rPr>
      <w:sz w:val="16"/>
    </w:rPr>
  </w:style>
  <w:style w:type="paragraph" w:customStyle="1" w:styleId="WideTable">
    <w:name w:val="Wide Table"/>
    <w:basedOn w:val="Normal"/>
    <w:rsid w:val="00080B36"/>
    <w:pPr>
      <w:ind w:left="-1418"/>
    </w:pPr>
    <w:rPr>
      <w:sz w:val="2"/>
      <w:szCs w:val="2"/>
    </w:rPr>
  </w:style>
  <w:style w:type="character" w:styleId="PageNumber">
    <w:name w:val="page number"/>
    <w:basedOn w:val="DefaultParagraphFont"/>
    <w:rsid w:val="00080B36"/>
  </w:style>
  <w:style w:type="paragraph" w:styleId="Quote">
    <w:name w:val="Quote"/>
    <w:basedOn w:val="Heading1"/>
    <w:link w:val="QuoteChar"/>
    <w:qFormat/>
    <w:rsid w:val="00080B36"/>
    <w:rPr>
      <w:b w:val="0"/>
      <w:sz w:val="72"/>
      <w:szCs w:val="72"/>
      <w:lang w:val="en-NZ"/>
    </w:rPr>
  </w:style>
  <w:style w:type="character" w:customStyle="1" w:styleId="QuoteChar">
    <w:name w:val="Quote Char"/>
    <w:basedOn w:val="DefaultParagraphFont"/>
    <w:link w:val="Quote"/>
    <w:rsid w:val="00080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B36"/>
    <w:pPr>
      <w:pageBreakBefore/>
    </w:pPr>
  </w:style>
  <w:style w:type="paragraph" w:customStyle="1" w:styleId="Border">
    <w:name w:val="Border"/>
    <w:basedOn w:val="Normal"/>
    <w:qFormat/>
    <w:rsid w:val="00080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B36"/>
    <w:rPr>
      <w:b/>
      <w:bCs/>
      <w:i/>
      <w:iCs/>
      <w:color w:val="auto"/>
    </w:rPr>
  </w:style>
  <w:style w:type="paragraph" w:styleId="IntenseQuote">
    <w:name w:val="Intense Quote"/>
    <w:basedOn w:val="Normal"/>
    <w:next w:val="Normal"/>
    <w:link w:val="IntenseQuoteChar"/>
    <w:uiPriority w:val="30"/>
    <w:qFormat/>
    <w:rsid w:val="00080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B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0B36"/>
    <w:rPr>
      <w:smallCaps/>
      <w:color w:val="auto"/>
      <w:u w:val="single"/>
    </w:rPr>
  </w:style>
  <w:style w:type="character" w:styleId="IntenseReference">
    <w:name w:val="Intense Reference"/>
    <w:basedOn w:val="DefaultParagraphFont"/>
    <w:uiPriority w:val="32"/>
    <w:qFormat/>
    <w:rsid w:val="00080B36"/>
    <w:rPr>
      <w:b/>
      <w:bCs/>
      <w:smallCaps/>
      <w:color w:val="auto"/>
      <w:spacing w:val="5"/>
      <w:u w:val="single"/>
    </w:rPr>
  </w:style>
  <w:style w:type="paragraph" w:customStyle="1" w:styleId="2ColumnHeading">
    <w:name w:val="2Column Heading"/>
    <w:basedOn w:val="BodyText"/>
    <w:qFormat/>
    <w:rsid w:val="00080B36"/>
    <w:pPr>
      <w:spacing w:after="60"/>
      <w:ind w:left="-2268"/>
    </w:pPr>
    <w:rPr>
      <w:b/>
    </w:rPr>
  </w:style>
  <w:style w:type="paragraph" w:customStyle="1" w:styleId="Heading1TOC">
    <w:name w:val="Heading1 TOC"/>
    <w:basedOn w:val="Normal"/>
    <w:qFormat/>
    <w:rsid w:val="00080B36"/>
    <w:pPr>
      <w:spacing w:before="240" w:after="120"/>
    </w:pPr>
    <w:rPr>
      <w:rFonts w:ascii="Times New Roman" w:hAnsi="Times New Roman"/>
      <w:b/>
      <w:sz w:val="32"/>
    </w:rPr>
  </w:style>
  <w:style w:type="paragraph" w:customStyle="1" w:styleId="Heading2TOC">
    <w:name w:val="Heading2 TOC"/>
    <w:basedOn w:val="Normal"/>
    <w:qFormat/>
    <w:rsid w:val="00080B36"/>
    <w:pPr>
      <w:spacing w:before="240" w:after="60"/>
    </w:pPr>
    <w:rPr>
      <w:rFonts w:ascii="Times New Roman" w:hAnsi="Times New Roman"/>
      <w:b/>
      <w:sz w:val="28"/>
    </w:rPr>
  </w:style>
  <w:style w:type="character" w:customStyle="1" w:styleId="Underline">
    <w:name w:val="Underline"/>
    <w:basedOn w:val="DefaultParagraphFont"/>
    <w:qFormat/>
    <w:rsid w:val="00080B36"/>
    <w:rPr>
      <w:u w:val="single"/>
    </w:rPr>
  </w:style>
  <w:style w:type="paragraph" w:styleId="BalloonText">
    <w:name w:val="Balloon Text"/>
    <w:basedOn w:val="Normal"/>
    <w:link w:val="BalloonTextChar"/>
    <w:rsid w:val="00080B36"/>
    <w:rPr>
      <w:rFonts w:ascii="Tahoma" w:hAnsi="Tahoma" w:cs="Tahoma"/>
      <w:sz w:val="16"/>
      <w:szCs w:val="16"/>
    </w:rPr>
  </w:style>
  <w:style w:type="character" w:customStyle="1" w:styleId="BalloonTextChar">
    <w:name w:val="Balloon Text Char"/>
    <w:basedOn w:val="DefaultParagraphFont"/>
    <w:link w:val="BalloonText"/>
    <w:rsid w:val="00080B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B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B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919</Words>
  <Characters>5861</Characters>
  <Application>Microsoft Office Word</Application>
  <DocSecurity>0</DocSecurity>
  <Lines>234</Lines>
  <Paragraphs>112</Paragraphs>
  <ScaleCrop>false</ScaleCrop>
  <Company>Author-it Software Corporation Ltd.</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FNSBNK404A Promote mobile banking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2012-05-26T16:14:00Z</dcterms:created>
  <dcterms:modified xsi:type="dcterms:W3CDTF">2012-05-26T16:14:00Z</dcterms:modified>
</cp:coreProperties>
</file>