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4E5" w:rsidP="004E04E5">
      <w:pPr>
        <w:pStyle w:val="Title"/>
      </w:pPr>
      <w:r>
        <w:fldChar w:fldCharType="begin"/>
      </w:r>
      <w:r>
        <w:instrText xml:space="preserve"> TITLE   \* MERGEFORMAT </w:instrText>
      </w:r>
      <w:r>
        <w:fldChar w:fldCharType="separate"/>
      </w:r>
      <w:r>
        <w:t>FNSASICT503A Provide advice in Managed Investments</w:t>
      </w:r>
      <w:r>
        <w:fldChar w:fldCharType="end"/>
      </w:r>
    </w:p>
    <w:p w:rsidR="004E04E5" w:rsidP="004E04E5">
      <w:pPr>
        <w:pStyle w:val="Version"/>
        <w:sectPr w:rsidSect="001C2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2E2B" w:rsidP="001C2E2B">
      <w:pPr>
        <w:pStyle w:val="SuperHeading"/>
      </w:pPr>
      <w:r w:rsidRPr="001C2E2B">
        <w:t>FNSASICT503A Provide advice in Managed Investments</w:t>
      </w:r>
    </w:p>
    <w:p w:rsidR="00000000" w:rsidRPr="001C2E2B" w:rsidP="001C2E2B">
      <w:pPr>
        <w:pStyle w:val="SuperHeading"/>
      </w:pPr>
    </w:p>
    <w:p w:rsidR="00000000" w:rsidRPr="001C2E2B" w:rsidP="001C2E2B">
      <w:pPr>
        <w:pStyle w:val="Heading1"/>
      </w:pPr>
      <w:bookmarkStart w:id="1" w:name="O_77523"/>
      <w:bookmarkEnd w:id="1"/>
      <w:r w:rsidRPr="001C2E2B">
        <w:t>Modification History</w:t>
      </w:r>
    </w:p>
    <w:p w:rsidR="00000000" w:rsidRPr="001C2E2B" w:rsidP="001C2E2B">
      <w:pPr>
        <w:pStyle w:val="BodyText"/>
      </w:pPr>
      <w:r w:rsidRPr="001C2E2B">
        <w:t>Not applicable.</w:t>
      </w:r>
    </w:p>
    <w:p w:rsidR="00000000" w:rsidRPr="001C2E2B" w:rsidP="001C2E2B">
      <w:pPr>
        <w:pStyle w:val="AllowPageBreak"/>
      </w:pPr>
    </w:p>
    <w:p w:rsidR="00000000" w:rsidRPr="001C2E2B" w:rsidP="001C2E2B">
      <w:pPr>
        <w:pStyle w:val="Heading1"/>
      </w:pPr>
      <w:bookmarkStart w:id="2" w:name="O_77524"/>
      <w:bookmarkEnd w:id="2"/>
      <w:r w:rsidRPr="001C2E2B">
        <w:t>Unit Descriptor</w:t>
      </w:r>
    </w:p>
    <w:tbl>
      <w:tblPr>
        <w:tblW w:w="0" w:type="auto"/>
        <w:tblLayout w:type="fixed"/>
        <w:tblCellMar>
          <w:left w:w="62" w:type="dxa"/>
          <w:right w:w="62" w:type="dxa"/>
        </w:tblCellMar>
        <w:tblLook w:val="0000"/>
      </w:tblPr>
      <w:tblGrid>
        <w:gridCol w:w="2595"/>
        <w:gridCol w:w="5927"/>
      </w:tblGrid>
      <w:tr w:rsidTr="004E04E5">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Unit descriptor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This unit describes the performance outcomes, skills and knowledge required to satisfy the training re</w:t>
            </w:r>
            <w:r w:rsidRPr="001C2E2B">
              <w:t>quirements of current Australian Securities and Investments Commission (ASIC) Australian Financial Services (AFS) licensing at Tier 1 level in the Managed Investments specialist area.</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3" w:name="O_77525"/>
      <w:bookmarkEnd w:id="3"/>
      <w:r w:rsidRPr="001C2E2B">
        <w:t>Application of the Unit</w:t>
      </w:r>
    </w:p>
    <w:tbl>
      <w:tblPr>
        <w:tblW w:w="0" w:type="auto"/>
        <w:tblLayout w:type="fixed"/>
        <w:tblCellMar>
          <w:left w:w="62" w:type="dxa"/>
          <w:right w:w="62" w:type="dxa"/>
        </w:tblCellMar>
        <w:tblLook w:val="0000"/>
      </w:tblPr>
      <w:tblGrid>
        <w:gridCol w:w="2671"/>
        <w:gridCol w:w="5851"/>
      </w:tblGrid>
      <w:tr w:rsidTr="004E04E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This unit applies to job roles involving the provision of financial products and service advice to clients.</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4" w:name="O_77526"/>
      <w:bookmarkEnd w:id="4"/>
      <w:r w:rsidRPr="001C2E2B">
        <w:t>Licensing/Regulatory Information</w:t>
      </w:r>
    </w:p>
    <w:p w:rsidR="00000000" w:rsidRPr="001C2E2B" w:rsidP="001C2E2B">
      <w:pPr>
        <w:pStyle w:val="BodyText"/>
      </w:pPr>
      <w:r w:rsidRPr="001C2E2B">
        <w:t>Not applicable.</w:t>
      </w:r>
    </w:p>
    <w:p w:rsidR="00000000" w:rsidRPr="001C2E2B" w:rsidP="001C2E2B">
      <w:pPr>
        <w:pStyle w:val="AllowPageBreak"/>
      </w:pPr>
    </w:p>
    <w:p w:rsidR="00000000" w:rsidRPr="001C2E2B" w:rsidP="001C2E2B">
      <w:pPr>
        <w:pStyle w:val="Heading1"/>
      </w:pPr>
      <w:bookmarkStart w:id="5" w:name="O_77528"/>
      <w:bookmarkEnd w:id="5"/>
      <w:r w:rsidRPr="001C2E2B">
        <w:t>Pre-Requisites</w:t>
      </w:r>
    </w:p>
    <w:tbl>
      <w:tblPr>
        <w:tblW w:w="0" w:type="auto"/>
        <w:tblLayout w:type="fixed"/>
        <w:tblCellMar>
          <w:left w:w="62" w:type="dxa"/>
          <w:right w:w="62" w:type="dxa"/>
        </w:tblCellMar>
        <w:tblLook w:val="0000"/>
      </w:tblPr>
      <w:tblGrid>
        <w:gridCol w:w="2589"/>
        <w:gridCol w:w="2342"/>
        <w:gridCol w:w="3591"/>
      </w:tblGrid>
      <w:tr w:rsidTr="004E04E5">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Prerequisite units</w:t>
            </w:r>
          </w:p>
        </w:tc>
        <w:tc>
          <w:tcPr>
            <w:tcW w:w="59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p>
        </w:tc>
      </w:tr>
      <w:tr w:rsidTr="004E04E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FNSINC501A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Conduct product research to support recommendations</w:t>
            </w:r>
          </w:p>
        </w:tc>
      </w:tr>
      <w:tr w:rsidTr="004E04E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FNSIAD501A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Provide appropriate services, advice and products to clients</w:t>
            </w:r>
          </w:p>
        </w:tc>
      </w:tr>
      <w:tr w:rsidTr="004E04E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FNSCUS505A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Determine client requirements and expectations</w:t>
            </w:r>
          </w:p>
        </w:tc>
      </w:tr>
      <w:tr w:rsidTr="004E04E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FNSCUS506A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Record and implement client instructions</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6" w:name="O_77527"/>
      <w:bookmarkEnd w:id="6"/>
      <w:r w:rsidRPr="001C2E2B">
        <w:t>Employability Skills Information</w:t>
      </w:r>
    </w:p>
    <w:tbl>
      <w:tblPr>
        <w:tblW w:w="0" w:type="auto"/>
        <w:tblLayout w:type="fixed"/>
        <w:tblCellMar>
          <w:left w:w="62" w:type="dxa"/>
          <w:right w:w="62" w:type="dxa"/>
        </w:tblCellMar>
        <w:tblLook w:val="0000"/>
      </w:tblPr>
      <w:tblGrid>
        <w:gridCol w:w="2711"/>
        <w:gridCol w:w="5811"/>
      </w:tblGrid>
      <w:tr w:rsidTr="004E04E5">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This unit contains employability skills.</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7" w:name="O_77529"/>
      <w:bookmarkEnd w:id="7"/>
      <w:r w:rsidRPr="001C2E2B">
        <w:t>Elements and Performance Criteria Pre-Content</w:t>
      </w:r>
    </w:p>
    <w:tbl>
      <w:tblPr>
        <w:tblW w:w="0" w:type="auto"/>
        <w:tblLayout w:type="fixed"/>
        <w:tblCellMar>
          <w:left w:w="62" w:type="dxa"/>
          <w:right w:w="62" w:type="dxa"/>
        </w:tblCellMar>
        <w:tblLook w:val="0000"/>
      </w:tblPr>
      <w:tblGrid>
        <w:gridCol w:w="2581"/>
        <w:gridCol w:w="5941"/>
      </w:tblGrid>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Performance criteria desc</w:t>
            </w:r>
            <w:r w:rsidRPr="001C2E2B">
              <w:t>ribe the performance needed to demonstrate achievement of the element. Where bold italicised text is used, further information is detailed in the required skills and knowledge section and the range statement. Assessment of performance is to be consistent w</w:t>
            </w:r>
            <w:r w:rsidRPr="001C2E2B">
              <w:t>ith the evidence guide.</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8" w:name="O_77530"/>
      <w:bookmarkEnd w:id="8"/>
      <w:r w:rsidRPr="001C2E2B">
        <w:t>Elements and Performance Criteria</w:t>
      </w:r>
    </w:p>
    <w:tbl>
      <w:tblPr>
        <w:tblW w:w="0" w:type="auto"/>
        <w:tblLayout w:type="fixed"/>
        <w:tblCellMar>
          <w:left w:w="62" w:type="dxa"/>
          <w:right w:w="62" w:type="dxa"/>
        </w:tblCellMar>
        <w:tblLook w:val="0000"/>
      </w:tblPr>
      <w:tblGrid>
        <w:gridCol w:w="2581"/>
        <w:gridCol w:w="5941"/>
      </w:tblGrid>
      <w:tr w:rsidTr="004E04E5">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PERFORMANCE CRITERIA</w:t>
            </w:r>
          </w:p>
        </w:tc>
      </w:tr>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List"/>
              <w:rPr>
                <w:lang w:val="en-NZ"/>
              </w:rPr>
            </w:pPr>
            <w:r w:rsidRPr="001C2E2B">
              <w:t>1.</w:t>
            </w:r>
            <w:r w:rsidRPr="001C2E2B">
              <w:tab/>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2"/>
            </w:pPr>
            <w:r w:rsidRPr="001C2E2B">
              <w:t>1.1.</w:t>
            </w:r>
            <w:r w:rsidRPr="001C2E2B">
              <w:tab/>
            </w:r>
            <w:r w:rsidRPr="001C2E2B">
              <w:t>The financial products and services knowledge level of the client is established</w:t>
            </w:r>
          </w:p>
          <w:p w:rsidR="00000000" w:rsidRPr="001C2E2B" w:rsidP="001C2E2B">
            <w:pPr>
              <w:pStyle w:val="List2"/>
            </w:pPr>
            <w:r w:rsidRPr="001C2E2B">
              <w:t>1.2.</w:t>
            </w:r>
            <w:r w:rsidRPr="001C2E2B">
              <w:tab/>
              <w:t>Enquiries in relation to Managed Investment products and services are responded to by explaining the range of products and services available and their relevant fee and c</w:t>
            </w:r>
            <w:r w:rsidRPr="001C2E2B">
              <w:t>harging methodology</w:t>
            </w:r>
          </w:p>
          <w:p w:rsidR="00000000" w:rsidRPr="001C2E2B" w:rsidP="001C2E2B">
            <w:pPr>
              <w:pStyle w:val="List2"/>
            </w:pPr>
            <w:r w:rsidRPr="001C2E2B">
              <w:t>1.3.</w:t>
            </w:r>
            <w:r w:rsidRPr="001C2E2B">
              <w:tab/>
              <w:t xml:space="preserve">Client is informed of the role of the </w:t>
            </w:r>
            <w:r w:rsidRPr="001C2E2B">
              <w:rPr>
                <w:rStyle w:val="BoldandItalics"/>
              </w:rPr>
              <w:t>adviser</w:t>
            </w:r>
            <w:r w:rsidRPr="001C2E2B">
              <w:t xml:space="preserve"> and the licensee or principal responsible for the adviser's conduct including procedures for complaints handling and the circumstances in which they should be engaged</w:t>
            </w:r>
          </w:p>
          <w:p w:rsidR="00000000" w:rsidRPr="001C2E2B" w:rsidP="001C2E2B">
            <w:pPr>
              <w:pStyle w:val="List2"/>
            </w:pPr>
            <w:r w:rsidRPr="001C2E2B">
              <w:t>1.4.</w:t>
            </w:r>
            <w:r w:rsidRPr="001C2E2B">
              <w:tab/>
              <w:t xml:space="preserve">The client's </w:t>
            </w:r>
            <w:r w:rsidRPr="001C2E2B">
              <w:t xml:space="preserve">personal, financial and business details are obtained and their </w:t>
            </w:r>
            <w:r w:rsidRPr="001C2E2B">
              <w:rPr>
                <w:rStyle w:val="BoldandItalics"/>
              </w:rPr>
              <w:t>needs</w:t>
            </w:r>
            <w:r w:rsidRPr="001C2E2B">
              <w:t xml:space="preserve"> identified by encouraging expression of their </w:t>
            </w:r>
            <w:r w:rsidRPr="001C2E2B">
              <w:rPr>
                <w:rStyle w:val="BoldandItalics"/>
              </w:rPr>
              <w:t>objectives and goals</w:t>
            </w:r>
          </w:p>
          <w:p w:rsidR="00000000" w:rsidP="001C2E2B">
            <w:pPr>
              <w:pStyle w:val="List2"/>
              <w:rPr>
                <w:lang w:val="en-NZ"/>
              </w:rPr>
            </w:pPr>
            <w:r w:rsidRPr="001C2E2B">
              <w:t>1.5.</w:t>
            </w:r>
            <w:r w:rsidRPr="001C2E2B">
              <w:tab/>
            </w:r>
            <w:r w:rsidRPr="001C2E2B">
              <w:rPr>
                <w:rStyle w:val="BoldandItalics"/>
              </w:rPr>
              <w:t>Product risk profile</w:t>
            </w:r>
            <w:r w:rsidRPr="001C2E2B">
              <w:t xml:space="preserve"> of the client and their </w:t>
            </w:r>
            <w:r w:rsidRPr="001C2E2B">
              <w:rPr>
                <w:rStyle w:val="BoldandItalics"/>
              </w:rPr>
              <w:t>expectations</w:t>
            </w:r>
            <w:r w:rsidRPr="001C2E2B">
              <w:t xml:space="preserve"> of cash flow and relevant taxation obligations </w:t>
            </w:r>
            <w:r w:rsidRPr="001C2E2B">
              <w:t>are established</w:t>
            </w:r>
          </w:p>
        </w:tc>
      </w:tr>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List"/>
              <w:rPr>
                <w:lang w:val="en-NZ"/>
              </w:rPr>
            </w:pPr>
            <w:r w:rsidRPr="001C2E2B">
              <w:t>2.</w:t>
            </w:r>
            <w:r w:rsidRPr="001C2E2B">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2"/>
            </w:pPr>
            <w:r w:rsidRPr="001C2E2B">
              <w:t>2.1.</w:t>
            </w:r>
            <w:r w:rsidRPr="001C2E2B">
              <w:tab/>
              <w:t xml:space="preserve">An assessment of client's needs is undertaken, utilising all </w:t>
            </w:r>
            <w:r w:rsidRPr="001C2E2B">
              <w:rPr>
                <w:rStyle w:val="BoldandItalics"/>
              </w:rPr>
              <w:t>information</w:t>
            </w:r>
            <w:r w:rsidRPr="001C2E2B">
              <w:t xml:space="preserve"> gathered and taking into account clie</w:t>
            </w:r>
            <w:r w:rsidRPr="001C2E2B">
              <w:t>nt's product expectations and specific needs</w:t>
            </w:r>
          </w:p>
          <w:p w:rsidR="00000000" w:rsidRPr="001C2E2B" w:rsidP="001C2E2B">
            <w:pPr>
              <w:pStyle w:val="List2"/>
            </w:pPr>
            <w:r w:rsidRPr="001C2E2B">
              <w:t>2.2.</w:t>
            </w:r>
            <w:r w:rsidRPr="001C2E2B">
              <w:tab/>
              <w:t>Client is consulted throughout the analysis for further clarification where necessary</w:t>
            </w:r>
          </w:p>
          <w:p w:rsidR="00000000" w:rsidRPr="001C2E2B" w:rsidP="001C2E2B">
            <w:pPr>
              <w:pStyle w:val="List2"/>
            </w:pPr>
            <w:r w:rsidRPr="001C2E2B">
              <w:t>2.3.</w:t>
            </w:r>
            <w:r w:rsidRPr="001C2E2B">
              <w:tab/>
              <w:t>The need for specialist advice is analysed and the client is referred to appropriate adviser for higher level or sp</w:t>
            </w:r>
            <w:r w:rsidRPr="001C2E2B">
              <w:t>ecialist advice if required</w:t>
            </w:r>
          </w:p>
          <w:p w:rsidR="00000000" w:rsidRPr="001C2E2B" w:rsidP="001C2E2B">
            <w:pPr>
              <w:pStyle w:val="List2"/>
            </w:pPr>
            <w:r w:rsidRPr="001C2E2B">
              <w:t>2.4.</w:t>
            </w:r>
            <w:r w:rsidRPr="001C2E2B">
              <w:tab/>
              <w:t>Product risk profile of the client is assessed and agreed demonstrating understanding of the ASIC identified generic and specialist knowledge relevant to the products being offered</w:t>
            </w:r>
          </w:p>
          <w:p w:rsidR="00000000" w:rsidRPr="001C2E2B" w:rsidP="001C2E2B">
            <w:pPr>
              <w:pStyle w:val="List2"/>
            </w:pPr>
            <w:r w:rsidRPr="001C2E2B">
              <w:t>2.5.</w:t>
            </w:r>
            <w:r w:rsidRPr="001C2E2B">
              <w:tab/>
              <w:t>An appropriate strategy to provide fo</w:t>
            </w:r>
            <w:r w:rsidRPr="001C2E2B">
              <w:t>r identified needs and outcomes is determined from analysis of products, client risk profile and assessment of their needs</w:t>
            </w:r>
          </w:p>
          <w:p w:rsidR="00000000" w:rsidP="001C2E2B">
            <w:pPr>
              <w:pStyle w:val="List2"/>
              <w:rPr>
                <w:lang w:val="en-NZ"/>
              </w:rPr>
            </w:pPr>
            <w:r w:rsidRPr="001C2E2B">
              <w:t>2.6.</w:t>
            </w:r>
            <w:r w:rsidRPr="001C2E2B">
              <w:tab/>
              <w:t xml:space="preserve">Relevant research, analysis and product modelling is conducted and an appropriate solution, plan, policy or transaction drafted </w:t>
            </w:r>
            <w:r w:rsidRPr="001C2E2B">
              <w:t>for presentation to the client</w:t>
            </w:r>
          </w:p>
        </w:tc>
      </w:tr>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List"/>
              <w:rPr>
                <w:lang w:val="en-NZ"/>
              </w:rPr>
            </w:pPr>
            <w:r w:rsidRPr="001C2E2B">
              <w:t>3.</w:t>
            </w:r>
            <w:r w:rsidRPr="001C2E2B">
              <w:tab/>
              <w:t xml:space="preserve">Present appropriate strategies and solutions to client and negotiate a financial </w:t>
            </w:r>
            <w:r w:rsidRPr="001C2E2B">
              <w:t>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2"/>
            </w:pPr>
            <w:r w:rsidRPr="001C2E2B">
              <w:t>3.1.</w:t>
            </w:r>
            <w:r w:rsidRPr="001C2E2B">
              <w:tab/>
              <w:t>Product knowledge appropriate for the service or product offered is demonstrated when presenting the produc</w:t>
            </w:r>
            <w:r w:rsidRPr="001C2E2B">
              <w:t>t</w:t>
            </w:r>
          </w:p>
          <w:p w:rsidR="00000000" w:rsidRPr="001C2E2B" w:rsidP="001C2E2B">
            <w:pPr>
              <w:pStyle w:val="List2"/>
            </w:pPr>
            <w:r w:rsidRPr="001C2E2B">
              <w:t>3.2.</w:t>
            </w:r>
            <w:r w:rsidRPr="001C2E2B">
              <w:tab/>
              <w:t xml:space="preserve">The proposed transaction is explained and discussed </w:t>
            </w:r>
            <w:r w:rsidRPr="001C2E2B">
              <w:t>with the client in a clear and unambiguous way</w:t>
            </w:r>
          </w:p>
          <w:p w:rsidR="00000000" w:rsidRPr="001C2E2B" w:rsidP="001C2E2B">
            <w:pPr>
              <w:pStyle w:val="List2"/>
            </w:pPr>
            <w:r w:rsidRPr="001C2E2B">
              <w:t>3.3.</w:t>
            </w:r>
            <w:r w:rsidRPr="001C2E2B">
              <w:tab/>
              <w:t>Relevant details, terms and conditions of product/service are reinforced to client</w:t>
            </w:r>
          </w:p>
          <w:p w:rsidR="00000000" w:rsidRPr="001C2E2B" w:rsidP="001C2E2B">
            <w:pPr>
              <w:pStyle w:val="List2"/>
            </w:pPr>
            <w:r w:rsidRPr="001C2E2B">
              <w:t>3.4.</w:t>
            </w:r>
            <w:r w:rsidRPr="001C2E2B">
              <w:tab/>
              <w:t xml:space="preserve">Impacts and possible risks of the solution are disclosed </w:t>
            </w:r>
            <w:r w:rsidRPr="001C2E2B">
              <w:t>in a clear and concise manner to the client</w:t>
            </w:r>
          </w:p>
          <w:p w:rsidR="00000000" w:rsidRPr="001C2E2B" w:rsidP="001C2E2B">
            <w:pPr>
              <w:pStyle w:val="List2"/>
            </w:pPr>
            <w:r w:rsidRPr="001C2E2B">
              <w:t>3.5.</w:t>
            </w:r>
            <w:r w:rsidRPr="001C2E2B">
              <w:tab/>
              <w:t xml:space="preserve">Client is provided with written supporting </w:t>
            </w:r>
            <w:r w:rsidRPr="001C2E2B">
              <w:rPr>
                <w:rStyle w:val="BoldandItalics"/>
              </w:rPr>
              <w:t>documentation</w:t>
            </w:r>
            <w:r w:rsidRPr="001C2E2B">
              <w:t xml:space="preserve"> and guided through the key aspects of the documentation</w:t>
            </w:r>
          </w:p>
          <w:p w:rsidR="00000000" w:rsidRPr="001C2E2B" w:rsidP="001C2E2B">
            <w:pPr>
              <w:pStyle w:val="List2"/>
            </w:pPr>
            <w:r w:rsidRPr="001C2E2B">
              <w:t>3.6.</w:t>
            </w:r>
            <w:r w:rsidRPr="001C2E2B">
              <w:tab/>
              <w:t xml:space="preserve">Concerns or issues the client has regarding the proposed plan, policy or transaction are </w:t>
            </w:r>
            <w:r w:rsidRPr="001C2E2B">
              <w:t>discussed and clarified</w:t>
            </w:r>
          </w:p>
          <w:p w:rsidR="00000000" w:rsidP="001C2E2B">
            <w:pPr>
              <w:pStyle w:val="List2"/>
              <w:rPr>
                <w:lang w:val="en-NZ"/>
              </w:rPr>
            </w:pPr>
            <w:r w:rsidRPr="001C2E2B">
              <w:t>3.7.</w:t>
            </w:r>
            <w:r w:rsidRPr="001C2E2B">
              <w:tab/>
              <w:t>Confirmation is sought from client that they understand the proposed plan, policy or transaction</w:t>
            </w:r>
          </w:p>
        </w:tc>
      </w:tr>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List"/>
              <w:rPr>
                <w:lang w:val="en-NZ"/>
              </w:rPr>
            </w:pPr>
            <w:r w:rsidRPr="001C2E2B">
              <w:t>4.</w:t>
            </w:r>
            <w:r w:rsidRPr="001C2E2B">
              <w:tab/>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2"/>
            </w:pPr>
            <w:r w:rsidRPr="001C2E2B">
              <w:t>4.1.</w:t>
            </w:r>
            <w:r w:rsidRPr="001C2E2B">
              <w:tab/>
            </w:r>
            <w:r w:rsidRPr="001C2E2B">
              <w:t>The client's formal agreement to the proposed plan, policy or transaction is gained</w:t>
            </w:r>
          </w:p>
          <w:p w:rsidR="00000000" w:rsidRPr="001C2E2B" w:rsidP="001C2E2B">
            <w:pPr>
              <w:pStyle w:val="List2"/>
            </w:pPr>
            <w:r w:rsidRPr="001C2E2B">
              <w:t>4.2.</w:t>
            </w:r>
            <w:r w:rsidRPr="001C2E2B">
              <w:tab/>
              <w:t>Associated fee and cost structures and timeframes for execution and processing are clearly explained and confirmation of understanding gained from the client</w:t>
            </w:r>
          </w:p>
          <w:p w:rsidR="00000000" w:rsidRPr="001C2E2B" w:rsidP="001C2E2B">
            <w:pPr>
              <w:pStyle w:val="List2"/>
            </w:pPr>
            <w:r w:rsidRPr="001C2E2B">
              <w:t>4.3.</w:t>
            </w:r>
            <w:r w:rsidRPr="001C2E2B">
              <w:tab/>
              <w:t>Prop</w:t>
            </w:r>
            <w:r w:rsidRPr="001C2E2B">
              <w:t>osal and all other statutory and transactional documents are completed and signed off by the client</w:t>
            </w:r>
          </w:p>
          <w:p w:rsidR="00000000" w:rsidP="001C2E2B">
            <w:pPr>
              <w:pStyle w:val="List2"/>
              <w:rPr>
                <w:lang w:val="en-NZ"/>
              </w:rPr>
            </w:pPr>
            <w:r w:rsidRPr="001C2E2B">
              <w:t>4.4.</w:t>
            </w:r>
            <w:r w:rsidRPr="001C2E2B">
              <w:tab/>
              <w:t>Copies of appropriate documentation and the signed agreement are exchanged</w:t>
            </w:r>
          </w:p>
        </w:tc>
      </w:tr>
      <w:tr w:rsidTr="004E04E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List"/>
              <w:rPr>
                <w:lang w:val="en-NZ"/>
              </w:rPr>
            </w:pPr>
            <w:r w:rsidRPr="001C2E2B">
              <w:t>5.</w:t>
            </w:r>
            <w:r w:rsidRPr="001C2E2B">
              <w:tab/>
              <w:t>Provide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2"/>
            </w:pPr>
            <w:r w:rsidRPr="001C2E2B">
              <w:t>5.1.</w:t>
            </w:r>
            <w:r w:rsidRPr="001C2E2B">
              <w:tab/>
              <w:t xml:space="preserve">Type and form of </w:t>
            </w:r>
            <w:r w:rsidRPr="001C2E2B">
              <w:t>ongoing service including reporting on performance and review of plan, policy or transaction is agreed with the client</w:t>
            </w:r>
          </w:p>
          <w:p w:rsidR="00000000" w:rsidRPr="001C2E2B" w:rsidP="001C2E2B">
            <w:pPr>
              <w:pStyle w:val="List2"/>
            </w:pPr>
            <w:r w:rsidRPr="001C2E2B">
              <w:t>5.2.</w:t>
            </w:r>
            <w:r w:rsidRPr="001C2E2B">
              <w:tab/>
              <w:t xml:space="preserve">Fees and costs for ongoing and specifically defined service are clearly explained and confirmation of understanding gained from the </w:t>
            </w:r>
            <w:r w:rsidRPr="001C2E2B">
              <w:t>client</w:t>
            </w:r>
          </w:p>
          <w:p w:rsidR="00000000" w:rsidRPr="001C2E2B" w:rsidP="001C2E2B">
            <w:pPr>
              <w:pStyle w:val="List2"/>
            </w:pPr>
            <w:r w:rsidRPr="001C2E2B">
              <w:t>5.3.</w:t>
            </w:r>
            <w:r w:rsidRPr="001C2E2B">
              <w:tab/>
              <w:t>Ongoing service is provided as required</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9" w:name="O_77531"/>
      <w:bookmarkEnd w:id="9"/>
      <w:r w:rsidRPr="001C2E2B">
        <w:t>Required Skills and Knowledge</w:t>
      </w:r>
    </w:p>
    <w:tbl>
      <w:tblPr>
        <w:tblW w:w="0" w:type="auto"/>
        <w:tblLayout w:type="fixed"/>
        <w:tblCellMar>
          <w:left w:w="62" w:type="dxa"/>
          <w:right w:w="62" w:type="dxa"/>
        </w:tblCellMar>
        <w:tblLook w:val="0000"/>
      </w:tblPr>
      <w:tblGrid>
        <w:gridCol w:w="8522"/>
      </w:tblGrid>
      <w:tr w:rsidTr="004E04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REQUIRED SKILLS AND KNOWLEDGE</w:t>
            </w:r>
          </w:p>
        </w:tc>
      </w:tr>
      <w:tr w:rsidTr="004E04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This section describes the skills and knowledge required for this unit.</w:t>
            </w:r>
          </w:p>
        </w:tc>
      </w:tr>
      <w:tr w:rsidTr="004E04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Required skills</w:t>
            </w:r>
          </w:p>
        </w:tc>
      </w:tr>
      <w:tr w:rsidTr="004E04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communication skills to:</w:t>
            </w:r>
          </w:p>
          <w:p w:rsidR="00000000" w:rsidRPr="001C2E2B" w:rsidP="001C2E2B">
            <w:pPr>
              <w:pStyle w:val="ListBullet2"/>
            </w:pPr>
            <w:r w:rsidRPr="001C2E2B">
              <w:t>determine and confirm client requirements, using questioning and active listening as required</w:t>
            </w:r>
          </w:p>
          <w:p w:rsidR="00000000" w:rsidRPr="001C2E2B" w:rsidP="001C2E2B">
            <w:pPr>
              <w:pStyle w:val="ListBullet2"/>
            </w:pPr>
            <w:r w:rsidRPr="001C2E2B">
              <w:t>negotiate financial service transactions with clients</w:t>
            </w:r>
          </w:p>
          <w:p w:rsidR="00000000" w:rsidRPr="001C2E2B" w:rsidP="001C2E2B">
            <w:pPr>
              <w:pStyle w:val="ListBullet2"/>
            </w:pPr>
            <w:r w:rsidRPr="001C2E2B">
              <w:t>liaise with others, share information, listen and understand</w:t>
            </w:r>
          </w:p>
          <w:p w:rsidR="00000000" w:rsidRPr="001C2E2B" w:rsidP="001C2E2B">
            <w:pPr>
              <w:pStyle w:val="ListBullet2"/>
            </w:pPr>
            <w:r w:rsidRPr="001C2E2B">
              <w:t>use language and concepts appropriate to cultur</w:t>
            </w:r>
            <w:r w:rsidRPr="001C2E2B">
              <w:t>al differences</w:t>
            </w:r>
          </w:p>
          <w:p w:rsidR="00000000" w:rsidRPr="001C2E2B" w:rsidP="001C2E2B">
            <w:pPr>
              <w:pStyle w:val="ListBullet"/>
            </w:pPr>
            <w:r w:rsidRPr="001C2E2B">
              <w:t>literacy skills to:</w:t>
            </w:r>
          </w:p>
          <w:p w:rsidR="00000000" w:rsidRPr="001C2E2B" w:rsidP="001C2E2B">
            <w:pPr>
              <w:pStyle w:val="ListBullet2"/>
            </w:pPr>
            <w:r w:rsidRPr="001C2E2B">
              <w:t>read and interpret documentation from a variety of sources</w:t>
            </w:r>
          </w:p>
          <w:p w:rsidR="00000000" w:rsidRPr="001C2E2B" w:rsidP="001C2E2B">
            <w:pPr>
              <w:pStyle w:val="ListBullet2"/>
            </w:pPr>
            <w:r w:rsidRPr="001C2E2B">
              <w:t>analyse information and products to ensure appropriateness to client needs, currency and accuracy</w:t>
            </w:r>
          </w:p>
          <w:p w:rsidR="00000000" w:rsidRPr="001C2E2B" w:rsidP="001C2E2B">
            <w:pPr>
              <w:pStyle w:val="ListBullet2"/>
            </w:pPr>
            <w:r w:rsidRPr="001C2E2B">
              <w:t>complete documentation accurately</w:t>
            </w:r>
          </w:p>
          <w:p w:rsidR="00000000" w:rsidRPr="001C2E2B" w:rsidP="001C2E2B">
            <w:pPr>
              <w:pStyle w:val="ListBullet"/>
            </w:pPr>
            <w:r w:rsidRPr="001C2E2B">
              <w:t xml:space="preserve">researchand analysisskills </w:t>
            </w:r>
            <w:r w:rsidRPr="001C2E2B">
              <w:t>foraccessing, interpreting and managing complex information</w:t>
            </w:r>
          </w:p>
          <w:p w:rsidR="00000000" w:rsidRPr="001C2E2B" w:rsidP="001C2E2B">
            <w:pPr>
              <w:pStyle w:val="ListBullet"/>
            </w:pPr>
            <w:r w:rsidRPr="001C2E2B">
              <w:t>numeracy and IT skills to:</w:t>
            </w:r>
          </w:p>
          <w:p w:rsidR="00000000" w:rsidRPr="001C2E2B" w:rsidP="001C2E2B">
            <w:pPr>
              <w:pStyle w:val="ListBullet2"/>
            </w:pPr>
            <w:r w:rsidRPr="001C2E2B">
              <w:t>interpret financial information and calculate client costs, risks and returns</w:t>
            </w:r>
          </w:p>
          <w:p w:rsidR="00000000" w:rsidRPr="001C2E2B" w:rsidP="001C2E2B">
            <w:pPr>
              <w:pStyle w:val="ListBullet2"/>
            </w:pPr>
            <w:r w:rsidRPr="001C2E2B">
              <w:t>access and use appropriate software such as spreadsheets and databases</w:t>
            </w:r>
          </w:p>
          <w:p w:rsidR="00000000" w:rsidRPr="001C2E2B" w:rsidP="001C2E2B">
            <w:pPr>
              <w:pStyle w:val="ListBullet2"/>
            </w:pPr>
            <w:r w:rsidRPr="001C2E2B">
              <w:t>use internet inform</w:t>
            </w:r>
            <w:r w:rsidRPr="001C2E2B">
              <w:t>ation</w:t>
            </w:r>
          </w:p>
          <w:p w:rsidR="00000000" w:rsidRPr="001C2E2B" w:rsidP="001C2E2B">
            <w:pPr>
              <w:pStyle w:val="ListBullet"/>
            </w:pPr>
            <w:r w:rsidRPr="001C2E2B">
              <w:t>interpersonal skills to establish rapport with clients and to liaise with otherteam members</w:t>
            </w:r>
          </w:p>
          <w:p w:rsidR="00000000" w:rsidRPr="001C2E2B" w:rsidP="001C2E2B">
            <w:pPr>
              <w:pStyle w:val="ListBullet"/>
            </w:pPr>
            <w:r w:rsidRPr="001C2E2B">
              <w:t>self-management skills for complying with ethical, legal and procedural requirements</w:t>
            </w:r>
          </w:p>
          <w:p w:rsidR="00000000" w:rsidRPr="001C2E2B" w:rsidP="001C2E2B">
            <w:pPr>
              <w:pStyle w:val="ListBullet"/>
            </w:pPr>
            <w:r w:rsidRPr="001C2E2B">
              <w:t>learning skills to maintain knowledge of products and services and any changes to compliance legislation and requirements</w:t>
            </w:r>
          </w:p>
          <w:p w:rsidR="00000000" w:rsidRPr="001C2E2B" w:rsidP="001C2E2B">
            <w:pPr>
              <w:pStyle w:val="ListBullet"/>
            </w:pPr>
            <w:r w:rsidRPr="001C2E2B">
              <w:t>judgement skills for forming suitable and ethical recommendations in advising situations</w:t>
            </w:r>
          </w:p>
          <w:p w:rsidR="00000000" w:rsidP="001C2E2B">
            <w:pPr>
              <w:pStyle w:val="ListBullet"/>
              <w:rPr>
                <w:lang w:val="en-NZ"/>
              </w:rPr>
            </w:pPr>
            <w:r w:rsidRPr="001C2E2B">
              <w:t xml:space="preserve">organisational and time management skills to </w:t>
            </w:r>
            <w:r w:rsidRPr="001C2E2B">
              <w:t>sequence tasks, meet timelines and arrange meetings</w:t>
            </w:r>
          </w:p>
        </w:tc>
      </w:tr>
      <w:tr w:rsidTr="004E04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Required knowledge</w:t>
            </w:r>
          </w:p>
        </w:tc>
      </w:tr>
      <w:tr w:rsidTr="004E04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the economic environment, characteristics and impact of economic and business cycles, including:</w:t>
            </w:r>
          </w:p>
          <w:p w:rsidR="00000000" w:rsidRPr="001C2E2B" w:rsidP="001C2E2B">
            <w:pPr>
              <w:pStyle w:val="ListBullet2"/>
            </w:pPr>
            <w:r w:rsidRPr="001C2E2B">
              <w:t>interest rates</w:t>
            </w:r>
          </w:p>
          <w:p w:rsidR="00000000" w:rsidRPr="001C2E2B" w:rsidP="001C2E2B">
            <w:pPr>
              <w:pStyle w:val="ListBullet2"/>
            </w:pPr>
            <w:r w:rsidRPr="001C2E2B">
              <w:t>exchange rates</w:t>
            </w:r>
          </w:p>
          <w:p w:rsidR="00000000" w:rsidRPr="001C2E2B" w:rsidP="001C2E2B">
            <w:pPr>
              <w:pStyle w:val="ListBullet2"/>
            </w:pPr>
            <w:r w:rsidRPr="001C2E2B">
              <w:t>inflation</w:t>
            </w:r>
          </w:p>
          <w:p w:rsidR="00000000" w:rsidRPr="001C2E2B" w:rsidP="001C2E2B">
            <w:pPr>
              <w:pStyle w:val="ListBullet2"/>
            </w:pPr>
            <w:r w:rsidRPr="001C2E2B">
              <w:t>government monetary and fiscal policies</w:t>
            </w:r>
          </w:p>
          <w:p w:rsidR="00000000" w:rsidRPr="001C2E2B" w:rsidP="001C2E2B">
            <w:pPr>
              <w:pStyle w:val="ListBullet"/>
            </w:pPr>
            <w:r w:rsidRPr="001C2E2B">
              <w:t>the operation of financial markets and the roles played by intermediaries and issuers</w:t>
            </w:r>
          </w:p>
          <w:p w:rsidR="00000000" w:rsidRPr="001C2E2B" w:rsidP="001C2E2B">
            <w:pPr>
              <w:pStyle w:val="ListBullet"/>
            </w:pPr>
            <w:r w:rsidRPr="001C2E2B">
              <w:t>structure and inter-relationships within financial markets and inter-relationships between industry sectors</w:t>
            </w:r>
          </w:p>
          <w:p w:rsidR="00000000" w:rsidRPr="001C2E2B" w:rsidP="001C2E2B">
            <w:pPr>
              <w:pStyle w:val="ListBullet"/>
            </w:pPr>
            <w:r w:rsidRPr="001C2E2B">
              <w:t>financial products, including:</w:t>
            </w:r>
          </w:p>
          <w:p w:rsidR="00000000" w:rsidRPr="001C2E2B" w:rsidP="001C2E2B">
            <w:pPr>
              <w:pStyle w:val="ListBullet2"/>
            </w:pPr>
            <w:r w:rsidRPr="001C2E2B">
              <w:t xml:space="preserve">the concept of a financial product </w:t>
            </w:r>
          </w:p>
          <w:p w:rsidR="00000000" w:rsidRPr="001C2E2B" w:rsidP="001C2E2B">
            <w:pPr>
              <w:pStyle w:val="ListBullet2"/>
            </w:pPr>
            <w:r w:rsidRPr="001C2E2B">
              <w:t xml:space="preserve">general definition </w:t>
            </w:r>
          </w:p>
          <w:p w:rsidR="00000000" w:rsidRPr="001C2E2B" w:rsidP="001C2E2B">
            <w:pPr>
              <w:pStyle w:val="ListBullet2"/>
            </w:pPr>
            <w:r w:rsidRPr="001C2E2B">
              <w:t xml:space="preserve">specific inclusions and exclusions </w:t>
            </w:r>
          </w:p>
          <w:p w:rsidR="00000000" w:rsidRPr="001C2E2B" w:rsidP="001C2E2B">
            <w:pPr>
              <w:pStyle w:val="ListBullet2"/>
            </w:pPr>
            <w:r w:rsidRPr="001C2E2B">
              <w:t xml:space="preserve">types of financial investment products </w:t>
            </w:r>
          </w:p>
          <w:p w:rsidR="00000000" w:rsidRPr="001C2E2B" w:rsidP="001C2E2B">
            <w:pPr>
              <w:pStyle w:val="ListBullet2"/>
            </w:pPr>
            <w:r w:rsidRPr="001C2E2B">
              <w:t>identification of types of risks</w:t>
            </w:r>
          </w:p>
          <w:p w:rsidR="00000000" w:rsidRPr="001C2E2B" w:rsidP="001C2E2B">
            <w:pPr>
              <w:pStyle w:val="ListBullet"/>
            </w:pPr>
            <w:r w:rsidRPr="001C2E2B">
              <w:t>taxation issues in relation to Managed Investments products and markets in which they oper</w:t>
            </w:r>
            <w:r w:rsidRPr="001C2E2B">
              <w:t xml:space="preserve">ate </w:t>
            </w:r>
          </w:p>
          <w:p w:rsidR="00000000" w:rsidRPr="001C2E2B" w:rsidP="001C2E2B">
            <w:pPr>
              <w:pStyle w:val="ListBullet"/>
            </w:pPr>
            <w:r w:rsidRPr="001C2E2B">
              <w:t xml:space="preserve">advisory functions including: </w:t>
            </w:r>
          </w:p>
          <w:p w:rsidR="00000000" w:rsidRPr="001C2E2B" w:rsidP="001C2E2B">
            <w:pPr>
              <w:pStyle w:val="ListBullet2"/>
            </w:pPr>
            <w:r w:rsidRPr="001C2E2B">
              <w:t xml:space="preserve">the role of the representative or adviser </w:t>
            </w:r>
          </w:p>
          <w:p w:rsidR="00000000" w:rsidRPr="001C2E2B" w:rsidP="001C2E2B">
            <w:pPr>
              <w:pStyle w:val="ListBullet2"/>
            </w:pPr>
            <w:r w:rsidRPr="001C2E2B">
              <w:t xml:space="preserve">participants in the advisory services market </w:t>
            </w:r>
          </w:p>
          <w:p w:rsidR="00000000" w:rsidRPr="001C2E2B" w:rsidP="001C2E2B">
            <w:pPr>
              <w:pStyle w:val="ListBullet2"/>
            </w:pPr>
            <w:r w:rsidRPr="001C2E2B">
              <w:t xml:space="preserve">range of services provided </w:t>
            </w:r>
          </w:p>
          <w:p w:rsidR="00000000" w:rsidRPr="001C2E2B" w:rsidP="001C2E2B">
            <w:pPr>
              <w:pStyle w:val="ListBullet2"/>
            </w:pPr>
            <w:r w:rsidRPr="001C2E2B">
              <w:t>profile and financial information of the client</w:t>
            </w:r>
          </w:p>
          <w:p w:rsidR="00000000" w:rsidRPr="001C2E2B" w:rsidP="001C2E2B">
            <w:pPr>
              <w:pStyle w:val="ListBullet2"/>
            </w:pPr>
            <w:r w:rsidRPr="001C2E2B">
              <w:t xml:space="preserve">appropriateness of a risk assessment </w:t>
            </w:r>
          </w:p>
          <w:p w:rsidR="00000000" w:rsidRPr="001C2E2B" w:rsidP="001C2E2B">
            <w:pPr>
              <w:pStyle w:val="ListBullet2"/>
            </w:pPr>
            <w:r w:rsidRPr="001C2E2B">
              <w:t>relevant industry codes of practice and conduct</w:t>
            </w:r>
          </w:p>
          <w:p w:rsidR="00000000" w:rsidRPr="001C2E2B" w:rsidP="001C2E2B">
            <w:pPr>
              <w:pStyle w:val="ListBullet"/>
            </w:pPr>
            <w:r w:rsidRPr="001C2E2B">
              <w:t xml:space="preserve">complaints resolution procedures (internal and external) </w:t>
            </w:r>
          </w:p>
          <w:p w:rsidR="00000000" w:rsidRPr="001C2E2B" w:rsidP="001C2E2B">
            <w:pPr>
              <w:pStyle w:val="ListBullet"/>
            </w:pPr>
            <w:r w:rsidRPr="001C2E2B">
              <w:t xml:space="preserve">regulators guidelines including the requirements of ASIC </w:t>
            </w:r>
          </w:p>
          <w:p w:rsidR="00000000" w:rsidRPr="001C2E2B" w:rsidP="001C2E2B">
            <w:pPr>
              <w:pStyle w:val="ListBullet"/>
            </w:pPr>
            <w:r w:rsidRPr="001C2E2B">
              <w:t xml:space="preserve">types of products: </w:t>
            </w:r>
          </w:p>
          <w:p w:rsidR="00000000" w:rsidRPr="001C2E2B" w:rsidP="001C2E2B">
            <w:pPr>
              <w:pStyle w:val="ListBullet2"/>
            </w:pPr>
            <w:r w:rsidRPr="001C2E2B">
              <w:t>concept of Managed Investments</w:t>
            </w:r>
          </w:p>
          <w:p w:rsidR="00000000" w:rsidRPr="001C2E2B" w:rsidP="001C2E2B">
            <w:pPr>
              <w:pStyle w:val="ListBullet2"/>
            </w:pPr>
            <w:r w:rsidRPr="001C2E2B">
              <w:t>specialist knowledge of the range of pr</w:t>
            </w:r>
            <w:r w:rsidRPr="001C2E2B">
              <w:t>oducts offered under Managed Investments schemes, or a specific product offered under a scheme:</w:t>
            </w:r>
          </w:p>
          <w:p w:rsidR="00000000" w:rsidRPr="001C2E2B" w:rsidP="001C2E2B">
            <w:pPr>
              <w:pStyle w:val="ListBullet3"/>
            </w:pPr>
            <w:r w:rsidRPr="001C2E2B">
              <w:t>property trusts, real estate investment strategies, valuation techniques, property management</w:t>
            </w:r>
          </w:p>
          <w:p w:rsidR="00000000" w:rsidRPr="001C2E2B" w:rsidP="001C2E2B">
            <w:pPr>
              <w:pStyle w:val="ListBullet3"/>
            </w:pPr>
            <w:r w:rsidRPr="001C2E2B">
              <w:t>equity trusts, fixed interest trusts</w:t>
            </w:r>
          </w:p>
          <w:p w:rsidR="00000000" w:rsidRPr="001C2E2B" w:rsidP="001C2E2B">
            <w:pPr>
              <w:pStyle w:val="ListBullet3"/>
            </w:pPr>
            <w:r w:rsidRPr="001C2E2B">
              <w:t>serviced strata schemes</w:t>
            </w:r>
          </w:p>
          <w:p w:rsidR="00000000" w:rsidRPr="001C2E2B" w:rsidP="001C2E2B">
            <w:pPr>
              <w:pStyle w:val="ListBullet3"/>
            </w:pPr>
            <w:r w:rsidRPr="001C2E2B">
              <w:t>primary production schemes</w:t>
            </w:r>
          </w:p>
          <w:p w:rsidR="00000000" w:rsidRPr="001C2E2B" w:rsidP="001C2E2B">
            <w:pPr>
              <w:pStyle w:val="ListBullet3"/>
            </w:pPr>
            <w:r w:rsidRPr="001C2E2B">
              <w:t>film schemes</w:t>
            </w:r>
          </w:p>
          <w:p w:rsidR="00000000" w:rsidRPr="001C2E2B" w:rsidP="001C2E2B">
            <w:pPr>
              <w:pStyle w:val="ListBullet3"/>
            </w:pPr>
            <w:r w:rsidRPr="001C2E2B">
              <w:t>time-sharing schemes</w:t>
            </w:r>
          </w:p>
          <w:p w:rsidR="00000000" w:rsidRPr="001C2E2B" w:rsidP="001C2E2B">
            <w:pPr>
              <w:pStyle w:val="ListBullet"/>
            </w:pPr>
            <w:r w:rsidRPr="001C2E2B">
              <w:t xml:space="preserve">theories of investment, portfolio management and management of investment and risk: </w:t>
            </w:r>
          </w:p>
          <w:p w:rsidR="00000000" w:rsidRPr="001C2E2B" w:rsidP="001C2E2B">
            <w:pPr>
              <w:pStyle w:val="ListBullet2"/>
            </w:pPr>
            <w:r w:rsidRPr="001C2E2B">
              <w:t xml:space="preserve">investment concepts </w:t>
            </w:r>
          </w:p>
          <w:p w:rsidR="00000000" w:rsidRPr="001C2E2B" w:rsidP="001C2E2B">
            <w:pPr>
              <w:pStyle w:val="ListBullet2"/>
            </w:pPr>
            <w:r w:rsidRPr="001C2E2B">
              <w:t xml:space="preserve">investment strategies </w:t>
            </w:r>
          </w:p>
          <w:p w:rsidR="00000000" w:rsidRPr="001C2E2B" w:rsidP="001C2E2B">
            <w:pPr>
              <w:pStyle w:val="ListBullet2"/>
            </w:pPr>
            <w:r w:rsidRPr="001C2E2B">
              <w:t>identification of types of risk</w:t>
            </w:r>
          </w:p>
          <w:p w:rsidR="00000000" w:rsidRPr="001C2E2B" w:rsidP="001C2E2B">
            <w:pPr>
              <w:pStyle w:val="ListBullet2"/>
            </w:pPr>
            <w:r w:rsidRPr="001C2E2B">
              <w:t>client risk profile</w:t>
            </w:r>
          </w:p>
          <w:p w:rsidR="00000000" w:rsidRPr="001C2E2B" w:rsidP="001C2E2B">
            <w:pPr>
              <w:pStyle w:val="ListBullet"/>
            </w:pPr>
            <w:r w:rsidRPr="001C2E2B">
              <w:t>the legal environment and disclosure and compliance:</w:t>
            </w:r>
          </w:p>
          <w:p w:rsidR="00000000" w:rsidRPr="001C2E2B" w:rsidP="001C2E2B">
            <w:pPr>
              <w:pStyle w:val="ListBullet2"/>
            </w:pPr>
            <w:r w:rsidRPr="001C2E2B">
              <w:t>the role of the representative or adviser</w:t>
            </w:r>
          </w:p>
          <w:p w:rsidR="00000000" w:rsidRPr="001C2E2B" w:rsidP="001C2E2B">
            <w:pPr>
              <w:pStyle w:val="ListBullet2"/>
            </w:pPr>
            <w:r w:rsidRPr="001C2E2B">
              <w:t>relevant legal principles (e.g. Corporations Act, Financial Services Reform Act (FSRA), Trade Practices Act)</w:t>
            </w:r>
          </w:p>
          <w:p w:rsidR="00000000" w:rsidRPr="001C2E2B" w:rsidP="001C2E2B">
            <w:pPr>
              <w:pStyle w:val="ListBullet2"/>
            </w:pPr>
            <w:r w:rsidRPr="001C2E2B">
              <w:t>the relationship between ethics and regulatory requ</w:t>
            </w:r>
            <w:r w:rsidRPr="001C2E2B">
              <w:t>irements (e.g. good faith, utmost good faith)</w:t>
            </w:r>
          </w:p>
          <w:p w:rsidR="00000000" w:rsidRPr="001C2E2B" w:rsidP="001C2E2B">
            <w:pPr>
              <w:pStyle w:val="ListBullet2"/>
            </w:pPr>
            <w:r w:rsidRPr="001C2E2B">
              <w:t>full disclosure of remuneration and fees and any other conflicts of interest which may influence the adviser's recommendation</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10" w:name="O_77532"/>
      <w:bookmarkEnd w:id="10"/>
      <w:r w:rsidRPr="001C2E2B">
        <w:t>Evidence Guide</w:t>
      </w:r>
    </w:p>
    <w:tbl>
      <w:tblPr>
        <w:tblW w:w="9570" w:type="dxa"/>
        <w:tblLayout w:type="fixed"/>
        <w:tblCellMar>
          <w:left w:w="62" w:type="dxa"/>
          <w:right w:w="62" w:type="dxa"/>
        </w:tblCellMar>
        <w:tblLook w:val="0000"/>
      </w:tblPr>
      <w:tblGrid>
        <w:gridCol w:w="2808"/>
        <w:gridCol w:w="6762"/>
      </w:tblGrid>
      <w:tr w:rsidTr="004E04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EVIDENCE GUIDE</w:t>
            </w:r>
          </w:p>
        </w:tc>
      </w:tr>
      <w:tr w:rsidTr="004E04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The Evidence Guide provides advice on assessment and must be read in conjunction with the performance criteria, required skills and knowledge, range statement and the Assessment Guidelines for the Training Package.</w:t>
            </w:r>
          </w:p>
        </w:tc>
      </w:tr>
      <w:tr w:rsidTr="004E04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p>
        </w:tc>
      </w:tr>
      <w:tr w:rsidTr="004E04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Evidence of the ability to:</w:t>
            </w:r>
          </w:p>
          <w:p w:rsidR="00000000" w:rsidRPr="001C2E2B" w:rsidP="001C2E2B">
            <w:pPr>
              <w:pStyle w:val="ListBullet"/>
            </w:pPr>
            <w:r w:rsidRPr="001C2E2B">
              <w:t>interpret and comply with industry regulations and codes of practice</w:t>
            </w:r>
          </w:p>
          <w:p w:rsidR="00000000" w:rsidRPr="001C2E2B" w:rsidP="001C2E2B">
            <w:pPr>
              <w:pStyle w:val="ListBullet"/>
            </w:pPr>
            <w:r w:rsidRPr="001C2E2B">
              <w:t>analyse clients needs and advise them ethically and accurately on</w:t>
            </w:r>
            <w:r w:rsidRPr="001C2E2B">
              <w:t xml:space="preserve"> managed investment products and services</w:t>
            </w:r>
          </w:p>
          <w:p w:rsidR="00000000" w:rsidP="001C2E2B">
            <w:pPr>
              <w:pStyle w:val="ListBullet"/>
              <w:rPr>
                <w:lang w:val="en-NZ"/>
              </w:rPr>
            </w:pPr>
            <w:r w:rsidRPr="001C2E2B">
              <w:t>assess the impacts of taxation on client's financial requirements for specific products offered.</w:t>
            </w:r>
          </w:p>
        </w:tc>
      </w:tr>
      <w:tr w:rsidTr="004E04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Assessment must ensure:</w:t>
            </w:r>
          </w:p>
          <w:p w:rsidR="00000000" w:rsidRPr="001C2E2B" w:rsidP="001C2E2B">
            <w:pPr>
              <w:pStyle w:val="ListBullet"/>
            </w:pPr>
            <w:r w:rsidRPr="001C2E2B">
              <w:t xml:space="preserve">competency is demonstrated in the context </w:t>
            </w:r>
            <w:r w:rsidRPr="001C2E2B">
              <w:t>of the financial services work environment and conditions specified in the range statement either in a relevant workplace or a closely simulated work environment</w:t>
            </w:r>
          </w:p>
          <w:p w:rsidR="00000000" w:rsidRPr="001C2E2B" w:rsidP="001C2E2B">
            <w:pPr>
              <w:pStyle w:val="ListBullet"/>
            </w:pPr>
            <w:r w:rsidRPr="001C2E2B">
              <w:t>access to and the use of a range of common office equipment, technology, software and consumab</w:t>
            </w:r>
            <w:r w:rsidRPr="001C2E2B">
              <w:t>les</w:t>
            </w:r>
          </w:p>
          <w:p w:rsidR="00000000" w:rsidP="001C2E2B">
            <w:pPr>
              <w:pStyle w:val="ListBullet"/>
              <w:rPr>
                <w:lang w:val="en-NZ"/>
              </w:rPr>
            </w:pPr>
            <w:r w:rsidRPr="001C2E2B">
              <w:t>access to financial services Managed Investments product information.</w:t>
            </w:r>
          </w:p>
        </w:tc>
      </w:tr>
      <w:tr w:rsidTr="004E04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A range of assessment methods should be used to assess practical skills and knowledge. The following examples, in combination, are appropriate for this unit:</w:t>
            </w:r>
          </w:p>
          <w:p w:rsidR="00000000" w:rsidRPr="001C2E2B" w:rsidP="001C2E2B">
            <w:pPr>
              <w:pStyle w:val="ListBullet"/>
            </w:pPr>
            <w:r w:rsidRPr="001C2E2B">
              <w:t>evaluating an integrated activity which combines the elements of competency for the unit or a cluster of related units of competency</w:t>
            </w:r>
          </w:p>
          <w:p w:rsidR="00000000" w:rsidRPr="001C2E2B" w:rsidP="001C2E2B">
            <w:pPr>
              <w:pStyle w:val="ListBullet"/>
            </w:pPr>
            <w:r w:rsidRPr="001C2E2B">
              <w:t>verbal or written questioning on underpinning knowledge and skills</w:t>
            </w:r>
          </w:p>
          <w:p w:rsidR="00000000" w:rsidRPr="001C2E2B" w:rsidP="001C2E2B">
            <w:pPr>
              <w:pStyle w:val="ListBullet"/>
            </w:pPr>
            <w:r w:rsidRPr="001C2E2B">
              <w:t>setting and reviewing business scenarios</w:t>
            </w:r>
          </w:p>
          <w:p w:rsidR="00000000" w:rsidRPr="001C2E2B" w:rsidP="001C2E2B">
            <w:pPr>
              <w:pStyle w:val="ListBullet"/>
            </w:pPr>
            <w:r w:rsidRPr="001C2E2B">
              <w:t>evaluating samp</w:t>
            </w:r>
            <w:r w:rsidRPr="001C2E2B">
              <w:t>les of work</w:t>
            </w:r>
          </w:p>
          <w:p w:rsidR="00000000" w:rsidP="001C2E2B">
            <w:pPr>
              <w:pStyle w:val="ListBullet"/>
              <w:rPr>
                <w:lang w:val="en-NZ"/>
              </w:rPr>
            </w:pPr>
            <w:r w:rsidRPr="001C2E2B">
              <w:t>accessing and validating third party reports.</w:t>
            </w:r>
          </w:p>
        </w:tc>
      </w:tr>
      <w:tr w:rsidTr="004E04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11" w:name="O_77533"/>
      <w:bookmarkEnd w:id="11"/>
      <w:r w:rsidRPr="001C2E2B">
        <w:t>Range Statement</w:t>
      </w:r>
    </w:p>
    <w:tbl>
      <w:tblPr>
        <w:tblW w:w="0" w:type="auto"/>
        <w:tblLayout w:type="fixed"/>
        <w:tblCellMar>
          <w:left w:w="62" w:type="dxa"/>
          <w:right w:w="62" w:type="dxa"/>
        </w:tblCellMar>
        <w:tblLook w:val="0000"/>
      </w:tblPr>
      <w:tblGrid>
        <w:gridCol w:w="2529"/>
        <w:gridCol w:w="5993"/>
      </w:tblGrid>
      <w:tr w:rsidTr="004E04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RANGE STATEMENT</w:t>
            </w:r>
          </w:p>
        </w:tc>
      </w:tr>
      <w:tr w:rsidTr="004E04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The range statement relates to the unit of competency as a whole. It allows for different work environments and situations that may affect performance. Bold italicised wording, if used in the performance criteria, is detailed below. Essential operating con</w:t>
            </w:r>
            <w:r w:rsidRPr="001C2E2B">
              <w:t>ditions that may be present with training and assessment (depending on the work situation, needs of the candidate, accessibility of the item, and local industry and regional contexts) may also be included.</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BoldandItalics"/>
              </w:rPr>
              <w:t>Adviser</w:t>
            </w:r>
            <w:r w:rsidRPr="001C2E2B">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all natural persons who pr</w:t>
            </w:r>
            <w:r w:rsidRPr="001C2E2B">
              <w:t>ovide financial product advice to retail clients</w:t>
            </w:r>
          </w:p>
          <w:p w:rsidR="00000000" w:rsidRPr="001C2E2B" w:rsidP="001C2E2B">
            <w:pPr>
              <w:pStyle w:val="ListBullet"/>
            </w:pPr>
            <w:r w:rsidRPr="001C2E2B">
              <w:t>any representative of a licensee</w:t>
            </w:r>
          </w:p>
          <w:p w:rsidR="00000000" w:rsidP="001C2E2B">
            <w:pPr>
              <w:pStyle w:val="ListBullet"/>
              <w:rPr>
                <w:lang w:val="en-NZ"/>
              </w:rPr>
            </w:pPr>
            <w:r w:rsidRPr="001C2E2B">
              <w:t>employee or owner.</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 xml:space="preserve">Client </w:t>
            </w:r>
            <w:r w:rsidRPr="001C2E2B">
              <w:rPr>
                <w:rStyle w:val="BoldandItalics"/>
              </w:rPr>
              <w:t>needs</w:t>
            </w:r>
            <w:r w:rsidRPr="001C2E2B">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business needs</w:t>
            </w:r>
          </w:p>
          <w:p w:rsidR="00000000" w:rsidRPr="001C2E2B" w:rsidP="001C2E2B">
            <w:pPr>
              <w:pStyle w:val="ListBullet"/>
            </w:pPr>
            <w:r w:rsidRPr="001C2E2B">
              <w:t>debt position</w:t>
            </w:r>
          </w:p>
          <w:p w:rsidR="00000000" w:rsidRPr="001C2E2B" w:rsidP="001C2E2B">
            <w:pPr>
              <w:pStyle w:val="ListBullet"/>
            </w:pPr>
            <w:r w:rsidRPr="001C2E2B">
              <w:t>expectations of access to product</w:t>
            </w:r>
          </w:p>
          <w:p w:rsidR="00000000" w:rsidRPr="001C2E2B" w:rsidP="001C2E2B">
            <w:pPr>
              <w:pStyle w:val="ListBullet"/>
            </w:pPr>
            <w:r w:rsidRPr="001C2E2B">
              <w:t>expectations of income from this product</w:t>
            </w:r>
          </w:p>
          <w:p w:rsidR="00000000" w:rsidRPr="001C2E2B" w:rsidP="001C2E2B">
            <w:pPr>
              <w:pStyle w:val="ListBullet"/>
            </w:pPr>
            <w:r w:rsidRPr="001C2E2B">
              <w:t>expectations of life cycle and length of product</w:t>
            </w:r>
          </w:p>
          <w:p w:rsidR="00000000" w:rsidRPr="001C2E2B" w:rsidP="001C2E2B">
            <w:pPr>
              <w:pStyle w:val="ListBullet"/>
            </w:pPr>
            <w:r w:rsidRPr="001C2E2B">
              <w:t>family income</w:t>
            </w:r>
          </w:p>
          <w:p w:rsidR="00000000" w:rsidP="001C2E2B">
            <w:pPr>
              <w:pStyle w:val="ListBullet"/>
              <w:rPr>
                <w:lang w:val="en-NZ"/>
              </w:rPr>
            </w:pPr>
            <w:r w:rsidRPr="001C2E2B">
              <w:t>security.</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 xml:space="preserve">Client </w:t>
            </w:r>
            <w:r w:rsidRPr="001C2E2B">
              <w:rPr>
                <w:rStyle w:val="BoldandItalics"/>
              </w:rPr>
              <w:t>objectives and goals</w:t>
            </w:r>
            <w:r w:rsidRPr="001C2E2B">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long-term</w:t>
            </w:r>
          </w:p>
          <w:p w:rsidR="00000000" w:rsidRPr="001C2E2B" w:rsidP="001C2E2B">
            <w:pPr>
              <w:pStyle w:val="ListBullet"/>
            </w:pPr>
            <w:r w:rsidRPr="001C2E2B">
              <w:t>medium-term</w:t>
            </w:r>
          </w:p>
          <w:p w:rsidR="00000000" w:rsidP="001C2E2B">
            <w:pPr>
              <w:pStyle w:val="ListBullet"/>
              <w:rPr>
                <w:lang w:val="en-NZ"/>
              </w:rPr>
            </w:pPr>
            <w:r w:rsidRPr="001C2E2B">
              <w:t>short-term.</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BoldandItalics"/>
              </w:rPr>
              <w:t>Product risk profile</w:t>
            </w:r>
            <w:r w:rsidRPr="001C2E2B">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access restrictions on product</w:t>
            </w:r>
          </w:p>
          <w:p w:rsidR="00000000" w:rsidRPr="001C2E2B" w:rsidP="001C2E2B">
            <w:pPr>
              <w:pStyle w:val="ListBullet"/>
            </w:pPr>
            <w:r w:rsidRPr="001C2E2B">
              <w:t>borrowing risk/gearing</w:t>
            </w:r>
          </w:p>
          <w:p w:rsidR="00000000" w:rsidRPr="001C2E2B" w:rsidP="001C2E2B">
            <w:pPr>
              <w:pStyle w:val="ListBullet"/>
            </w:pPr>
            <w:r w:rsidRPr="001C2E2B">
              <w:t>economic</w:t>
            </w:r>
          </w:p>
          <w:p w:rsidR="00000000" w:rsidRPr="001C2E2B" w:rsidP="001C2E2B">
            <w:pPr>
              <w:pStyle w:val="ListBullet"/>
            </w:pPr>
            <w:r w:rsidRPr="001C2E2B">
              <w:t>market and sector risks:</w:t>
            </w:r>
          </w:p>
          <w:p w:rsidR="00000000" w:rsidRPr="001C2E2B" w:rsidP="001C2E2B">
            <w:pPr>
              <w:pStyle w:val="ListBullet2"/>
            </w:pPr>
            <w:r w:rsidRPr="001C2E2B">
              <w:t>economic cycle</w:t>
            </w:r>
          </w:p>
          <w:p w:rsidR="00000000" w:rsidRPr="001C2E2B" w:rsidP="001C2E2B">
            <w:pPr>
              <w:pStyle w:val="ListBullet2"/>
            </w:pPr>
            <w:r w:rsidRPr="001C2E2B">
              <w:t>fixed interest</w:t>
            </w:r>
          </w:p>
          <w:p w:rsidR="00000000" w:rsidRPr="001C2E2B" w:rsidP="001C2E2B">
            <w:pPr>
              <w:pStyle w:val="ListBullet2"/>
            </w:pPr>
            <w:r w:rsidRPr="001C2E2B">
              <w:t>property</w:t>
            </w:r>
          </w:p>
          <w:p w:rsidR="00000000" w:rsidRPr="001C2E2B" w:rsidP="001C2E2B">
            <w:pPr>
              <w:pStyle w:val="ListBullet2"/>
            </w:pPr>
            <w:r w:rsidRPr="001C2E2B">
              <w:t>stock market</w:t>
            </w:r>
          </w:p>
          <w:p w:rsidR="00000000" w:rsidRPr="001C2E2B" w:rsidP="001C2E2B">
            <w:pPr>
              <w:pStyle w:val="ListBullet"/>
            </w:pPr>
            <w:r w:rsidRPr="001C2E2B">
              <w:t>risk factors and return expectations</w:t>
            </w:r>
          </w:p>
          <w:p w:rsidR="00000000" w:rsidRPr="001C2E2B" w:rsidP="001C2E2B">
            <w:pPr>
              <w:pStyle w:val="ListBullet"/>
            </w:pPr>
            <w:r w:rsidRPr="001C2E2B">
              <w:t>specific product risk</w:t>
            </w:r>
          </w:p>
          <w:p w:rsidR="00000000" w:rsidP="001C2E2B">
            <w:pPr>
              <w:pStyle w:val="ListBullet"/>
              <w:rPr>
                <w:lang w:val="en-NZ"/>
              </w:rPr>
            </w:pPr>
            <w:r w:rsidRPr="001C2E2B">
              <w:t>volatility of income and capital.</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 xml:space="preserve">Client </w:t>
            </w:r>
            <w:r w:rsidRPr="001C2E2B">
              <w:rPr>
                <w:rStyle w:val="BoldandItalics"/>
              </w:rPr>
              <w:t>expectations</w:t>
            </w:r>
            <w:r w:rsidRPr="001C2E2B">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personal involvement:</w:t>
            </w:r>
          </w:p>
          <w:p w:rsidR="00000000" w:rsidRPr="001C2E2B" w:rsidP="001C2E2B">
            <w:pPr>
              <w:pStyle w:val="ListBullet2"/>
            </w:pPr>
            <w:r w:rsidRPr="001C2E2B">
              <w:t>active</w:t>
            </w:r>
          </w:p>
          <w:p w:rsidR="00000000" w:rsidRPr="001C2E2B" w:rsidP="001C2E2B">
            <w:pPr>
              <w:pStyle w:val="ListBullet2"/>
            </w:pPr>
            <w:r w:rsidRPr="001C2E2B">
              <w:t>passive</w:t>
            </w:r>
          </w:p>
          <w:p w:rsidR="00000000" w:rsidRPr="001C2E2B" w:rsidP="001C2E2B">
            <w:pPr>
              <w:pStyle w:val="ListBullet"/>
            </w:pPr>
            <w:r w:rsidRPr="001C2E2B">
              <w:t>risk profile:</w:t>
            </w:r>
          </w:p>
          <w:p w:rsidR="00000000" w:rsidRPr="001C2E2B" w:rsidP="001C2E2B">
            <w:pPr>
              <w:pStyle w:val="ListBullet2"/>
            </w:pPr>
            <w:r w:rsidRPr="001C2E2B">
              <w:t>conservative</w:t>
            </w:r>
          </w:p>
          <w:p w:rsidR="00000000" w:rsidRPr="001C2E2B" w:rsidP="001C2E2B">
            <w:pPr>
              <w:pStyle w:val="ListBullet2"/>
            </w:pPr>
            <w:r w:rsidRPr="001C2E2B">
              <w:t>speculator</w:t>
            </w:r>
          </w:p>
          <w:p w:rsidR="00000000" w:rsidRPr="001C2E2B" w:rsidP="001C2E2B">
            <w:pPr>
              <w:pStyle w:val="ListBullet2"/>
            </w:pPr>
            <w:r w:rsidRPr="001C2E2B">
              <w:t>moderate</w:t>
            </w:r>
          </w:p>
          <w:p w:rsidR="00000000" w:rsidRPr="001C2E2B" w:rsidP="001C2E2B">
            <w:pPr>
              <w:pStyle w:val="ListBullet"/>
            </w:pPr>
            <w:r w:rsidRPr="001C2E2B">
              <w:t>their beliefs about performance</w:t>
            </w:r>
          </w:p>
          <w:p w:rsidR="00000000" w:rsidRPr="001C2E2B" w:rsidP="001C2E2B">
            <w:pPr>
              <w:pStyle w:val="ListBullet"/>
            </w:pPr>
            <w:r w:rsidRPr="001C2E2B">
              <w:t>expectations of fluctuations in income or capital</w:t>
            </w:r>
          </w:p>
          <w:p w:rsidR="00000000" w:rsidRPr="001C2E2B" w:rsidP="001C2E2B">
            <w:pPr>
              <w:pStyle w:val="ListBullet"/>
            </w:pPr>
            <w:r w:rsidRPr="001C2E2B">
              <w:t>being a long-term or short-term investor</w:t>
            </w:r>
          </w:p>
          <w:p w:rsidR="00000000" w:rsidP="001C2E2B">
            <w:pPr>
              <w:pStyle w:val="ListBullet"/>
              <w:rPr>
                <w:lang w:val="en-NZ"/>
              </w:rPr>
            </w:pPr>
            <w:r w:rsidRPr="001C2E2B">
              <w:t>need for security.</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t xml:space="preserve">The type of </w:t>
            </w:r>
            <w:r w:rsidRPr="001C2E2B">
              <w:rPr>
                <w:rStyle w:val="BoldandItalics"/>
              </w:rPr>
              <w:t>information</w:t>
            </w:r>
            <w:r w:rsidRPr="001C2E2B">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details of liabilities and potential liabilities of the client</w:t>
            </w:r>
          </w:p>
          <w:p w:rsidR="00000000" w:rsidRPr="001C2E2B" w:rsidP="001C2E2B">
            <w:pPr>
              <w:pStyle w:val="ListBullet"/>
            </w:pPr>
            <w:r w:rsidRPr="001C2E2B">
              <w:t>details of the client's needs and objectives for income, security, liquidity, and the time period the client is planning for</w:t>
            </w:r>
          </w:p>
          <w:p w:rsidR="00000000" w:rsidRPr="001C2E2B" w:rsidP="001C2E2B">
            <w:pPr>
              <w:pStyle w:val="ListBullet"/>
            </w:pPr>
            <w:r w:rsidRPr="001C2E2B">
              <w:t xml:space="preserve">individual investment </w:t>
            </w:r>
            <w:r w:rsidRPr="001C2E2B">
              <w:t>preferences and aversion or tolerance to risk</w:t>
            </w:r>
          </w:p>
          <w:p w:rsidR="00000000" w:rsidRPr="001C2E2B" w:rsidP="001C2E2B">
            <w:pPr>
              <w:pStyle w:val="ListBullet"/>
            </w:pPr>
            <w:r w:rsidRPr="001C2E2B">
              <w:t>other client details such as:</w:t>
            </w:r>
          </w:p>
          <w:p w:rsidR="00000000" w:rsidRPr="001C2E2B" w:rsidP="001C2E2B">
            <w:pPr>
              <w:pStyle w:val="ListBullet2"/>
            </w:pPr>
            <w:r w:rsidRPr="001C2E2B">
              <w:t>employment security</w:t>
            </w:r>
          </w:p>
          <w:p w:rsidR="00000000" w:rsidRPr="001C2E2B" w:rsidP="001C2E2B">
            <w:pPr>
              <w:pStyle w:val="ListBullet2"/>
            </w:pPr>
            <w:r w:rsidRPr="001C2E2B">
              <w:t>likely events and their impact on the client</w:t>
            </w:r>
          </w:p>
          <w:p w:rsidR="00000000" w:rsidRPr="001C2E2B" w:rsidP="001C2E2B">
            <w:pPr>
              <w:pStyle w:val="ListBullet2"/>
            </w:pPr>
            <w:r w:rsidRPr="001C2E2B">
              <w:t>age</w:t>
            </w:r>
          </w:p>
          <w:p w:rsidR="00000000" w:rsidP="001C2E2B">
            <w:pPr>
              <w:pStyle w:val="ListBullet2"/>
              <w:rPr>
                <w:lang w:val="en-NZ"/>
              </w:rPr>
            </w:pPr>
            <w:r w:rsidRPr="001C2E2B">
              <w:t>other products they have.</w:t>
            </w:r>
          </w:p>
        </w:tc>
      </w:tr>
      <w:tr w:rsidTr="004E04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BoldandItalics"/>
              </w:rPr>
              <w:t>Documentation</w:t>
            </w:r>
            <w:r w:rsidRPr="001C2E2B">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ListBullet"/>
            </w:pPr>
            <w:r w:rsidRPr="001C2E2B">
              <w:t>disclaimers</w:t>
            </w:r>
          </w:p>
          <w:p w:rsidR="00000000" w:rsidRPr="001C2E2B" w:rsidP="001C2E2B">
            <w:pPr>
              <w:pStyle w:val="ListBullet"/>
            </w:pPr>
            <w:r w:rsidRPr="001C2E2B">
              <w:t>disclosures</w:t>
            </w:r>
          </w:p>
          <w:p w:rsidR="00000000" w:rsidRPr="001C2E2B" w:rsidP="001C2E2B">
            <w:pPr>
              <w:pStyle w:val="ListBullet"/>
            </w:pPr>
            <w:r w:rsidRPr="001C2E2B">
              <w:t>product application forms</w:t>
            </w:r>
          </w:p>
          <w:p w:rsidR="00000000" w:rsidRPr="001C2E2B" w:rsidP="001C2E2B">
            <w:pPr>
              <w:pStyle w:val="ListBullet"/>
            </w:pPr>
            <w:r w:rsidRPr="001C2E2B">
              <w:t>written advice.</w:t>
            </w:r>
          </w:p>
        </w:tc>
      </w:tr>
    </w:tbl>
    <w:p w:rsidR="004E04E5" w:rsidP="001C2E2B">
      <w:pPr>
        <w:pStyle w:val="BodyText"/>
      </w:pPr>
    </w:p>
    <w:p w:rsidR="004E04E5" w:rsidP="001C2E2B">
      <w:pPr>
        <w:pStyle w:val="BodyText"/>
      </w:pPr>
    </w:p>
    <w:p w:rsidR="00000000" w:rsidRPr="001C2E2B" w:rsidP="001C2E2B">
      <w:pPr>
        <w:pStyle w:val="Heading1"/>
      </w:pPr>
      <w:bookmarkStart w:id="12" w:name="O_77534"/>
      <w:bookmarkEnd w:id="12"/>
      <w:r w:rsidRPr="001C2E2B">
        <w:t>Unit Sector(s)</w:t>
      </w:r>
    </w:p>
    <w:tbl>
      <w:tblPr>
        <w:tblW w:w="0" w:type="auto"/>
        <w:tblLayout w:type="fixed"/>
        <w:tblCellMar>
          <w:left w:w="62" w:type="dxa"/>
          <w:right w:w="62" w:type="dxa"/>
        </w:tblCellMar>
        <w:tblLook w:val="0000"/>
      </w:tblPr>
      <w:tblGrid>
        <w:gridCol w:w="2556"/>
        <w:gridCol w:w="5966"/>
      </w:tblGrid>
      <w:tr w:rsidTr="004E04E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Unit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r w:rsidRPr="001C2E2B">
              <w:t>ASIC units</w:t>
            </w: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13" w:name="O_156156"/>
      <w:bookmarkEnd w:id="13"/>
      <w:r w:rsidRPr="001C2E2B">
        <w:t>Competency field</w:t>
      </w:r>
    </w:p>
    <w:tbl>
      <w:tblPr>
        <w:tblW w:w="0" w:type="auto"/>
        <w:tblLayout w:type="fixed"/>
        <w:tblCellMar>
          <w:left w:w="62" w:type="dxa"/>
          <w:right w:w="62" w:type="dxa"/>
        </w:tblCellMar>
        <w:tblLook w:val="0000"/>
      </w:tblPr>
      <w:tblGrid>
        <w:gridCol w:w="2701"/>
        <w:gridCol w:w="5821"/>
      </w:tblGrid>
      <w:tr w:rsidTr="004E04E5">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Competency field</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p>
        </w:tc>
      </w:tr>
    </w:tbl>
    <w:p w:rsidR="00000000" w:rsidRPr="001C2E2B" w:rsidP="001C2E2B">
      <w:pPr>
        <w:pStyle w:val="BodyText"/>
      </w:pPr>
    </w:p>
    <w:p w:rsidR="00000000" w:rsidRPr="001C2E2B" w:rsidP="001C2E2B">
      <w:pPr>
        <w:pStyle w:val="AllowPageBreak"/>
      </w:pPr>
    </w:p>
    <w:p w:rsidR="00000000" w:rsidRPr="001C2E2B" w:rsidP="001C2E2B">
      <w:pPr>
        <w:pStyle w:val="Heading1"/>
      </w:pPr>
      <w:bookmarkStart w:id="14" w:name="O_156155"/>
      <w:bookmarkEnd w:id="14"/>
      <w:r w:rsidRPr="001C2E2B">
        <w:t>Co-requisite units</w:t>
      </w:r>
    </w:p>
    <w:tbl>
      <w:tblPr>
        <w:tblW w:w="0" w:type="auto"/>
        <w:tblLayout w:type="fixed"/>
        <w:tblCellMar>
          <w:left w:w="62" w:type="dxa"/>
          <w:right w:w="62" w:type="dxa"/>
        </w:tblCellMar>
        <w:tblLook w:val="0000"/>
      </w:tblPr>
      <w:tblGrid>
        <w:gridCol w:w="2573"/>
        <w:gridCol w:w="1631"/>
        <w:gridCol w:w="4318"/>
      </w:tblGrid>
      <w:tr w:rsidTr="004E04E5">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r w:rsidRPr="001C2E2B">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E2B">
            <w:pPr>
              <w:pStyle w:val="BodyText"/>
              <w:rPr>
                <w:lang w:val="en-NZ"/>
              </w:rPr>
            </w:pPr>
          </w:p>
        </w:tc>
      </w:tr>
      <w:tr w:rsidTr="004E04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E2B" w:rsidP="001C2E2B">
            <w:pPr>
              <w:pStyle w:val="BodyText"/>
            </w:pPr>
          </w:p>
        </w:tc>
      </w:tr>
    </w:tbl>
    <w:p w:rsidR="00000000" w:rsidRPr="001C2E2B" w:rsidP="001C2E2B">
      <w:pPr>
        <w:pStyle w:val="BodyText"/>
      </w:pPr>
    </w:p>
    <w:p w:rsidR="00000000" w:rsidRPr="001C2E2B" w:rsidP="001C2E2B"/>
    <w:sectPr w:rsidSect="001C2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4E5" w:rsidP="004E0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5" w:rsidP="001C2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04E5" w:rsidP="001C2E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04E5" w:rsidP="001C2E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4E5" w:rsidP="004E04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5" w:rsidP="001C2E2B">
    <w:pPr>
      <w:pStyle w:val="Header"/>
      <w:framePr w:wrap="around"/>
    </w:pPr>
    <w:r>
      <w:fldChar w:fldCharType="begin"/>
    </w:r>
    <w:r>
      <w:instrText xml:space="preserve"> TITLE   \* MERGEFORMAT </w:instrText>
    </w:r>
    <w:r>
      <w:fldChar w:fldCharType="separate"/>
    </w:r>
    <w:r>
      <w:t>FNSASICT503A Provide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04E5" w:rsidP="001C2E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A2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C1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C6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E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E2B"/>
    <w:pPr>
      <w:spacing w:before="360" w:after="60"/>
      <w:outlineLvl w:val="0"/>
    </w:pPr>
    <w:rPr>
      <w:sz w:val="32"/>
    </w:rPr>
  </w:style>
  <w:style w:type="paragraph" w:styleId="Heading2">
    <w:name w:val="heading 2"/>
    <w:basedOn w:val="HeadingBase"/>
    <w:next w:val="BodyText"/>
    <w:link w:val="Heading2Char"/>
    <w:qFormat/>
    <w:rsid w:val="001C2E2B"/>
    <w:pPr>
      <w:keepLines/>
      <w:spacing w:before="240" w:after="120"/>
      <w:outlineLvl w:val="1"/>
    </w:pPr>
    <w:rPr>
      <w:sz w:val="28"/>
      <w:szCs w:val="40"/>
    </w:rPr>
  </w:style>
  <w:style w:type="paragraph" w:styleId="Heading3">
    <w:name w:val="heading 3"/>
    <w:basedOn w:val="HeadingBase"/>
    <w:next w:val="BodyText"/>
    <w:link w:val="Heading3Char"/>
    <w:qFormat/>
    <w:rsid w:val="001C2E2B"/>
    <w:pPr>
      <w:spacing w:before="180" w:after="120"/>
      <w:outlineLvl w:val="2"/>
    </w:pPr>
    <w:rPr>
      <w:spacing w:val="-10"/>
      <w:kern w:val="32"/>
    </w:rPr>
  </w:style>
  <w:style w:type="paragraph" w:styleId="Heading4">
    <w:name w:val="heading 4"/>
    <w:basedOn w:val="HeadingBase"/>
    <w:next w:val="BodyText"/>
    <w:link w:val="Heading4Char"/>
    <w:qFormat/>
    <w:rsid w:val="001C2E2B"/>
    <w:pPr>
      <w:spacing w:before="160" w:after="120"/>
      <w:outlineLvl w:val="3"/>
    </w:pPr>
    <w:rPr>
      <w:sz w:val="22"/>
    </w:rPr>
  </w:style>
  <w:style w:type="paragraph" w:styleId="Heading5">
    <w:name w:val="heading 5"/>
    <w:basedOn w:val="HeadingBase"/>
    <w:next w:val="Normal"/>
    <w:link w:val="Heading5Char"/>
    <w:qFormat/>
    <w:rsid w:val="001C2E2B"/>
    <w:pPr>
      <w:spacing w:before="80"/>
      <w:outlineLvl w:val="4"/>
    </w:pPr>
    <w:rPr>
      <w:color w:val="918585"/>
      <w:sz w:val="20"/>
    </w:rPr>
  </w:style>
  <w:style w:type="paragraph" w:styleId="Heading6">
    <w:name w:val="heading 6"/>
    <w:basedOn w:val="HeadingBase"/>
    <w:next w:val="Normal"/>
    <w:link w:val="Heading6Char"/>
    <w:qFormat/>
    <w:rsid w:val="001C2E2B"/>
    <w:pPr>
      <w:spacing w:before="60"/>
      <w:outlineLvl w:val="5"/>
    </w:pPr>
    <w:rPr>
      <w:color w:val="918585"/>
      <w:sz w:val="20"/>
    </w:rPr>
  </w:style>
  <w:style w:type="paragraph" w:styleId="Heading7">
    <w:name w:val="heading 7"/>
    <w:basedOn w:val="Normal"/>
    <w:next w:val="Normal"/>
    <w:link w:val="Heading7Char"/>
    <w:qFormat/>
    <w:rsid w:val="001C2E2B"/>
    <w:pPr>
      <w:ind w:left="720"/>
      <w:outlineLvl w:val="6"/>
    </w:pPr>
    <w:rPr>
      <w:i/>
    </w:rPr>
  </w:style>
  <w:style w:type="paragraph" w:styleId="Heading8">
    <w:name w:val="heading 8"/>
    <w:basedOn w:val="Normal"/>
    <w:next w:val="Normal"/>
    <w:link w:val="Heading8Char"/>
    <w:qFormat/>
    <w:rsid w:val="001C2E2B"/>
    <w:pPr>
      <w:ind w:left="720"/>
      <w:outlineLvl w:val="7"/>
    </w:pPr>
    <w:rPr>
      <w:i/>
    </w:rPr>
  </w:style>
  <w:style w:type="paragraph" w:styleId="Heading9">
    <w:name w:val="heading 9"/>
    <w:basedOn w:val="Normal"/>
    <w:next w:val="Normal"/>
    <w:link w:val="Heading9Char"/>
    <w:qFormat/>
    <w:rsid w:val="001C2E2B"/>
    <w:pPr>
      <w:ind w:left="720"/>
      <w:outlineLvl w:val="8"/>
    </w:pPr>
    <w:rPr>
      <w:i/>
    </w:rPr>
  </w:style>
  <w:style w:type="character" w:default="1" w:styleId="DefaultParagraphFont">
    <w:name w:val="Default Paragraph Font"/>
    <w:uiPriority w:val="1"/>
    <w:unhideWhenUsed/>
    <w:rsid w:val="001C2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E2B"/>
  </w:style>
  <w:style w:type="character" w:customStyle="1" w:styleId="Heading1Char">
    <w:name w:val="Heading 1 Char"/>
    <w:basedOn w:val="DefaultParagraphFont"/>
    <w:link w:val="Heading1"/>
    <w:rsid w:val="001C2E2B"/>
    <w:rPr>
      <w:rFonts w:ascii="Times New Roman" w:eastAsia="Times New Roman" w:hAnsi="Times New Roman" w:cs="Times New Roman"/>
      <w:b/>
      <w:sz w:val="32"/>
      <w:szCs w:val="20"/>
      <w:lang w:eastAsia="en-US"/>
    </w:rPr>
  </w:style>
  <w:style w:type="paragraph" w:styleId="BodyText">
    <w:name w:val="Body Text"/>
    <w:basedOn w:val="Normal"/>
    <w:link w:val="BodyTextChar"/>
    <w:rsid w:val="001C2E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E2B"/>
    <w:rPr>
      <w:rFonts w:ascii="Times New Roman" w:eastAsia="Times New Roman" w:hAnsi="Times New Roman" w:cs="Times New Roman"/>
      <w:sz w:val="24"/>
      <w:lang w:val="en-US" w:eastAsia="en-US"/>
    </w:rPr>
  </w:style>
  <w:style w:type="paragraph" w:styleId="Footer">
    <w:name w:val="footer"/>
    <w:basedOn w:val="Normal"/>
    <w:link w:val="FooterChar"/>
    <w:rsid w:val="001C2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E2B"/>
    <w:rPr>
      <w:rFonts w:ascii="Times New Roman" w:eastAsia="Times New Roman" w:hAnsi="Times New Roman" w:cs="Times New Roman"/>
      <w:sz w:val="16"/>
      <w:lang w:val="en-US" w:eastAsia="en-US"/>
    </w:rPr>
  </w:style>
  <w:style w:type="paragraph" w:styleId="List">
    <w:name w:val="List"/>
    <w:basedOn w:val="BodyText"/>
    <w:next w:val="BodyText"/>
    <w:rsid w:val="001C2E2B"/>
    <w:pPr>
      <w:tabs>
        <w:tab w:val="left" w:pos="340"/>
      </w:tabs>
      <w:spacing w:before="60" w:after="60"/>
      <w:ind w:left="340" w:hanging="340"/>
    </w:pPr>
  </w:style>
  <w:style w:type="paragraph" w:styleId="ListBullet">
    <w:name w:val="List Bullet"/>
    <w:basedOn w:val="List"/>
    <w:rsid w:val="001C2E2B"/>
    <w:pPr>
      <w:numPr>
        <w:numId w:val="14"/>
      </w:numPr>
      <w:tabs>
        <w:tab w:val="clear" w:pos="340"/>
      </w:tabs>
      <w:spacing w:before="40" w:after="40"/>
    </w:pPr>
  </w:style>
  <w:style w:type="character" w:customStyle="1" w:styleId="SpecialBold">
    <w:name w:val="Special Bold"/>
    <w:basedOn w:val="DefaultParagraphFont"/>
    <w:rsid w:val="001C2E2B"/>
    <w:rPr>
      <w:b/>
      <w:spacing w:val="0"/>
    </w:rPr>
  </w:style>
  <w:style w:type="paragraph" w:styleId="ListBullet2">
    <w:name w:val="List Bullet 2"/>
    <w:basedOn w:val="List2"/>
    <w:rsid w:val="001C2E2B"/>
    <w:pPr>
      <w:numPr>
        <w:numId w:val="15"/>
      </w:numPr>
      <w:tabs>
        <w:tab w:val="clear" w:pos="680"/>
      </w:tabs>
    </w:pPr>
  </w:style>
  <w:style w:type="paragraph" w:styleId="Header">
    <w:name w:val="header"/>
    <w:basedOn w:val="Normal"/>
    <w:link w:val="HeaderChar"/>
    <w:rsid w:val="001C2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E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E2B"/>
    <w:pPr>
      <w:spacing w:before="240" w:after="120"/>
      <w:outlineLvl w:val="0"/>
    </w:pPr>
    <w:rPr>
      <w:rFonts w:ascii="Times New Roman" w:hAnsi="Times New Roman"/>
      <w:b/>
      <w:sz w:val="28"/>
    </w:rPr>
  </w:style>
  <w:style w:type="paragraph" w:customStyle="1" w:styleId="AllowPageBreak">
    <w:name w:val="AllowPageBreak"/>
    <w:rsid w:val="001C2E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E2B"/>
    <w:pPr>
      <w:tabs>
        <w:tab w:val="left" w:pos="680"/>
      </w:tabs>
      <w:spacing w:before="60" w:after="60"/>
      <w:ind w:left="680" w:hanging="340"/>
    </w:pPr>
  </w:style>
  <w:style w:type="paragraph" w:styleId="ListBullet3">
    <w:name w:val="List Bullet 3"/>
    <w:basedOn w:val="List3"/>
    <w:rsid w:val="001C2E2B"/>
    <w:pPr>
      <w:numPr>
        <w:numId w:val="3"/>
      </w:numPr>
      <w:tabs>
        <w:tab w:val="clear" w:pos="1021"/>
      </w:tabs>
      <w:ind w:left="1037" w:hanging="357"/>
    </w:pPr>
  </w:style>
  <w:style w:type="character" w:customStyle="1" w:styleId="BoldandItalics">
    <w:name w:val="Bold and Italics"/>
    <w:qFormat/>
    <w:rsid w:val="001C2E2B"/>
    <w:rPr>
      <w:b/>
      <w:i/>
      <w:u w:val="none"/>
    </w:rPr>
  </w:style>
  <w:style w:type="character" w:customStyle="1" w:styleId="Heading2Char">
    <w:name w:val="Heading 2 Char"/>
    <w:basedOn w:val="DefaultParagraphFont"/>
    <w:link w:val="Heading2"/>
    <w:rsid w:val="001C2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E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E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E2B"/>
    <w:rPr>
      <w:rFonts w:ascii="Courier New" w:eastAsia="Times New Roman" w:hAnsi="Courier New" w:cs="Times New Roman"/>
      <w:i/>
      <w:szCs w:val="20"/>
      <w:lang w:val="en-US" w:eastAsia="en-US"/>
    </w:rPr>
  </w:style>
  <w:style w:type="paragraph" w:customStyle="1" w:styleId="HeadingBase">
    <w:name w:val="Heading Base"/>
    <w:rsid w:val="001C2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E2B"/>
    <w:pPr>
      <w:tabs>
        <w:tab w:val="right" w:leader="dot" w:pos="9072"/>
      </w:tabs>
      <w:ind w:left="567"/>
    </w:pPr>
    <w:rPr>
      <w:szCs w:val="22"/>
    </w:rPr>
  </w:style>
  <w:style w:type="paragraph" w:customStyle="1" w:styleId="TOCBase">
    <w:name w:val="TOC Base"/>
    <w:rsid w:val="001C2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E2B"/>
    <w:pPr>
      <w:tabs>
        <w:tab w:val="right" w:leader="dot" w:pos="9072"/>
      </w:tabs>
      <w:spacing w:before="40" w:after="40"/>
      <w:ind w:left="284"/>
    </w:pPr>
    <w:rPr>
      <w:rFonts w:ascii="Times New Roman" w:hAnsi="Times New Roman"/>
    </w:rPr>
  </w:style>
  <w:style w:type="paragraph" w:styleId="TOC1">
    <w:name w:val="toc 1"/>
    <w:basedOn w:val="TOCBase"/>
    <w:next w:val="Normal"/>
    <w:rsid w:val="001C2E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E2B"/>
    <w:pPr>
      <w:spacing w:before="5040"/>
      <w:jc w:val="center"/>
    </w:pPr>
    <w:rPr>
      <w:sz w:val="48"/>
      <w:szCs w:val="72"/>
      <w:lang w:val="en-US"/>
    </w:rPr>
  </w:style>
  <w:style w:type="character" w:customStyle="1" w:styleId="TitleChar">
    <w:name w:val="Title Char"/>
    <w:basedOn w:val="DefaultParagraphFont"/>
    <w:link w:val="Title"/>
    <w:rsid w:val="001C2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E2B"/>
    <w:pPr>
      <w:tabs>
        <w:tab w:val="left" w:pos="3600"/>
        <w:tab w:val="left" w:pos="3958"/>
      </w:tabs>
    </w:pPr>
  </w:style>
  <w:style w:type="paragraph" w:customStyle="1" w:styleId="Note">
    <w:name w:val="Note"/>
    <w:basedOn w:val="BodyText"/>
    <w:rsid w:val="001C2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E2B"/>
    <w:pPr>
      <w:framePr w:wrap="auto" w:hAnchor="text" w:y="6049"/>
    </w:pPr>
    <w:rPr>
      <w:color w:val="000000"/>
      <w:sz w:val="40"/>
    </w:rPr>
  </w:style>
  <w:style w:type="paragraph" w:customStyle="1" w:styleId="TOCTitle">
    <w:name w:val="TOCTitle"/>
    <w:basedOn w:val="Heading1"/>
    <w:rsid w:val="001C2E2B"/>
    <w:pPr>
      <w:spacing w:after="240"/>
      <w:jc w:val="center"/>
      <w:outlineLvl w:val="9"/>
    </w:pPr>
    <w:rPr>
      <w:caps/>
    </w:rPr>
  </w:style>
  <w:style w:type="paragraph" w:customStyle="1" w:styleId="Version">
    <w:name w:val="Version"/>
    <w:rsid w:val="001C2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E2B"/>
    <w:pPr>
      <w:keepNext w:val="0"/>
      <w:tabs>
        <w:tab w:val="right" w:pos="4176"/>
      </w:tabs>
      <w:ind w:left="198" w:hanging="198"/>
    </w:pPr>
    <w:rPr>
      <w:rFonts w:ascii="Garamond" w:hAnsi="Garamond"/>
    </w:rPr>
  </w:style>
  <w:style w:type="paragraph" w:styleId="IndexHeading">
    <w:name w:val="index heading"/>
    <w:basedOn w:val="Normal"/>
    <w:next w:val="Index1"/>
    <w:semiHidden/>
    <w:rsid w:val="001C2E2B"/>
    <w:pPr>
      <w:spacing w:before="120" w:after="120"/>
    </w:pPr>
    <w:rPr>
      <w:rFonts w:ascii="Arial" w:hAnsi="Arial"/>
      <w:b/>
      <w:color w:val="918585"/>
      <w:sz w:val="24"/>
    </w:rPr>
  </w:style>
  <w:style w:type="paragraph" w:customStyle="1" w:styleId="Chapter">
    <w:name w:val="Chapter"/>
    <w:basedOn w:val="Normal"/>
    <w:rsid w:val="001C2E2B"/>
    <w:pPr>
      <w:spacing w:before="240"/>
    </w:pPr>
    <w:rPr>
      <w:rFonts w:ascii="Times New Roman" w:hAnsi="Times New Roman"/>
      <w:smallCaps/>
      <w:spacing w:val="80"/>
      <w:sz w:val="28"/>
    </w:rPr>
  </w:style>
  <w:style w:type="paragraph" w:customStyle="1" w:styleId="InChapter">
    <w:name w:val="InChapter"/>
    <w:basedOn w:val="Heading3"/>
    <w:rsid w:val="001C2E2B"/>
    <w:pPr>
      <w:spacing w:after="240"/>
      <w:outlineLvl w:val="9"/>
    </w:pPr>
    <w:rPr>
      <w:noProof/>
    </w:rPr>
  </w:style>
  <w:style w:type="paragraph" w:styleId="Index2">
    <w:name w:val="index 2"/>
    <w:basedOn w:val="Normal"/>
    <w:next w:val="Normal"/>
    <w:semiHidden/>
    <w:rsid w:val="001C2E2B"/>
    <w:pPr>
      <w:tabs>
        <w:tab w:val="right" w:pos="4176"/>
      </w:tabs>
      <w:ind w:left="568" w:hanging="284"/>
    </w:pPr>
    <w:rPr>
      <w:rFonts w:ascii="Garamond" w:hAnsi="Garamond"/>
    </w:rPr>
  </w:style>
  <w:style w:type="paragraph" w:customStyle="1" w:styleId="Byline">
    <w:name w:val="Byline"/>
    <w:rsid w:val="001C2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E2B"/>
    <w:pPr>
      <w:tabs>
        <w:tab w:val="clear" w:pos="3600"/>
        <w:tab w:val="clear" w:pos="3958"/>
      </w:tabs>
      <w:jc w:val="right"/>
    </w:pPr>
  </w:style>
  <w:style w:type="character" w:styleId="Emphasis">
    <w:name w:val="Emphasis"/>
    <w:basedOn w:val="DefaultParagraphFont"/>
    <w:qFormat/>
    <w:rsid w:val="001C2E2B"/>
    <w:rPr>
      <w:i/>
    </w:rPr>
  </w:style>
  <w:style w:type="paragraph" w:styleId="Caption">
    <w:name w:val="caption"/>
    <w:basedOn w:val="BodyText"/>
    <w:next w:val="Normal"/>
    <w:qFormat/>
    <w:rsid w:val="001C2E2B"/>
    <w:pPr>
      <w:framePr w:w="2268" w:hSpace="181" w:vSpace="181" w:wrap="around" w:vAnchor="text" w:hAnchor="page" w:x="1135" w:y="285" w:anchorLock="1"/>
    </w:pPr>
    <w:rPr>
      <w:i/>
    </w:rPr>
  </w:style>
  <w:style w:type="paragraph" w:customStyle="1" w:styleId="MiniTOCTitle">
    <w:name w:val="MiniTOCTitle"/>
    <w:basedOn w:val="Heading4"/>
    <w:rsid w:val="001C2E2B"/>
    <w:pPr>
      <w:spacing w:before="240"/>
      <w:outlineLvl w:val="9"/>
    </w:pPr>
    <w:rPr>
      <w:noProof/>
      <w:sz w:val="24"/>
    </w:rPr>
  </w:style>
  <w:style w:type="paragraph" w:customStyle="1" w:styleId="MiniTOCItem">
    <w:name w:val="MiniTOCItem"/>
    <w:basedOn w:val="ListBullet"/>
    <w:rsid w:val="001C2E2B"/>
    <w:pPr>
      <w:numPr>
        <w:numId w:val="0"/>
      </w:numPr>
      <w:tabs>
        <w:tab w:val="right" w:leader="dot" w:pos="6521"/>
      </w:tabs>
      <w:spacing w:before="0" w:after="0"/>
    </w:pPr>
  </w:style>
  <w:style w:type="paragraph" w:customStyle="1" w:styleId="TOFTitle">
    <w:name w:val="TOFTitle"/>
    <w:basedOn w:val="TOCTitle"/>
    <w:rsid w:val="001C2E2B"/>
  </w:style>
  <w:style w:type="paragraph" w:styleId="TableofFigures">
    <w:name w:val="table of figures"/>
    <w:basedOn w:val="Normal"/>
    <w:next w:val="Normal"/>
    <w:semiHidden/>
    <w:rsid w:val="001C2E2B"/>
    <w:pPr>
      <w:tabs>
        <w:tab w:val="right" w:leader="dot" w:pos="9072"/>
      </w:tabs>
      <w:ind w:left="970" w:hanging="403"/>
    </w:pPr>
    <w:rPr>
      <w:rFonts w:ascii="Times New Roman" w:hAnsi="Times New Roman"/>
      <w:b/>
    </w:rPr>
  </w:style>
  <w:style w:type="paragraph" w:styleId="ListNumber">
    <w:name w:val="List Number"/>
    <w:basedOn w:val="List"/>
    <w:rsid w:val="001C2E2B"/>
    <w:pPr>
      <w:numPr>
        <w:numId w:val="12"/>
      </w:numPr>
    </w:pPr>
  </w:style>
  <w:style w:type="character" w:customStyle="1" w:styleId="WingdingSymbols">
    <w:name w:val="Wingding Symbols"/>
    <w:rsid w:val="001C2E2B"/>
    <w:rPr>
      <w:rFonts w:ascii="Wingdings" w:hAnsi="Wingdings"/>
    </w:rPr>
  </w:style>
  <w:style w:type="paragraph" w:customStyle="1" w:styleId="TableHeading">
    <w:name w:val="Table Heading"/>
    <w:basedOn w:val="HeadingBase"/>
    <w:rsid w:val="001C2E2B"/>
    <w:pPr>
      <w:keepLines/>
      <w:pBdr>
        <w:bottom w:val="single" w:sz="6" w:space="1" w:color="918585"/>
      </w:pBdr>
      <w:spacing w:before="240"/>
    </w:pPr>
  </w:style>
  <w:style w:type="character" w:customStyle="1" w:styleId="HotSpot">
    <w:name w:val="HotSpot"/>
    <w:rsid w:val="001C2E2B"/>
    <w:rPr>
      <w:color w:val="0033CC"/>
      <w:u w:val="none"/>
    </w:rPr>
  </w:style>
  <w:style w:type="paragraph" w:customStyle="1" w:styleId="BodyTextRight">
    <w:name w:val="Body Text Right"/>
    <w:basedOn w:val="BodyText"/>
    <w:rsid w:val="001C2E2B"/>
    <w:pPr>
      <w:spacing w:before="0" w:after="0"/>
      <w:jc w:val="right"/>
    </w:pPr>
  </w:style>
  <w:style w:type="paragraph" w:styleId="Index3">
    <w:name w:val="index 3"/>
    <w:basedOn w:val="ListNumber2"/>
    <w:next w:val="Normal"/>
    <w:semiHidden/>
    <w:rsid w:val="001C2E2B"/>
    <w:pPr>
      <w:numPr>
        <w:numId w:val="0"/>
      </w:numPr>
      <w:tabs>
        <w:tab w:val="right" w:leader="dot" w:pos="4176"/>
      </w:tabs>
    </w:pPr>
  </w:style>
  <w:style w:type="paragraph" w:styleId="ListNumber2">
    <w:name w:val="List Number 2"/>
    <w:basedOn w:val="List2"/>
    <w:rsid w:val="001C2E2B"/>
    <w:pPr>
      <w:numPr>
        <w:numId w:val="11"/>
      </w:numPr>
      <w:tabs>
        <w:tab w:val="clear" w:pos="1060"/>
      </w:tabs>
    </w:pPr>
  </w:style>
  <w:style w:type="paragraph" w:customStyle="1" w:styleId="MarginNote">
    <w:name w:val="Margin Note"/>
    <w:basedOn w:val="BodyText"/>
    <w:rsid w:val="001C2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E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E2B"/>
    <w:rPr>
      <w:sz w:val="32"/>
    </w:rPr>
  </w:style>
  <w:style w:type="paragraph" w:customStyle="1" w:styleId="HeadingProcedure">
    <w:name w:val="Heading Procedure"/>
    <w:basedOn w:val="HeadingBase"/>
    <w:next w:val="Normal"/>
    <w:rsid w:val="001C2E2B"/>
    <w:pPr>
      <w:tabs>
        <w:tab w:val="left" w:pos="0"/>
      </w:tabs>
      <w:spacing w:before="120" w:after="60"/>
    </w:pPr>
    <w:rPr>
      <w:i/>
      <w:color w:val="918585"/>
      <w:sz w:val="22"/>
    </w:rPr>
  </w:style>
  <w:style w:type="paragraph" w:customStyle="1" w:styleId="TableBodyText">
    <w:name w:val="Table Body Text"/>
    <w:basedOn w:val="BodyText"/>
    <w:rsid w:val="001C2E2B"/>
    <w:pPr>
      <w:spacing w:before="60" w:after="60"/>
    </w:pPr>
  </w:style>
  <w:style w:type="paragraph" w:styleId="ListContinue">
    <w:name w:val="List Continue"/>
    <w:basedOn w:val="List"/>
    <w:rsid w:val="001C2E2B"/>
    <w:pPr>
      <w:ind w:firstLine="0"/>
    </w:pPr>
  </w:style>
  <w:style w:type="paragraph" w:customStyle="1" w:styleId="ListNote">
    <w:name w:val="List Note"/>
    <w:basedOn w:val="List"/>
    <w:rsid w:val="001C2E2B"/>
    <w:pPr>
      <w:pBdr>
        <w:top w:val="single" w:sz="6" w:space="2" w:color="918585"/>
        <w:bottom w:val="single" w:sz="6" w:space="2" w:color="918585"/>
      </w:pBdr>
      <w:tabs>
        <w:tab w:val="left" w:pos="1021"/>
      </w:tabs>
      <w:ind w:firstLine="0"/>
    </w:pPr>
  </w:style>
  <w:style w:type="paragraph" w:customStyle="1" w:styleId="Warning">
    <w:name w:val="Warning"/>
    <w:basedOn w:val="BodyText"/>
    <w:rsid w:val="001C2E2B"/>
    <w:pPr>
      <w:shd w:val="clear" w:color="auto" w:fill="D9D9D9"/>
      <w:tabs>
        <w:tab w:val="left" w:pos="992"/>
      </w:tabs>
      <w:ind w:left="119" w:right="119"/>
    </w:pPr>
    <w:rPr>
      <w:sz w:val="20"/>
    </w:rPr>
  </w:style>
  <w:style w:type="paragraph" w:customStyle="1" w:styleId="MarginIcons">
    <w:name w:val="Margin Icons"/>
    <w:basedOn w:val="BodyText"/>
    <w:rsid w:val="001C2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E2B"/>
    <w:rPr>
      <w:rFonts w:ascii="Courier New" w:hAnsi="Courier New"/>
    </w:rPr>
  </w:style>
  <w:style w:type="paragraph" w:customStyle="1" w:styleId="NoteBullet">
    <w:name w:val="Note Bullet"/>
    <w:basedOn w:val="Note"/>
    <w:rsid w:val="001C2E2B"/>
    <w:pPr>
      <w:tabs>
        <w:tab w:val="clear" w:pos="680"/>
      </w:tabs>
      <w:spacing w:before="60" w:after="60"/>
    </w:pPr>
  </w:style>
  <w:style w:type="paragraph" w:customStyle="1" w:styleId="SubHeading2">
    <w:name w:val="SubHeading2"/>
    <w:basedOn w:val="HeadingBase"/>
    <w:rsid w:val="001C2E2B"/>
    <w:pPr>
      <w:spacing w:before="240" w:after="60"/>
    </w:pPr>
    <w:rPr>
      <w:sz w:val="20"/>
    </w:rPr>
  </w:style>
  <w:style w:type="paragraph" w:customStyle="1" w:styleId="SubHeading1">
    <w:name w:val="SubHeading1"/>
    <w:basedOn w:val="HeadingBase"/>
    <w:rsid w:val="001C2E2B"/>
    <w:pPr>
      <w:spacing w:before="240" w:after="60"/>
    </w:pPr>
    <w:rPr>
      <w:color w:val="918585"/>
      <w:sz w:val="22"/>
    </w:rPr>
  </w:style>
  <w:style w:type="paragraph" w:customStyle="1" w:styleId="SideHeading">
    <w:name w:val="Side Heading"/>
    <w:basedOn w:val="HeadingBase"/>
    <w:rsid w:val="001C2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E2B"/>
    <w:pPr>
      <w:numPr>
        <w:numId w:val="13"/>
      </w:numPr>
    </w:pPr>
  </w:style>
  <w:style w:type="paragraph" w:styleId="PlainText">
    <w:name w:val="Plain Text"/>
    <w:basedOn w:val="Normal"/>
    <w:link w:val="PlainTextChar"/>
    <w:rsid w:val="001C2E2B"/>
    <w:rPr>
      <w:sz w:val="20"/>
    </w:rPr>
  </w:style>
  <w:style w:type="character" w:customStyle="1" w:styleId="PlainTextChar">
    <w:name w:val="Plain Text Char"/>
    <w:basedOn w:val="DefaultParagraphFont"/>
    <w:link w:val="PlainText"/>
    <w:rsid w:val="001C2E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E2B"/>
    <w:rPr>
      <w:b/>
      <w:smallCaps/>
    </w:rPr>
  </w:style>
  <w:style w:type="paragraph" w:customStyle="1" w:styleId="TableListNumber">
    <w:name w:val="Table List Number"/>
    <w:basedOn w:val="ListNumber"/>
    <w:rsid w:val="001C2E2B"/>
    <w:pPr>
      <w:numPr>
        <w:numId w:val="0"/>
      </w:numPr>
    </w:pPr>
  </w:style>
  <w:style w:type="paragraph" w:styleId="TOC4">
    <w:name w:val="toc 4"/>
    <w:basedOn w:val="TOCBase"/>
    <w:next w:val="Normal"/>
    <w:semiHidden/>
    <w:rsid w:val="001C2E2B"/>
    <w:pPr>
      <w:tabs>
        <w:tab w:val="right" w:leader="dot" w:pos="9071"/>
      </w:tabs>
      <w:ind w:left="1701"/>
    </w:pPr>
  </w:style>
  <w:style w:type="paragraph" w:customStyle="1" w:styleId="ListAlpha">
    <w:name w:val="List Alpha"/>
    <w:basedOn w:val="List"/>
    <w:rsid w:val="001C2E2B"/>
    <w:pPr>
      <w:numPr>
        <w:numId w:val="10"/>
      </w:numPr>
    </w:pPr>
  </w:style>
  <w:style w:type="paragraph" w:customStyle="1" w:styleId="ListAlpha2">
    <w:name w:val="List Alpha 2"/>
    <w:basedOn w:val="List2"/>
    <w:rsid w:val="001C2E2B"/>
    <w:pPr>
      <w:numPr>
        <w:numId w:val="9"/>
      </w:numPr>
    </w:pPr>
  </w:style>
  <w:style w:type="paragraph" w:styleId="List3">
    <w:name w:val="List 3"/>
    <w:basedOn w:val="BodyText"/>
    <w:rsid w:val="001C2E2B"/>
    <w:pPr>
      <w:tabs>
        <w:tab w:val="left" w:pos="1021"/>
      </w:tabs>
      <w:spacing w:before="60" w:after="60"/>
      <w:ind w:left="1020" w:hanging="340"/>
    </w:pPr>
  </w:style>
  <w:style w:type="paragraph" w:styleId="List4">
    <w:name w:val="List 4"/>
    <w:basedOn w:val="BodyText"/>
    <w:rsid w:val="001C2E2B"/>
    <w:pPr>
      <w:tabs>
        <w:tab w:val="left" w:pos="1361"/>
      </w:tabs>
      <w:spacing w:before="60" w:after="60"/>
      <w:ind w:left="1361" w:hanging="340"/>
    </w:pPr>
  </w:style>
  <w:style w:type="paragraph" w:styleId="List5">
    <w:name w:val="List 5"/>
    <w:basedOn w:val="BodyText"/>
    <w:rsid w:val="001C2E2B"/>
    <w:pPr>
      <w:tabs>
        <w:tab w:val="left" w:pos="1701"/>
      </w:tabs>
      <w:spacing w:before="60" w:after="60"/>
      <w:ind w:left="1701" w:hanging="340"/>
    </w:pPr>
  </w:style>
  <w:style w:type="paragraph" w:styleId="ListBullet4">
    <w:name w:val="List Bullet 4"/>
    <w:basedOn w:val="List4"/>
    <w:rsid w:val="001C2E2B"/>
    <w:pPr>
      <w:numPr>
        <w:numId w:val="4"/>
      </w:numPr>
    </w:pPr>
  </w:style>
  <w:style w:type="paragraph" w:styleId="ListBullet5">
    <w:name w:val="List Bullet 5"/>
    <w:basedOn w:val="List5"/>
    <w:rsid w:val="001C2E2B"/>
    <w:pPr>
      <w:numPr>
        <w:numId w:val="5"/>
      </w:numPr>
    </w:pPr>
  </w:style>
  <w:style w:type="paragraph" w:styleId="ListContinue2">
    <w:name w:val="List Continue 2"/>
    <w:basedOn w:val="List2"/>
    <w:rsid w:val="001C2E2B"/>
    <w:pPr>
      <w:ind w:firstLine="0"/>
    </w:pPr>
  </w:style>
  <w:style w:type="paragraph" w:styleId="ListContinue3">
    <w:name w:val="List Continue 3"/>
    <w:basedOn w:val="List3"/>
    <w:rsid w:val="001C2E2B"/>
    <w:pPr>
      <w:ind w:left="1021" w:firstLine="0"/>
    </w:pPr>
  </w:style>
  <w:style w:type="paragraph" w:styleId="ListContinue4">
    <w:name w:val="List Continue 4"/>
    <w:basedOn w:val="List4"/>
    <w:rsid w:val="001C2E2B"/>
    <w:pPr>
      <w:ind w:firstLine="0"/>
    </w:pPr>
  </w:style>
  <w:style w:type="paragraph" w:styleId="ListContinue5">
    <w:name w:val="List Continue 5"/>
    <w:basedOn w:val="List5"/>
    <w:rsid w:val="001C2E2B"/>
    <w:pPr>
      <w:ind w:firstLine="0"/>
    </w:pPr>
  </w:style>
  <w:style w:type="paragraph" w:styleId="ListNumber3">
    <w:name w:val="List Number 3"/>
    <w:basedOn w:val="List3"/>
    <w:rsid w:val="001C2E2B"/>
    <w:pPr>
      <w:numPr>
        <w:numId w:val="6"/>
      </w:numPr>
    </w:pPr>
  </w:style>
  <w:style w:type="paragraph" w:styleId="ListNumber4">
    <w:name w:val="List Number 4"/>
    <w:basedOn w:val="List4"/>
    <w:rsid w:val="001C2E2B"/>
    <w:pPr>
      <w:numPr>
        <w:numId w:val="7"/>
      </w:numPr>
    </w:pPr>
  </w:style>
  <w:style w:type="paragraph" w:styleId="ListNumber5">
    <w:name w:val="List Number 5"/>
    <w:basedOn w:val="List5"/>
    <w:rsid w:val="001C2E2B"/>
    <w:pPr>
      <w:numPr>
        <w:numId w:val="8"/>
      </w:numPr>
    </w:pPr>
  </w:style>
  <w:style w:type="paragraph" w:styleId="BlockText">
    <w:name w:val="Block Text"/>
    <w:basedOn w:val="Normal"/>
    <w:rsid w:val="001C2E2B"/>
    <w:pPr>
      <w:spacing w:after="120"/>
      <w:ind w:left="1440" w:right="1440"/>
    </w:pPr>
  </w:style>
  <w:style w:type="character" w:customStyle="1" w:styleId="Subscript">
    <w:name w:val="Subscript"/>
    <w:basedOn w:val="DefaultParagraphFont"/>
    <w:rsid w:val="001C2E2B"/>
    <w:rPr>
      <w:sz w:val="16"/>
      <w:vertAlign w:val="subscript"/>
    </w:rPr>
  </w:style>
  <w:style w:type="character" w:customStyle="1" w:styleId="Superscript">
    <w:name w:val="Superscript"/>
    <w:basedOn w:val="DefaultParagraphFont"/>
    <w:rsid w:val="001C2E2B"/>
    <w:rPr>
      <w:sz w:val="16"/>
      <w:vertAlign w:val="superscript"/>
    </w:rPr>
  </w:style>
  <w:style w:type="character" w:customStyle="1" w:styleId="Symbols">
    <w:name w:val="Symbols"/>
    <w:basedOn w:val="DefaultParagraphFont"/>
    <w:rsid w:val="001C2E2B"/>
    <w:rPr>
      <w:rFonts w:ascii="Symbol" w:hAnsi="Symbol"/>
    </w:rPr>
  </w:style>
  <w:style w:type="character" w:customStyle="1" w:styleId="MenuOptions">
    <w:name w:val="Menu Options"/>
    <w:basedOn w:val="DefaultParagraphFont"/>
    <w:rsid w:val="001C2E2B"/>
    <w:rPr>
      <w:rFonts w:ascii="Arial Narrow" w:hAnsi="Arial Narrow"/>
      <w:smallCaps/>
    </w:rPr>
  </w:style>
  <w:style w:type="character" w:customStyle="1" w:styleId="Buttons">
    <w:name w:val="Buttons"/>
    <w:basedOn w:val="DefaultParagraphFont"/>
    <w:rsid w:val="001C2E2B"/>
    <w:rPr>
      <w:b/>
    </w:rPr>
  </w:style>
  <w:style w:type="character" w:customStyle="1" w:styleId="Underlined">
    <w:name w:val="Underlined"/>
    <w:basedOn w:val="DefaultParagraphFont"/>
    <w:rsid w:val="001C2E2B"/>
    <w:rPr>
      <w:u w:val="single"/>
    </w:rPr>
  </w:style>
  <w:style w:type="paragraph" w:customStyle="1" w:styleId="TableBodyTextRight">
    <w:name w:val="Table Body Text Right"/>
    <w:basedOn w:val="TableBodyText"/>
    <w:rsid w:val="001C2E2B"/>
    <w:pPr>
      <w:widowControl w:val="0"/>
      <w:autoSpaceDE w:val="0"/>
      <w:autoSpaceDN w:val="0"/>
      <w:adjustRightInd w:val="0"/>
      <w:jc w:val="right"/>
    </w:pPr>
    <w:rPr>
      <w:rFonts w:cs="Arial"/>
      <w:szCs w:val="18"/>
    </w:rPr>
  </w:style>
  <w:style w:type="paragraph" w:customStyle="1" w:styleId="CopyrightText">
    <w:name w:val="Copyright Text"/>
    <w:basedOn w:val="BodyText"/>
    <w:rsid w:val="001C2E2B"/>
    <w:rPr>
      <w:sz w:val="18"/>
    </w:rPr>
  </w:style>
  <w:style w:type="paragraph" w:customStyle="1" w:styleId="BodySmallRight">
    <w:name w:val="Body Small Right"/>
    <w:basedOn w:val="BodyTextRight"/>
    <w:rsid w:val="001C2E2B"/>
    <w:rPr>
      <w:sz w:val="18"/>
      <w:szCs w:val="18"/>
    </w:rPr>
  </w:style>
  <w:style w:type="paragraph" w:customStyle="1" w:styleId="MarginEdition">
    <w:name w:val="Margin Edition"/>
    <w:basedOn w:val="MarginNote"/>
    <w:rsid w:val="001C2E2B"/>
    <w:pPr>
      <w:spacing w:before="0" w:after="0"/>
    </w:pPr>
    <w:rPr>
      <w:rFonts w:ascii="Times New Roman" w:hAnsi="Times New Roman"/>
      <w:color w:val="999999"/>
    </w:rPr>
  </w:style>
  <w:style w:type="paragraph" w:customStyle="1" w:styleId="Spacer">
    <w:name w:val="Spacer"/>
    <w:basedOn w:val="Normal"/>
    <w:rsid w:val="001C2E2B"/>
    <w:rPr>
      <w:sz w:val="2"/>
      <w:szCs w:val="2"/>
    </w:rPr>
  </w:style>
  <w:style w:type="character" w:customStyle="1" w:styleId="Small">
    <w:name w:val="Small"/>
    <w:basedOn w:val="DefaultParagraphFont"/>
    <w:rsid w:val="001C2E2B"/>
    <w:rPr>
      <w:sz w:val="16"/>
    </w:rPr>
  </w:style>
  <w:style w:type="paragraph" w:customStyle="1" w:styleId="WideTable">
    <w:name w:val="Wide Table"/>
    <w:basedOn w:val="Normal"/>
    <w:rsid w:val="001C2E2B"/>
    <w:pPr>
      <w:ind w:left="-1418"/>
    </w:pPr>
    <w:rPr>
      <w:sz w:val="2"/>
      <w:szCs w:val="2"/>
    </w:rPr>
  </w:style>
  <w:style w:type="character" w:styleId="PageNumber">
    <w:name w:val="page number"/>
    <w:basedOn w:val="DefaultParagraphFont"/>
    <w:rsid w:val="001C2E2B"/>
  </w:style>
  <w:style w:type="paragraph" w:styleId="Quote">
    <w:name w:val="Quote"/>
    <w:basedOn w:val="Heading1"/>
    <w:link w:val="QuoteChar"/>
    <w:qFormat/>
    <w:rsid w:val="001C2E2B"/>
    <w:rPr>
      <w:b w:val="0"/>
      <w:sz w:val="72"/>
      <w:szCs w:val="72"/>
      <w:lang w:val="en-NZ"/>
    </w:rPr>
  </w:style>
  <w:style w:type="character" w:customStyle="1" w:styleId="QuoteChar">
    <w:name w:val="Quote Char"/>
    <w:basedOn w:val="DefaultParagraphFont"/>
    <w:link w:val="Quote"/>
    <w:rsid w:val="001C2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E2B"/>
    <w:pPr>
      <w:pageBreakBefore/>
    </w:pPr>
  </w:style>
  <w:style w:type="paragraph" w:customStyle="1" w:styleId="Border">
    <w:name w:val="Border"/>
    <w:basedOn w:val="Normal"/>
    <w:qFormat/>
    <w:rsid w:val="001C2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E2B"/>
    <w:rPr>
      <w:b/>
      <w:bCs/>
      <w:i/>
      <w:iCs/>
      <w:color w:val="auto"/>
    </w:rPr>
  </w:style>
  <w:style w:type="paragraph" w:styleId="IntenseQuote">
    <w:name w:val="Intense Quote"/>
    <w:basedOn w:val="Normal"/>
    <w:next w:val="Normal"/>
    <w:link w:val="IntenseQuoteChar"/>
    <w:uiPriority w:val="30"/>
    <w:qFormat/>
    <w:rsid w:val="001C2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E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E2B"/>
    <w:rPr>
      <w:smallCaps/>
      <w:color w:val="auto"/>
      <w:u w:val="single"/>
    </w:rPr>
  </w:style>
  <w:style w:type="character" w:styleId="IntenseReference">
    <w:name w:val="Intense Reference"/>
    <w:basedOn w:val="DefaultParagraphFont"/>
    <w:uiPriority w:val="32"/>
    <w:qFormat/>
    <w:rsid w:val="001C2E2B"/>
    <w:rPr>
      <w:b/>
      <w:bCs/>
      <w:smallCaps/>
      <w:color w:val="auto"/>
      <w:spacing w:val="5"/>
      <w:u w:val="single"/>
    </w:rPr>
  </w:style>
  <w:style w:type="paragraph" w:customStyle="1" w:styleId="2ColumnHeading">
    <w:name w:val="2Column Heading"/>
    <w:basedOn w:val="BodyText"/>
    <w:qFormat/>
    <w:rsid w:val="001C2E2B"/>
    <w:pPr>
      <w:spacing w:after="60"/>
      <w:ind w:left="-2268"/>
    </w:pPr>
    <w:rPr>
      <w:b/>
    </w:rPr>
  </w:style>
  <w:style w:type="paragraph" w:customStyle="1" w:styleId="Heading1TOC">
    <w:name w:val="Heading1 TOC"/>
    <w:basedOn w:val="Normal"/>
    <w:qFormat/>
    <w:rsid w:val="001C2E2B"/>
    <w:pPr>
      <w:spacing w:before="240" w:after="120"/>
    </w:pPr>
    <w:rPr>
      <w:rFonts w:ascii="Times New Roman" w:hAnsi="Times New Roman"/>
      <w:b/>
      <w:sz w:val="32"/>
    </w:rPr>
  </w:style>
  <w:style w:type="paragraph" w:customStyle="1" w:styleId="Heading2TOC">
    <w:name w:val="Heading2 TOC"/>
    <w:basedOn w:val="Normal"/>
    <w:qFormat/>
    <w:rsid w:val="001C2E2B"/>
    <w:pPr>
      <w:spacing w:before="240" w:after="60"/>
    </w:pPr>
    <w:rPr>
      <w:rFonts w:ascii="Times New Roman" w:hAnsi="Times New Roman"/>
      <w:b/>
      <w:sz w:val="28"/>
    </w:rPr>
  </w:style>
  <w:style w:type="character" w:customStyle="1" w:styleId="Underline">
    <w:name w:val="Underline"/>
    <w:basedOn w:val="DefaultParagraphFont"/>
    <w:qFormat/>
    <w:rsid w:val="001C2E2B"/>
    <w:rPr>
      <w:u w:val="single"/>
    </w:rPr>
  </w:style>
  <w:style w:type="paragraph" w:styleId="BalloonText">
    <w:name w:val="Balloon Text"/>
    <w:basedOn w:val="Normal"/>
    <w:link w:val="BalloonTextChar"/>
    <w:rsid w:val="001C2E2B"/>
    <w:rPr>
      <w:rFonts w:ascii="Tahoma" w:hAnsi="Tahoma" w:cs="Tahoma"/>
      <w:sz w:val="16"/>
      <w:szCs w:val="16"/>
    </w:rPr>
  </w:style>
  <w:style w:type="character" w:customStyle="1" w:styleId="BalloonTextChar">
    <w:name w:val="Balloon Text Char"/>
    <w:basedOn w:val="DefaultParagraphFont"/>
    <w:link w:val="BalloonText"/>
    <w:rsid w:val="001C2E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E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E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10860</Characters>
  <Application>Microsoft Office Word</Application>
  <DocSecurity>0</DocSecurity>
  <Lines>392</Lines>
  <Paragraphs>214</Paragraphs>
  <ScaleCrop>false</ScaleCrop>
  <Company>Author-it Software Corporation Ltd.</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FNSASICT503A Provide advice in Managed Investments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