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351" w:rsidP="000C5351">
      <w:pPr>
        <w:pStyle w:val="Title"/>
      </w:pPr>
      <w:r>
        <w:fldChar w:fldCharType="begin"/>
      </w:r>
      <w:r>
        <w:instrText xml:space="preserve"> TITLE   \* MERGEFORMAT </w:instrText>
      </w:r>
      <w:r>
        <w:fldChar w:fldCharType="separate"/>
      </w:r>
      <w:r>
        <w:t>FNSACM401A Evaluate and authorise payment requests</w:t>
      </w:r>
      <w:r>
        <w:fldChar w:fldCharType="end"/>
      </w:r>
    </w:p>
    <w:p w:rsidR="000C5351" w:rsidP="000C5351">
      <w:pPr>
        <w:pStyle w:val="Version"/>
        <w:sectPr w:rsidSect="00875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526B" w:rsidP="0087526B">
      <w:pPr>
        <w:pStyle w:val="SuperHeading"/>
      </w:pPr>
      <w:r w:rsidRPr="0087526B">
        <w:t>FNSACM401A Evaluate and authorise payment requests</w:t>
      </w:r>
    </w:p>
    <w:p w:rsidR="00000000" w:rsidRPr="0087526B" w:rsidP="0087526B">
      <w:pPr>
        <w:pStyle w:val="SuperHeading"/>
      </w:pPr>
    </w:p>
    <w:p w:rsidR="00000000" w:rsidRPr="0087526B" w:rsidP="0087526B">
      <w:pPr>
        <w:pStyle w:val="Heading1"/>
      </w:pPr>
      <w:bookmarkStart w:id="1" w:name="O_77367"/>
      <w:bookmarkEnd w:id="1"/>
      <w:r w:rsidRPr="0087526B">
        <w:t>Modification History</w:t>
      </w:r>
    </w:p>
    <w:p w:rsidR="00000000" w:rsidRPr="0087526B" w:rsidP="0087526B">
      <w:pPr>
        <w:pStyle w:val="BodyText"/>
      </w:pPr>
      <w:r w:rsidRPr="0087526B">
        <w:t>Not applicable.</w:t>
      </w:r>
    </w:p>
    <w:p w:rsidR="00000000" w:rsidRPr="0087526B" w:rsidP="0087526B">
      <w:pPr>
        <w:pStyle w:val="AllowPageBreak"/>
      </w:pPr>
    </w:p>
    <w:p w:rsidR="00000000" w:rsidRPr="0087526B" w:rsidP="0087526B">
      <w:pPr>
        <w:pStyle w:val="Heading1"/>
      </w:pPr>
      <w:bookmarkStart w:id="2" w:name="O_77368"/>
      <w:bookmarkEnd w:id="2"/>
      <w:r w:rsidRPr="0087526B">
        <w:t>Unit Descriptor</w:t>
      </w:r>
    </w:p>
    <w:tbl>
      <w:tblPr>
        <w:tblW w:w="0" w:type="auto"/>
        <w:tblLayout w:type="fixed"/>
        <w:tblCellMar>
          <w:left w:w="62" w:type="dxa"/>
          <w:right w:w="62" w:type="dxa"/>
        </w:tblCellMar>
        <w:tblLook w:val="0000"/>
      </w:tblPr>
      <w:tblGrid>
        <w:gridCol w:w="2643"/>
        <w:gridCol w:w="5879"/>
      </w:tblGrid>
      <w:tr w:rsidTr="000C5351">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This unit describes the performance outcomes, skills and knowledge required to verify the validity and</w:t>
            </w:r>
            <w:r w:rsidRPr="0087526B">
              <w:t xml:space="preserve"> accuracy of payment requests, prepare payment documentation and authorise payments.</w:t>
            </w:r>
          </w:p>
          <w:p w:rsidR="00000000" w:rsidRPr="0087526B" w:rsidP="0087526B">
            <w:pPr>
              <w:pStyle w:val="BodyText"/>
            </w:pPr>
          </w:p>
          <w:p w:rsidR="00000000" w:rsidRPr="0087526B" w:rsidP="0087526B">
            <w:pPr>
              <w:pStyle w:val="BodyText"/>
            </w:pPr>
            <w:r w:rsidRPr="0087526B">
              <w:t>No licensing, legislative, regulatory or certification requirements apply to this unit at the time of endorsement.</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3" w:name="O_77369"/>
      <w:bookmarkEnd w:id="3"/>
      <w:r w:rsidRPr="0087526B">
        <w:t>Application of the Unit</w:t>
      </w:r>
    </w:p>
    <w:tbl>
      <w:tblPr>
        <w:tblW w:w="0" w:type="auto"/>
        <w:tblLayout w:type="fixed"/>
        <w:tblCellMar>
          <w:left w:w="62" w:type="dxa"/>
          <w:right w:w="62" w:type="dxa"/>
        </w:tblCellMar>
        <w:tblLook w:val="0000"/>
      </w:tblPr>
      <w:tblGrid>
        <w:gridCol w:w="2723"/>
        <w:gridCol w:w="5799"/>
      </w:tblGrid>
      <w:tr w:rsidTr="000C535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Application o</w:t>
            </w:r>
            <w:r w:rsidRPr="0087526B">
              <w:rPr>
                <w:rStyle w:val="SpecialBold"/>
              </w:rPr>
              <w:t>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This unit applies to a range of financial services job roles and sectors.</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4" w:name="O_77370"/>
      <w:bookmarkEnd w:id="4"/>
      <w:r w:rsidRPr="0087526B">
        <w:t>Licensing/Regulatory Information</w:t>
      </w:r>
    </w:p>
    <w:p w:rsidR="00000000" w:rsidRPr="0087526B" w:rsidP="0087526B">
      <w:pPr>
        <w:pStyle w:val="BodyText"/>
      </w:pPr>
      <w:r w:rsidRPr="0087526B">
        <w:t>Not applicable.</w:t>
      </w:r>
    </w:p>
    <w:p w:rsidR="00000000" w:rsidRPr="0087526B" w:rsidP="0087526B">
      <w:pPr>
        <w:pStyle w:val="AllowPageBreak"/>
      </w:pPr>
    </w:p>
    <w:p w:rsidR="00000000" w:rsidRPr="0087526B" w:rsidP="0087526B">
      <w:pPr>
        <w:pStyle w:val="Heading1"/>
      </w:pPr>
      <w:bookmarkStart w:id="5" w:name="O_77371"/>
      <w:bookmarkEnd w:id="5"/>
      <w:r w:rsidRPr="0087526B">
        <w:t>Pre-Requisites</w:t>
      </w:r>
    </w:p>
    <w:tbl>
      <w:tblPr>
        <w:tblW w:w="0" w:type="auto"/>
        <w:tblLayout w:type="fixed"/>
        <w:tblCellMar>
          <w:left w:w="62" w:type="dxa"/>
          <w:right w:w="62" w:type="dxa"/>
        </w:tblCellMar>
        <w:tblLook w:val="0000"/>
      </w:tblPr>
      <w:tblGrid>
        <w:gridCol w:w="2747"/>
        <w:gridCol w:w="5775"/>
      </w:tblGrid>
      <w:tr w:rsidTr="000C5351">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Prerequisite units</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p>
        </w:tc>
      </w:tr>
      <w:tr w:rsidTr="000C535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6" w:name="O_77372"/>
      <w:bookmarkEnd w:id="6"/>
      <w:r w:rsidRPr="0087526B">
        <w:t>Employability Skills Information</w:t>
      </w:r>
    </w:p>
    <w:tbl>
      <w:tblPr>
        <w:tblW w:w="0" w:type="auto"/>
        <w:tblLayout w:type="fixed"/>
        <w:tblCellMar>
          <w:left w:w="62" w:type="dxa"/>
          <w:right w:w="62" w:type="dxa"/>
        </w:tblCellMar>
        <w:tblLook w:val="0000"/>
      </w:tblPr>
      <w:tblGrid>
        <w:gridCol w:w="2762"/>
        <w:gridCol w:w="5760"/>
      </w:tblGrid>
      <w:tr w:rsidTr="000C535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This unit contains employability skills.</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7" w:name="O_77373"/>
      <w:bookmarkEnd w:id="7"/>
      <w:r w:rsidRPr="0087526B">
        <w:t>Elements and Performance Criteria Pre-Content</w:t>
      </w:r>
    </w:p>
    <w:tbl>
      <w:tblPr>
        <w:tblW w:w="0" w:type="auto"/>
        <w:tblLayout w:type="fixed"/>
        <w:tblCellMar>
          <w:left w:w="62" w:type="dxa"/>
          <w:right w:w="62" w:type="dxa"/>
        </w:tblCellMar>
        <w:tblLook w:val="0000"/>
      </w:tblPr>
      <w:tblGrid>
        <w:gridCol w:w="2581"/>
        <w:gridCol w:w="5941"/>
      </w:tblGrid>
      <w:tr w:rsidTr="000C53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Performance criteria describe the performance needed to demonstrate achievement of the element. Where bold italicised text is used, further information is detailed in the required skills and knowledge section and the range Statement. Assessment of performa</w:t>
            </w:r>
            <w:r w:rsidRPr="0087526B">
              <w:t>nce is to be consistent with the evidence guide.</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8" w:name="O_77374"/>
      <w:bookmarkEnd w:id="8"/>
      <w:r w:rsidRPr="0087526B">
        <w:t>Elements and Performance Criteria</w:t>
      </w:r>
    </w:p>
    <w:tbl>
      <w:tblPr>
        <w:tblW w:w="0" w:type="auto"/>
        <w:tblLayout w:type="fixed"/>
        <w:tblCellMar>
          <w:left w:w="62" w:type="dxa"/>
          <w:right w:w="62" w:type="dxa"/>
        </w:tblCellMar>
        <w:tblLook w:val="0000"/>
      </w:tblPr>
      <w:tblGrid>
        <w:gridCol w:w="2581"/>
        <w:gridCol w:w="5941"/>
      </w:tblGrid>
      <w:tr w:rsidTr="000C535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PERFORMANCE CRITERIA</w:t>
            </w:r>
          </w:p>
        </w:tc>
      </w:tr>
      <w:tr w:rsidTr="000C53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List"/>
              <w:rPr>
                <w:lang w:val="en-NZ"/>
              </w:rPr>
            </w:pPr>
            <w:r w:rsidRPr="0087526B">
              <w:t>1.</w:t>
            </w:r>
            <w:r w:rsidRPr="0087526B">
              <w:tab/>
              <w:t>Verify validity and accuracy of payment request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2"/>
            </w:pPr>
            <w:r w:rsidRPr="0087526B">
              <w:t>1.1.</w:t>
            </w:r>
            <w:r w:rsidRPr="0087526B">
              <w:tab/>
            </w:r>
            <w:r w:rsidRPr="0087526B">
              <w:rPr>
                <w:rStyle w:val="BoldandItalics"/>
              </w:rPr>
              <w:t>Payment requests</w:t>
            </w:r>
            <w:r w:rsidRPr="0087526B">
              <w:t xml:space="preserve"> are matched to order or other </w:t>
            </w:r>
            <w:r w:rsidRPr="0087526B">
              <w:t>supporting information to ensure validity of payment and to comply with internal control requirements</w:t>
            </w:r>
          </w:p>
          <w:p w:rsidR="00000000" w:rsidRPr="0087526B" w:rsidP="0087526B">
            <w:pPr>
              <w:pStyle w:val="List2"/>
            </w:pPr>
            <w:r w:rsidRPr="0087526B">
              <w:t>1.2.</w:t>
            </w:r>
            <w:r w:rsidRPr="0087526B">
              <w:tab/>
            </w:r>
            <w:r w:rsidRPr="0087526B">
              <w:rPr>
                <w:rStyle w:val="BoldandItalics"/>
              </w:rPr>
              <w:t>Supporting documentation</w:t>
            </w:r>
            <w:r w:rsidRPr="0087526B">
              <w:t xml:space="preserve"> is checked to ensure it is correct and complete and an authorisation of request is confirmed with any discrepancies followed</w:t>
            </w:r>
            <w:r w:rsidRPr="0087526B">
              <w:t xml:space="preserve"> up without delay</w:t>
            </w:r>
          </w:p>
          <w:p w:rsidR="00000000" w:rsidP="0087526B">
            <w:pPr>
              <w:pStyle w:val="List2"/>
              <w:rPr>
                <w:lang w:val="en-NZ"/>
              </w:rPr>
            </w:pPr>
            <w:r w:rsidRPr="0087526B">
              <w:t>1.3.</w:t>
            </w:r>
            <w:r w:rsidRPr="0087526B">
              <w:tab/>
              <w:t>Confirmation of goods or services supply is obtained where required to validate request for payment</w:t>
            </w:r>
          </w:p>
        </w:tc>
      </w:tr>
      <w:tr w:rsidTr="000C53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List"/>
              <w:rPr>
                <w:lang w:val="en-NZ"/>
              </w:rPr>
            </w:pPr>
            <w:r w:rsidRPr="0087526B">
              <w:t>2.</w:t>
            </w:r>
            <w:r w:rsidRPr="0087526B">
              <w:tab/>
              <w:t>Prepare payment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2"/>
            </w:pPr>
            <w:r w:rsidRPr="0087526B">
              <w:t>2.1.</w:t>
            </w:r>
            <w:r w:rsidRPr="0087526B">
              <w:tab/>
              <w:t xml:space="preserve">All payments are </w:t>
            </w:r>
            <w:r w:rsidRPr="0087526B">
              <w:rPr>
                <w:rStyle w:val="BoldandItalics"/>
              </w:rPr>
              <w:t>coded and allocated to accounts</w:t>
            </w:r>
            <w:r w:rsidRPr="0087526B">
              <w:t xml:space="preserve"> accurately with payments matched against invo</w:t>
            </w:r>
            <w:r w:rsidRPr="0087526B">
              <w:t>ice or other relevant documentation</w:t>
            </w:r>
          </w:p>
          <w:p w:rsidR="00000000" w:rsidP="0087526B">
            <w:pPr>
              <w:pStyle w:val="List2"/>
              <w:rPr>
                <w:lang w:val="en-NZ"/>
              </w:rPr>
            </w:pPr>
            <w:r w:rsidRPr="0087526B">
              <w:t>2.2.</w:t>
            </w:r>
            <w:r w:rsidRPr="0087526B">
              <w:tab/>
              <w:t>All documentation is completed in accordance with organisation policy and procedures</w:t>
            </w:r>
          </w:p>
        </w:tc>
      </w:tr>
      <w:tr w:rsidTr="000C535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List"/>
              <w:rPr>
                <w:lang w:val="en-NZ"/>
              </w:rPr>
            </w:pPr>
            <w:r w:rsidRPr="0087526B">
              <w:t>3.</w:t>
            </w:r>
            <w:r w:rsidRPr="0087526B">
              <w:tab/>
              <w:t>Authorise payment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2"/>
            </w:pPr>
            <w:r w:rsidRPr="0087526B">
              <w:t>3.1.</w:t>
            </w:r>
            <w:r w:rsidRPr="0087526B">
              <w:tab/>
              <w:t xml:space="preserve">All payments are authorised accurately and according to </w:t>
            </w:r>
            <w:r w:rsidRPr="0087526B">
              <w:rPr>
                <w:rStyle w:val="BoldandItalics"/>
              </w:rPr>
              <w:t>organisation policy and procedures</w:t>
            </w:r>
          </w:p>
          <w:p w:rsidR="00000000" w:rsidRPr="0087526B" w:rsidP="0087526B">
            <w:pPr>
              <w:pStyle w:val="List2"/>
            </w:pPr>
            <w:r w:rsidRPr="0087526B">
              <w:t>3.2.</w:t>
            </w:r>
            <w:r w:rsidRPr="0087526B">
              <w:tab/>
              <w:t>Funds a</w:t>
            </w:r>
            <w:r w:rsidRPr="0087526B">
              <w:t>re not released prior to authorisation of payment in accordance with organisation procedures</w:t>
            </w:r>
          </w:p>
          <w:p w:rsidR="00000000" w:rsidRPr="0087526B" w:rsidP="0087526B">
            <w:pPr>
              <w:pStyle w:val="List2"/>
            </w:pPr>
            <w:r w:rsidRPr="0087526B">
              <w:t>3.3.</w:t>
            </w:r>
            <w:r w:rsidRPr="0087526B">
              <w:tab/>
              <w:t xml:space="preserve">Payment authorisations are within relevant authority levels and follow relevant organisation policy and procedures and </w:t>
            </w:r>
            <w:r w:rsidRPr="0087526B">
              <w:rPr>
                <w:rStyle w:val="BoldandItalics"/>
              </w:rPr>
              <w:t>industry and legislative requirements</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9" w:name="O_77375"/>
      <w:bookmarkEnd w:id="9"/>
      <w:r w:rsidRPr="0087526B">
        <w:t>Required Skills and Knowledge</w:t>
      </w:r>
    </w:p>
    <w:tbl>
      <w:tblPr>
        <w:tblW w:w="0" w:type="auto"/>
        <w:tblLayout w:type="fixed"/>
        <w:tblCellMar>
          <w:left w:w="62" w:type="dxa"/>
          <w:right w:w="62" w:type="dxa"/>
        </w:tblCellMar>
        <w:tblLook w:val="0000"/>
      </w:tblPr>
      <w:tblGrid>
        <w:gridCol w:w="8522"/>
      </w:tblGrid>
      <w:tr w:rsidTr="000C53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REQUIRED SKILLS AND KNOWLEDGE</w:t>
            </w:r>
          </w:p>
        </w:tc>
      </w:tr>
      <w:tr w:rsidTr="000C53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t>This section describes the skills and knowledge required for this unit.</w:t>
            </w:r>
          </w:p>
        </w:tc>
      </w:tr>
      <w:tr w:rsidTr="000C53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Required skills</w:t>
            </w:r>
          </w:p>
        </w:tc>
      </w:tr>
      <w:tr w:rsidTr="000C53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communication skills to:</w:t>
            </w:r>
          </w:p>
          <w:p w:rsidR="00000000" w:rsidRPr="0087526B" w:rsidP="0087526B">
            <w:pPr>
              <w:pStyle w:val="ListBullet2"/>
            </w:pPr>
            <w:r w:rsidRPr="0087526B">
              <w:t>determine and confirm work requirements and interact with customers and internal clients, using questioning and active listening as required</w:t>
            </w:r>
          </w:p>
          <w:p w:rsidR="00000000" w:rsidRPr="0087526B" w:rsidP="0087526B">
            <w:pPr>
              <w:pStyle w:val="ListBullet2"/>
            </w:pPr>
            <w:r w:rsidRPr="0087526B">
              <w:t>share information, listen and understand</w:t>
            </w:r>
          </w:p>
          <w:p w:rsidR="00000000" w:rsidRPr="0087526B" w:rsidP="0087526B">
            <w:pPr>
              <w:pStyle w:val="ListBullet2"/>
            </w:pPr>
            <w:r w:rsidRPr="0087526B">
              <w:t>use language and concepts appropriate to cultural differences</w:t>
            </w:r>
          </w:p>
          <w:p w:rsidR="00000000" w:rsidRPr="0087526B" w:rsidP="0087526B">
            <w:pPr>
              <w:pStyle w:val="ListBullet"/>
            </w:pPr>
            <w:r w:rsidRPr="0087526B">
              <w:t>numeracy sk</w:t>
            </w:r>
            <w:r w:rsidRPr="0087526B">
              <w:t>ills to make financial calculations</w:t>
            </w:r>
          </w:p>
          <w:p w:rsidR="00000000" w:rsidRPr="0087526B" w:rsidP="0087526B">
            <w:pPr>
              <w:pStyle w:val="ListBullet"/>
            </w:pPr>
            <w:r w:rsidRPr="0087526B">
              <w:t>well developed IT skills for:</w:t>
            </w:r>
          </w:p>
          <w:p w:rsidR="00000000" w:rsidRPr="0087526B" w:rsidP="0087526B">
            <w:pPr>
              <w:pStyle w:val="ListBullet2"/>
            </w:pPr>
            <w:r w:rsidRPr="0087526B">
              <w:t>accessing and using accounting systems, spreadsheets and databases</w:t>
            </w:r>
          </w:p>
          <w:p w:rsidR="00000000" w:rsidRPr="0087526B" w:rsidP="0087526B">
            <w:pPr>
              <w:pStyle w:val="ListBullet2"/>
            </w:pPr>
            <w:r w:rsidRPr="0087526B">
              <w:t>data analysis and interpretation</w:t>
            </w:r>
          </w:p>
          <w:p w:rsidR="00000000" w:rsidRPr="0087526B" w:rsidP="0087526B">
            <w:pPr>
              <w:pStyle w:val="ListBullet2"/>
            </w:pPr>
            <w:r w:rsidRPr="0087526B">
              <w:t>using internet information</w:t>
            </w:r>
          </w:p>
          <w:p w:rsidR="00000000" w:rsidRPr="0087526B" w:rsidP="0087526B">
            <w:pPr>
              <w:pStyle w:val="ListBullet"/>
            </w:pPr>
            <w:r w:rsidRPr="0087526B">
              <w:t>evaluation and analysis skills to determine payment status and any discrepancies</w:t>
            </w:r>
          </w:p>
          <w:p w:rsidR="00000000" w:rsidRPr="0087526B" w:rsidP="0087526B">
            <w:pPr>
              <w:pStyle w:val="ListBullet"/>
            </w:pPr>
            <w:r w:rsidRPr="0087526B">
              <w:t>literacy skills for data analysis and entry</w:t>
            </w:r>
          </w:p>
          <w:p w:rsidR="00000000" w:rsidP="0087526B">
            <w:pPr>
              <w:pStyle w:val="ListBullet"/>
              <w:rPr>
                <w:lang w:val="en-NZ"/>
              </w:rPr>
            </w:pPr>
            <w:r w:rsidRPr="0087526B">
              <w:t>organisational skills, including the ability to plan and sequence work</w:t>
            </w:r>
          </w:p>
        </w:tc>
      </w:tr>
      <w:tr w:rsidTr="000C53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Required knowledge</w:t>
            </w:r>
          </w:p>
        </w:tc>
      </w:tr>
      <w:tr w:rsidTr="000C53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awareness of relevant acts and regulations impacting on payment authorisation</w:t>
            </w:r>
          </w:p>
          <w:p w:rsidR="00000000" w:rsidRPr="0087526B" w:rsidP="0087526B">
            <w:pPr>
              <w:pStyle w:val="ListBullet"/>
            </w:pPr>
            <w:r w:rsidRPr="0087526B">
              <w:t>legal systems and procedures relevant to organisation payment systems</w:t>
            </w:r>
          </w:p>
          <w:p w:rsidR="00000000" w:rsidRPr="0087526B" w:rsidP="0087526B">
            <w:pPr>
              <w:pStyle w:val="ListBullet"/>
            </w:pPr>
            <w:r w:rsidRPr="0087526B">
              <w:t>organisation policy and procedures</w:t>
            </w:r>
          </w:p>
          <w:p w:rsidR="00000000" w:rsidRPr="0087526B" w:rsidP="0087526B">
            <w:pPr>
              <w:pStyle w:val="ListBullet"/>
            </w:pPr>
            <w:r w:rsidRPr="0087526B">
              <w:t>relevant organisation and industry codes of practice</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10" w:name="O_77376"/>
      <w:bookmarkEnd w:id="10"/>
      <w:r w:rsidRPr="0087526B">
        <w:t>Evi</w:t>
      </w:r>
      <w:r w:rsidRPr="0087526B">
        <w:t>dence Guide</w:t>
      </w:r>
    </w:p>
    <w:tbl>
      <w:tblPr>
        <w:tblW w:w="9570" w:type="dxa"/>
        <w:tblLayout w:type="fixed"/>
        <w:tblCellMar>
          <w:left w:w="62" w:type="dxa"/>
          <w:right w:w="62" w:type="dxa"/>
        </w:tblCellMar>
        <w:tblLook w:val="0000"/>
      </w:tblPr>
      <w:tblGrid>
        <w:gridCol w:w="2808"/>
        <w:gridCol w:w="6762"/>
      </w:tblGrid>
      <w:tr w:rsidTr="000C53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EVIDENCE GUIDE</w:t>
            </w:r>
          </w:p>
        </w:tc>
      </w:tr>
      <w:tr w:rsidTr="000C53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t>The Evidence Guide provides advice on assessment and must be read in conjunction with the performance criteria, required skills and knowledge, range Statement and the Assessment Guidelines for the Training Package.</w:t>
            </w:r>
          </w:p>
        </w:tc>
      </w:tr>
      <w:tr w:rsidTr="000C53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p>
        </w:tc>
      </w:tr>
      <w:tr w:rsidTr="000C53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Evidence of the ability to:</w:t>
            </w:r>
          </w:p>
          <w:p w:rsidR="00000000" w:rsidRPr="0087526B" w:rsidP="0087526B">
            <w:pPr>
              <w:pStyle w:val="ListBullet"/>
            </w:pPr>
            <w:r w:rsidRPr="0087526B">
              <w:t>interpret and apply organisation policies and procedures and industry and legislative requirements for evalua</w:t>
            </w:r>
            <w:r w:rsidRPr="0087526B">
              <w:t>ting and authorising payment requests</w:t>
            </w:r>
          </w:p>
          <w:p w:rsidR="00000000" w:rsidRPr="0087526B" w:rsidP="0087526B">
            <w:pPr>
              <w:pStyle w:val="ListBullet"/>
            </w:pPr>
            <w:r w:rsidRPr="0087526B">
              <w:t>verify and validate the accuracy of payment requests and accurately prepare payment documentation</w:t>
            </w:r>
          </w:p>
          <w:p w:rsidR="00000000" w:rsidP="0087526B">
            <w:pPr>
              <w:pStyle w:val="ListBullet"/>
              <w:rPr>
                <w:lang w:val="en-NZ"/>
              </w:rPr>
            </w:pPr>
            <w:r w:rsidRPr="0087526B">
              <w:t>use sound judgement to evaluate payment requests and authorise payments.</w:t>
            </w:r>
          </w:p>
        </w:tc>
      </w:tr>
      <w:tr w:rsidTr="000C53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Assessment must ensure:</w:t>
            </w:r>
          </w:p>
          <w:p w:rsidR="00000000" w:rsidRPr="0087526B" w:rsidP="0087526B">
            <w:pPr>
              <w:pStyle w:val="ListBullet"/>
            </w:pPr>
            <w:r w:rsidRPr="0087526B">
              <w:t>competency is demonstrated in the context of the financial services work environment and conditions specified in the range statement either in a relevant workplace or a closely simul</w:t>
            </w:r>
            <w:r w:rsidRPr="0087526B">
              <w:t>ated work environment</w:t>
            </w:r>
          </w:p>
          <w:p w:rsidR="00000000" w:rsidRPr="0087526B" w:rsidP="0087526B">
            <w:pPr>
              <w:pStyle w:val="ListBullet"/>
            </w:pPr>
            <w:r w:rsidRPr="0087526B">
              <w:t>access to and the use of a range of common office equipment, technology, software and consumables</w:t>
            </w:r>
          </w:p>
          <w:p w:rsidR="00000000" w:rsidP="0087526B">
            <w:pPr>
              <w:pStyle w:val="ListBullet"/>
              <w:rPr>
                <w:lang w:val="en-NZ"/>
              </w:rPr>
            </w:pPr>
            <w:r w:rsidRPr="0087526B">
              <w:t>access to an integrated financial software system and data</w:t>
            </w:r>
          </w:p>
        </w:tc>
      </w:tr>
      <w:tr w:rsidTr="000C53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 xml:space="preserve">A range of assessment methods should be used to assess </w:t>
            </w:r>
            <w:r w:rsidRPr="0087526B">
              <w:t>practical skills and knowledge. The following examples, in combination, are appropriate for this unit:</w:t>
            </w:r>
          </w:p>
          <w:p w:rsidR="00000000" w:rsidRPr="0087526B" w:rsidP="0087526B">
            <w:pPr>
              <w:pStyle w:val="ListBullet"/>
            </w:pPr>
            <w:r w:rsidRPr="0087526B">
              <w:t>evaluating an integrated activity which combines the elements of competency for the unit or a cluster of related units of competency</w:t>
            </w:r>
          </w:p>
          <w:p w:rsidR="00000000" w:rsidRPr="0087526B" w:rsidP="0087526B">
            <w:pPr>
              <w:pStyle w:val="ListBullet"/>
            </w:pPr>
            <w:r w:rsidRPr="0087526B">
              <w:t>verbal or written q</w:t>
            </w:r>
            <w:r w:rsidRPr="0087526B">
              <w:t xml:space="preserve">uestioning on underpinning knowledge and skills </w:t>
            </w:r>
          </w:p>
          <w:p w:rsidR="00000000" w:rsidRPr="0087526B" w:rsidP="0087526B">
            <w:pPr>
              <w:pStyle w:val="ListBullet"/>
            </w:pPr>
            <w:r w:rsidRPr="0087526B">
              <w:t>evaluating samples of work</w:t>
            </w:r>
          </w:p>
          <w:p w:rsidR="00000000" w:rsidP="0087526B">
            <w:pPr>
              <w:pStyle w:val="ListBullet"/>
              <w:rPr>
                <w:lang w:val="en-NZ"/>
              </w:rPr>
            </w:pPr>
            <w:r w:rsidRPr="0087526B">
              <w:t>accessing and validating third party reports.</w:t>
            </w:r>
          </w:p>
        </w:tc>
      </w:tr>
      <w:tr w:rsidTr="000C535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11" w:name="O_77377"/>
      <w:bookmarkEnd w:id="11"/>
      <w:r w:rsidRPr="0087526B">
        <w:t>Range Statement</w:t>
      </w:r>
    </w:p>
    <w:tbl>
      <w:tblPr>
        <w:tblW w:w="0" w:type="auto"/>
        <w:tblLayout w:type="fixed"/>
        <w:tblCellMar>
          <w:left w:w="62" w:type="dxa"/>
          <w:right w:w="62" w:type="dxa"/>
        </w:tblCellMar>
        <w:tblLook w:val="0000"/>
      </w:tblPr>
      <w:tblGrid>
        <w:gridCol w:w="2532"/>
        <w:gridCol w:w="5990"/>
      </w:tblGrid>
      <w:tr w:rsidTr="000C53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RANGE STATEMENT</w:t>
            </w:r>
          </w:p>
        </w:tc>
      </w:tr>
      <w:tr w:rsidTr="000C53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t>The range Statement relates to the unit of competency as a whole. It allows for different work environments and situations that may affect performance. Bold italicised wording, if used in the performance criteria, is detailed below. Essential operating con</w:t>
            </w:r>
            <w:r w:rsidRPr="0087526B">
              <w:t>ditions that may be present with training and assessment (depending on the work situation, needs of the candidate, accessibility of the item, and local industry and regional contexts) may also be included.</w:t>
            </w:r>
          </w:p>
        </w:tc>
      </w:tr>
      <w:tr w:rsidTr="000C535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BoldandItalics"/>
              </w:rPr>
              <w:t>Payment requests</w:t>
            </w:r>
            <w:r w:rsidRPr="0087526B">
              <w:t xml:space="preserve"> may relate to:</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claims</w:t>
            </w:r>
          </w:p>
          <w:p w:rsidR="00000000" w:rsidRPr="0087526B" w:rsidP="0087526B">
            <w:pPr>
              <w:pStyle w:val="ListBullet"/>
            </w:pPr>
            <w:r w:rsidRPr="0087526B">
              <w:t>commissi</w:t>
            </w:r>
            <w:r w:rsidRPr="0087526B">
              <w:t>ons</w:t>
            </w:r>
          </w:p>
          <w:p w:rsidR="00000000" w:rsidRPr="0087526B" w:rsidP="0087526B">
            <w:pPr>
              <w:pStyle w:val="ListBullet"/>
            </w:pPr>
            <w:r w:rsidRPr="0087526B">
              <w:t>management expenses</w:t>
            </w:r>
          </w:p>
          <w:p w:rsidR="00000000" w:rsidRPr="0087526B" w:rsidP="0087526B">
            <w:pPr>
              <w:pStyle w:val="ListBullet"/>
            </w:pPr>
            <w:r w:rsidRPr="0087526B">
              <w:t>periodic payments</w:t>
            </w:r>
          </w:p>
          <w:p w:rsidR="00000000" w:rsidRPr="0087526B" w:rsidP="0087526B">
            <w:pPr>
              <w:pStyle w:val="ListBullet"/>
            </w:pPr>
            <w:r w:rsidRPr="0087526B">
              <w:t>return of premium and reinsurance premium</w:t>
            </w:r>
          </w:p>
          <w:p w:rsidR="00000000" w:rsidP="0087526B">
            <w:pPr>
              <w:pStyle w:val="ListBullet"/>
              <w:rPr>
                <w:lang w:val="en-NZ"/>
              </w:rPr>
            </w:pPr>
            <w:r w:rsidRPr="0087526B">
              <w:t>sundry expenses.</w:t>
            </w:r>
          </w:p>
        </w:tc>
      </w:tr>
      <w:tr w:rsidTr="000C535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BoldandItalics"/>
              </w:rPr>
              <w:t>Supporting documentation</w:t>
            </w:r>
            <w:r w:rsidRPr="0087526B">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cheque requisitions</w:t>
            </w:r>
          </w:p>
          <w:p w:rsidR="00000000" w:rsidRPr="0087526B" w:rsidP="0087526B">
            <w:pPr>
              <w:pStyle w:val="ListBullet"/>
            </w:pPr>
            <w:r w:rsidRPr="0087526B">
              <w:t>invoices</w:t>
            </w:r>
          </w:p>
          <w:p w:rsidR="00000000" w:rsidP="0087526B">
            <w:pPr>
              <w:pStyle w:val="ListBullet"/>
              <w:rPr>
                <w:lang w:val="en-NZ"/>
              </w:rPr>
            </w:pPr>
            <w:r w:rsidRPr="0087526B">
              <w:t>receipts.</w:t>
            </w:r>
          </w:p>
        </w:tc>
      </w:tr>
      <w:tr w:rsidTr="000C535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t xml:space="preserve">Payments </w:t>
            </w:r>
            <w:r w:rsidRPr="0087526B">
              <w:rPr>
                <w:rStyle w:val="BoldandItalics"/>
              </w:rPr>
              <w:t>coded and allocated to accounts</w:t>
            </w:r>
            <w:r w:rsidRPr="0087526B">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cost centres</w:t>
            </w:r>
          </w:p>
          <w:p w:rsidR="00000000" w:rsidRPr="0087526B" w:rsidP="0087526B">
            <w:pPr>
              <w:pStyle w:val="ListBullet"/>
            </w:pPr>
            <w:r w:rsidRPr="0087526B">
              <w:t>organisation or system chart of accounts</w:t>
            </w:r>
          </w:p>
          <w:p w:rsidR="00000000" w:rsidP="0087526B">
            <w:pPr>
              <w:pStyle w:val="ListBullet"/>
              <w:rPr>
                <w:lang w:val="en-NZ"/>
              </w:rPr>
            </w:pPr>
            <w:r w:rsidRPr="0087526B">
              <w:t>product or service allocation.</w:t>
            </w:r>
          </w:p>
        </w:tc>
      </w:tr>
      <w:tr w:rsidTr="000C535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BoldandItalics"/>
              </w:rPr>
              <w:t>Organisation policy and procedures</w:t>
            </w:r>
            <w:r w:rsidRPr="0087526B">
              <w:t xml:space="preserve"> may include: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computer system documentation</w:t>
            </w:r>
          </w:p>
          <w:p w:rsidR="00000000" w:rsidRPr="0087526B" w:rsidP="0087526B">
            <w:pPr>
              <w:pStyle w:val="ListBullet"/>
            </w:pPr>
            <w:r w:rsidRPr="0087526B">
              <w:t>internal control guidelines</w:t>
            </w:r>
          </w:p>
          <w:p w:rsidR="00000000" w:rsidP="0087526B">
            <w:pPr>
              <w:pStyle w:val="ListBullet"/>
              <w:rPr>
                <w:lang w:val="en-NZ"/>
              </w:rPr>
            </w:pPr>
            <w:r w:rsidRPr="0087526B">
              <w:t>operations manuals.</w:t>
            </w:r>
          </w:p>
        </w:tc>
      </w:tr>
      <w:tr w:rsidTr="000C5351">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BoldandItalics"/>
              </w:rPr>
              <w:t>Industry and legislative requirements</w:t>
            </w:r>
            <w:r w:rsidRPr="0087526B">
              <w:t xml:space="preserve"> may cover:</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ListBullet"/>
            </w:pPr>
            <w:r w:rsidRPr="0087526B">
              <w:t>Anti-Money Laundering and Counter Terrorism Financing Acts</w:t>
            </w:r>
          </w:p>
          <w:p w:rsidR="00000000" w:rsidRPr="0087526B" w:rsidP="0087526B">
            <w:pPr>
              <w:pStyle w:val="ListBullet"/>
            </w:pPr>
            <w:r w:rsidRPr="0087526B">
              <w:t xml:space="preserve">Australian Accounting Standards </w:t>
            </w:r>
          </w:p>
          <w:p w:rsidR="00000000" w:rsidRPr="0087526B" w:rsidP="0087526B">
            <w:pPr>
              <w:pStyle w:val="ListBullet"/>
            </w:pPr>
            <w:r w:rsidRPr="0087526B">
              <w:t>Consumer Credit Protection (Fees) Act</w:t>
            </w:r>
          </w:p>
          <w:p w:rsidR="00000000" w:rsidRPr="0087526B" w:rsidP="0087526B">
            <w:pPr>
              <w:pStyle w:val="ListBullet"/>
            </w:pPr>
            <w:r w:rsidRPr="0087526B">
              <w:t>industry code of practice</w:t>
            </w:r>
          </w:p>
          <w:p w:rsidR="00000000" w:rsidRPr="0087526B" w:rsidP="0087526B">
            <w:pPr>
              <w:pStyle w:val="ListBullet"/>
            </w:pPr>
            <w:r w:rsidRPr="0087526B">
              <w:t>Privacy Act</w:t>
            </w:r>
          </w:p>
          <w:p w:rsidR="00000000" w:rsidRPr="0087526B" w:rsidP="0087526B">
            <w:pPr>
              <w:pStyle w:val="ListBullet"/>
            </w:pPr>
            <w:r w:rsidRPr="0087526B">
              <w:t>relevant Insurance Act</w:t>
            </w:r>
          </w:p>
          <w:p w:rsidR="00000000" w:rsidRPr="0087526B" w:rsidP="0087526B">
            <w:pPr>
              <w:pStyle w:val="ListBullet"/>
            </w:pPr>
            <w:r w:rsidRPr="0087526B">
              <w:t>Stamp Duties Act</w:t>
            </w:r>
          </w:p>
          <w:p w:rsidR="00000000" w:rsidRPr="0087526B" w:rsidP="0087526B">
            <w:pPr>
              <w:pStyle w:val="ListBullet"/>
            </w:pPr>
            <w:r w:rsidRPr="0087526B">
              <w:t>Taxation Act</w:t>
            </w:r>
          </w:p>
          <w:p w:rsidR="00000000" w:rsidRPr="0087526B" w:rsidP="0087526B">
            <w:pPr>
              <w:pStyle w:val="ListBullet"/>
            </w:pPr>
            <w:r w:rsidRPr="0087526B">
              <w:t>Trade Practices Act.</w:t>
            </w:r>
          </w:p>
        </w:tc>
      </w:tr>
    </w:tbl>
    <w:p w:rsidR="000C5351" w:rsidP="0087526B">
      <w:pPr>
        <w:pStyle w:val="BodyText"/>
      </w:pPr>
    </w:p>
    <w:p w:rsidR="000C5351" w:rsidP="0087526B">
      <w:pPr>
        <w:pStyle w:val="BodyText"/>
      </w:pPr>
    </w:p>
    <w:p w:rsidR="00000000" w:rsidRPr="0087526B" w:rsidP="0087526B">
      <w:pPr>
        <w:pStyle w:val="Heading1"/>
      </w:pPr>
      <w:bookmarkStart w:id="12" w:name="O_77378"/>
      <w:bookmarkEnd w:id="12"/>
      <w:r w:rsidRPr="0087526B">
        <w:t>Unit Sector(s)</w:t>
      </w:r>
    </w:p>
    <w:tbl>
      <w:tblPr>
        <w:tblW w:w="0" w:type="auto"/>
        <w:tblLayout w:type="fixed"/>
        <w:tblCellMar>
          <w:left w:w="62" w:type="dxa"/>
          <w:right w:w="62" w:type="dxa"/>
        </w:tblCellMar>
        <w:tblLook w:val="0000"/>
      </w:tblPr>
      <w:tblGrid>
        <w:gridCol w:w="2600"/>
        <w:gridCol w:w="5922"/>
      </w:tblGrid>
      <w:tr w:rsidTr="000C5351">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r w:rsidRPr="0087526B">
              <w:t>Account management</w:t>
            </w:r>
          </w:p>
        </w:tc>
      </w:tr>
    </w:tbl>
    <w:p w:rsidR="00000000" w:rsidRPr="0087526B" w:rsidP="0087526B">
      <w:pPr>
        <w:pStyle w:val="BodyText"/>
      </w:pPr>
    </w:p>
    <w:p w:rsidR="00000000" w:rsidRPr="0087526B" w:rsidP="0087526B">
      <w:pPr>
        <w:pStyle w:val="AllowPageBreak"/>
      </w:pPr>
    </w:p>
    <w:p w:rsidR="00000000" w:rsidRPr="0087526B" w:rsidP="0087526B">
      <w:pPr>
        <w:pStyle w:val="Heading1"/>
      </w:pPr>
      <w:bookmarkStart w:id="13" w:name="O_156130"/>
      <w:bookmarkEnd w:id="13"/>
      <w:r w:rsidRPr="0087526B">
        <w:t>Competency field</w:t>
      </w:r>
    </w:p>
    <w:tbl>
      <w:tblPr>
        <w:tblW w:w="0" w:type="auto"/>
        <w:tblLayout w:type="fixed"/>
        <w:tblCellMar>
          <w:left w:w="62" w:type="dxa"/>
          <w:right w:w="62" w:type="dxa"/>
        </w:tblCellMar>
        <w:tblLook w:val="0000"/>
      </w:tblPr>
      <w:tblGrid>
        <w:gridCol w:w="2754"/>
        <w:gridCol w:w="5768"/>
      </w:tblGrid>
      <w:tr w:rsidTr="000C535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526B">
            <w:pPr>
              <w:pStyle w:val="BodyText"/>
              <w:rPr>
                <w:lang w:val="en-NZ"/>
              </w:rPr>
            </w:pPr>
            <w:r w:rsidRPr="0087526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526B" w:rsidP="0087526B">
            <w:pPr>
              <w:pStyle w:val="BodyText"/>
            </w:pPr>
          </w:p>
        </w:tc>
      </w:tr>
    </w:tbl>
    <w:p w:rsidR="00000000" w:rsidRPr="0087526B" w:rsidP="0087526B">
      <w:pPr>
        <w:pStyle w:val="BodyText"/>
      </w:pPr>
    </w:p>
    <w:p w:rsidR="00000000" w:rsidRPr="0087526B" w:rsidP="0087526B"/>
    <w:sectPr w:rsidSect="00875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351" w:rsidP="000C53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351" w:rsidP="00875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5351" w:rsidP="008752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5351" w:rsidP="008752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351" w:rsidP="000C53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351" w:rsidP="0087526B">
    <w:pPr>
      <w:pStyle w:val="Header"/>
      <w:framePr w:wrap="around"/>
    </w:pPr>
    <w:r>
      <w:fldChar w:fldCharType="begin"/>
    </w:r>
    <w:r>
      <w:instrText xml:space="preserve"> TITLE   \* MERGEFORMAT </w:instrText>
    </w:r>
    <w:r>
      <w:fldChar w:fldCharType="separate"/>
    </w:r>
    <w:r>
      <w:t>FNSACM401A Evaluate and authorise payment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5351" w:rsidP="008752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25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C3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01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2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526B"/>
    <w:pPr>
      <w:spacing w:before="360" w:after="60"/>
      <w:outlineLvl w:val="0"/>
    </w:pPr>
    <w:rPr>
      <w:sz w:val="32"/>
    </w:rPr>
  </w:style>
  <w:style w:type="paragraph" w:styleId="Heading2">
    <w:name w:val="heading 2"/>
    <w:basedOn w:val="HeadingBase"/>
    <w:next w:val="BodyText"/>
    <w:link w:val="Heading2Char"/>
    <w:qFormat/>
    <w:rsid w:val="0087526B"/>
    <w:pPr>
      <w:keepLines/>
      <w:spacing w:before="240" w:after="120"/>
      <w:outlineLvl w:val="1"/>
    </w:pPr>
    <w:rPr>
      <w:sz w:val="28"/>
      <w:szCs w:val="40"/>
    </w:rPr>
  </w:style>
  <w:style w:type="paragraph" w:styleId="Heading3">
    <w:name w:val="heading 3"/>
    <w:basedOn w:val="HeadingBase"/>
    <w:next w:val="BodyText"/>
    <w:link w:val="Heading3Char"/>
    <w:qFormat/>
    <w:rsid w:val="0087526B"/>
    <w:pPr>
      <w:spacing w:before="180" w:after="120"/>
      <w:outlineLvl w:val="2"/>
    </w:pPr>
    <w:rPr>
      <w:spacing w:val="-10"/>
      <w:kern w:val="32"/>
    </w:rPr>
  </w:style>
  <w:style w:type="paragraph" w:styleId="Heading4">
    <w:name w:val="heading 4"/>
    <w:basedOn w:val="HeadingBase"/>
    <w:next w:val="BodyText"/>
    <w:link w:val="Heading4Char"/>
    <w:qFormat/>
    <w:rsid w:val="0087526B"/>
    <w:pPr>
      <w:spacing w:before="160" w:after="120"/>
      <w:outlineLvl w:val="3"/>
    </w:pPr>
    <w:rPr>
      <w:sz w:val="22"/>
    </w:rPr>
  </w:style>
  <w:style w:type="paragraph" w:styleId="Heading5">
    <w:name w:val="heading 5"/>
    <w:basedOn w:val="HeadingBase"/>
    <w:next w:val="Normal"/>
    <w:link w:val="Heading5Char"/>
    <w:qFormat/>
    <w:rsid w:val="0087526B"/>
    <w:pPr>
      <w:spacing w:before="80"/>
      <w:outlineLvl w:val="4"/>
    </w:pPr>
    <w:rPr>
      <w:color w:val="918585"/>
      <w:sz w:val="20"/>
    </w:rPr>
  </w:style>
  <w:style w:type="paragraph" w:styleId="Heading6">
    <w:name w:val="heading 6"/>
    <w:basedOn w:val="HeadingBase"/>
    <w:next w:val="Normal"/>
    <w:link w:val="Heading6Char"/>
    <w:qFormat/>
    <w:rsid w:val="0087526B"/>
    <w:pPr>
      <w:spacing w:before="60"/>
      <w:outlineLvl w:val="5"/>
    </w:pPr>
    <w:rPr>
      <w:color w:val="918585"/>
      <w:sz w:val="20"/>
    </w:rPr>
  </w:style>
  <w:style w:type="paragraph" w:styleId="Heading7">
    <w:name w:val="heading 7"/>
    <w:basedOn w:val="Normal"/>
    <w:next w:val="Normal"/>
    <w:link w:val="Heading7Char"/>
    <w:qFormat/>
    <w:rsid w:val="0087526B"/>
    <w:pPr>
      <w:ind w:left="720"/>
      <w:outlineLvl w:val="6"/>
    </w:pPr>
    <w:rPr>
      <w:i/>
    </w:rPr>
  </w:style>
  <w:style w:type="paragraph" w:styleId="Heading8">
    <w:name w:val="heading 8"/>
    <w:basedOn w:val="Normal"/>
    <w:next w:val="Normal"/>
    <w:link w:val="Heading8Char"/>
    <w:qFormat/>
    <w:rsid w:val="0087526B"/>
    <w:pPr>
      <w:ind w:left="720"/>
      <w:outlineLvl w:val="7"/>
    </w:pPr>
    <w:rPr>
      <w:i/>
    </w:rPr>
  </w:style>
  <w:style w:type="paragraph" w:styleId="Heading9">
    <w:name w:val="heading 9"/>
    <w:basedOn w:val="Normal"/>
    <w:next w:val="Normal"/>
    <w:link w:val="Heading9Char"/>
    <w:qFormat/>
    <w:rsid w:val="0087526B"/>
    <w:pPr>
      <w:ind w:left="720"/>
      <w:outlineLvl w:val="8"/>
    </w:pPr>
    <w:rPr>
      <w:i/>
    </w:rPr>
  </w:style>
  <w:style w:type="character" w:default="1" w:styleId="DefaultParagraphFont">
    <w:name w:val="Default Paragraph Font"/>
    <w:uiPriority w:val="1"/>
    <w:unhideWhenUsed/>
    <w:rsid w:val="00875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26B"/>
  </w:style>
  <w:style w:type="character" w:customStyle="1" w:styleId="Heading1Char">
    <w:name w:val="Heading 1 Char"/>
    <w:basedOn w:val="DefaultParagraphFont"/>
    <w:link w:val="Heading1"/>
    <w:rsid w:val="0087526B"/>
    <w:rPr>
      <w:rFonts w:ascii="Times New Roman" w:eastAsia="Times New Roman" w:hAnsi="Times New Roman" w:cs="Times New Roman"/>
      <w:b/>
      <w:sz w:val="32"/>
      <w:szCs w:val="20"/>
      <w:lang w:eastAsia="en-US"/>
    </w:rPr>
  </w:style>
  <w:style w:type="paragraph" w:styleId="BodyText">
    <w:name w:val="Body Text"/>
    <w:basedOn w:val="Normal"/>
    <w:link w:val="BodyTextChar"/>
    <w:rsid w:val="00875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526B"/>
    <w:rPr>
      <w:rFonts w:ascii="Times New Roman" w:eastAsia="Times New Roman" w:hAnsi="Times New Roman" w:cs="Times New Roman"/>
      <w:sz w:val="24"/>
      <w:lang w:val="en-US" w:eastAsia="en-US"/>
    </w:rPr>
  </w:style>
  <w:style w:type="paragraph" w:styleId="Footer">
    <w:name w:val="footer"/>
    <w:basedOn w:val="Normal"/>
    <w:link w:val="FooterChar"/>
    <w:rsid w:val="00875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26B"/>
    <w:rPr>
      <w:rFonts w:ascii="Times New Roman" w:eastAsia="Times New Roman" w:hAnsi="Times New Roman" w:cs="Times New Roman"/>
      <w:sz w:val="16"/>
      <w:lang w:val="en-US" w:eastAsia="en-US"/>
    </w:rPr>
  </w:style>
  <w:style w:type="paragraph" w:styleId="List">
    <w:name w:val="List"/>
    <w:basedOn w:val="BodyText"/>
    <w:next w:val="BodyText"/>
    <w:rsid w:val="0087526B"/>
    <w:pPr>
      <w:tabs>
        <w:tab w:val="left" w:pos="340"/>
      </w:tabs>
      <w:spacing w:before="60" w:after="60"/>
      <w:ind w:left="340" w:hanging="340"/>
    </w:pPr>
  </w:style>
  <w:style w:type="paragraph" w:styleId="ListBullet">
    <w:name w:val="List Bullet"/>
    <w:basedOn w:val="List"/>
    <w:rsid w:val="0087526B"/>
    <w:pPr>
      <w:numPr>
        <w:numId w:val="13"/>
      </w:numPr>
      <w:tabs>
        <w:tab w:val="clear" w:pos="340"/>
      </w:tabs>
      <w:spacing w:before="40" w:after="40"/>
    </w:pPr>
  </w:style>
  <w:style w:type="character" w:customStyle="1" w:styleId="SpecialBold">
    <w:name w:val="Special Bold"/>
    <w:basedOn w:val="DefaultParagraphFont"/>
    <w:rsid w:val="0087526B"/>
    <w:rPr>
      <w:b/>
      <w:spacing w:val="0"/>
    </w:rPr>
  </w:style>
  <w:style w:type="paragraph" w:styleId="ListBullet2">
    <w:name w:val="List Bullet 2"/>
    <w:basedOn w:val="List2"/>
    <w:rsid w:val="0087526B"/>
    <w:pPr>
      <w:numPr>
        <w:numId w:val="14"/>
      </w:numPr>
      <w:tabs>
        <w:tab w:val="clear" w:pos="680"/>
      </w:tabs>
    </w:pPr>
  </w:style>
  <w:style w:type="paragraph" w:styleId="Header">
    <w:name w:val="header"/>
    <w:basedOn w:val="Normal"/>
    <w:link w:val="HeaderChar"/>
    <w:rsid w:val="00875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2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526B"/>
    <w:pPr>
      <w:spacing w:before="240" w:after="120"/>
      <w:outlineLvl w:val="0"/>
    </w:pPr>
    <w:rPr>
      <w:rFonts w:ascii="Times New Roman" w:hAnsi="Times New Roman"/>
      <w:b/>
      <w:sz w:val="28"/>
    </w:rPr>
  </w:style>
  <w:style w:type="paragraph" w:customStyle="1" w:styleId="AllowPageBreak">
    <w:name w:val="AllowPageBreak"/>
    <w:rsid w:val="00875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526B"/>
    <w:pPr>
      <w:tabs>
        <w:tab w:val="left" w:pos="680"/>
      </w:tabs>
      <w:spacing w:before="60" w:after="60"/>
      <w:ind w:left="680" w:hanging="340"/>
    </w:pPr>
  </w:style>
  <w:style w:type="character" w:customStyle="1" w:styleId="BoldandItalics">
    <w:name w:val="Bold and Italics"/>
    <w:qFormat/>
    <w:rsid w:val="0087526B"/>
    <w:rPr>
      <w:b/>
      <w:i/>
      <w:u w:val="none"/>
    </w:rPr>
  </w:style>
  <w:style w:type="character" w:customStyle="1" w:styleId="Heading2Char">
    <w:name w:val="Heading 2 Char"/>
    <w:basedOn w:val="DefaultParagraphFont"/>
    <w:link w:val="Heading2"/>
    <w:rsid w:val="00875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2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52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526B"/>
    <w:rPr>
      <w:rFonts w:ascii="Courier New" w:eastAsia="Times New Roman" w:hAnsi="Courier New" w:cs="Times New Roman"/>
      <w:i/>
      <w:szCs w:val="20"/>
      <w:lang w:val="en-US" w:eastAsia="en-US"/>
    </w:rPr>
  </w:style>
  <w:style w:type="paragraph" w:customStyle="1" w:styleId="HeadingBase">
    <w:name w:val="Heading Base"/>
    <w:rsid w:val="00875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26B"/>
    <w:pPr>
      <w:tabs>
        <w:tab w:val="right" w:leader="dot" w:pos="9072"/>
      </w:tabs>
      <w:ind w:left="567"/>
    </w:pPr>
    <w:rPr>
      <w:szCs w:val="22"/>
    </w:rPr>
  </w:style>
  <w:style w:type="paragraph" w:customStyle="1" w:styleId="TOCBase">
    <w:name w:val="TOC Base"/>
    <w:rsid w:val="00875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26B"/>
    <w:pPr>
      <w:tabs>
        <w:tab w:val="right" w:leader="dot" w:pos="9072"/>
      </w:tabs>
      <w:spacing w:before="40" w:after="40"/>
      <w:ind w:left="284"/>
    </w:pPr>
    <w:rPr>
      <w:rFonts w:ascii="Times New Roman" w:hAnsi="Times New Roman"/>
    </w:rPr>
  </w:style>
  <w:style w:type="paragraph" w:styleId="TOC1">
    <w:name w:val="toc 1"/>
    <w:basedOn w:val="TOCBase"/>
    <w:next w:val="Normal"/>
    <w:rsid w:val="008752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526B"/>
    <w:pPr>
      <w:spacing w:before="5040"/>
      <w:jc w:val="center"/>
    </w:pPr>
    <w:rPr>
      <w:sz w:val="48"/>
      <w:szCs w:val="72"/>
      <w:lang w:val="en-US"/>
    </w:rPr>
  </w:style>
  <w:style w:type="character" w:customStyle="1" w:styleId="TitleChar">
    <w:name w:val="Title Char"/>
    <w:basedOn w:val="DefaultParagraphFont"/>
    <w:link w:val="Title"/>
    <w:rsid w:val="00875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26B"/>
    <w:pPr>
      <w:tabs>
        <w:tab w:val="left" w:pos="3600"/>
        <w:tab w:val="left" w:pos="3958"/>
      </w:tabs>
    </w:pPr>
  </w:style>
  <w:style w:type="paragraph" w:customStyle="1" w:styleId="Note">
    <w:name w:val="Note"/>
    <w:basedOn w:val="BodyText"/>
    <w:rsid w:val="00875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26B"/>
    <w:pPr>
      <w:framePr w:wrap="auto" w:hAnchor="text" w:y="6049"/>
    </w:pPr>
    <w:rPr>
      <w:color w:val="000000"/>
      <w:sz w:val="40"/>
    </w:rPr>
  </w:style>
  <w:style w:type="paragraph" w:customStyle="1" w:styleId="TOCTitle">
    <w:name w:val="TOCTitle"/>
    <w:basedOn w:val="Heading1"/>
    <w:rsid w:val="0087526B"/>
    <w:pPr>
      <w:spacing w:after="240"/>
      <w:jc w:val="center"/>
      <w:outlineLvl w:val="9"/>
    </w:pPr>
    <w:rPr>
      <w:caps/>
    </w:rPr>
  </w:style>
  <w:style w:type="paragraph" w:customStyle="1" w:styleId="Version">
    <w:name w:val="Version"/>
    <w:rsid w:val="00875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26B"/>
    <w:pPr>
      <w:keepNext w:val="0"/>
      <w:tabs>
        <w:tab w:val="right" w:pos="4176"/>
      </w:tabs>
      <w:ind w:left="198" w:hanging="198"/>
    </w:pPr>
    <w:rPr>
      <w:rFonts w:ascii="Garamond" w:hAnsi="Garamond"/>
    </w:rPr>
  </w:style>
  <w:style w:type="paragraph" w:styleId="IndexHeading">
    <w:name w:val="index heading"/>
    <w:basedOn w:val="Normal"/>
    <w:next w:val="Index1"/>
    <w:semiHidden/>
    <w:rsid w:val="0087526B"/>
    <w:pPr>
      <w:spacing w:before="120" w:after="120"/>
    </w:pPr>
    <w:rPr>
      <w:rFonts w:ascii="Arial" w:hAnsi="Arial"/>
      <w:b/>
      <w:color w:val="918585"/>
      <w:sz w:val="24"/>
    </w:rPr>
  </w:style>
  <w:style w:type="paragraph" w:customStyle="1" w:styleId="Chapter">
    <w:name w:val="Chapter"/>
    <w:basedOn w:val="Normal"/>
    <w:rsid w:val="0087526B"/>
    <w:pPr>
      <w:spacing w:before="240"/>
    </w:pPr>
    <w:rPr>
      <w:rFonts w:ascii="Times New Roman" w:hAnsi="Times New Roman"/>
      <w:smallCaps/>
      <w:spacing w:val="80"/>
      <w:sz w:val="28"/>
    </w:rPr>
  </w:style>
  <w:style w:type="paragraph" w:customStyle="1" w:styleId="InChapter">
    <w:name w:val="InChapter"/>
    <w:basedOn w:val="Heading3"/>
    <w:rsid w:val="0087526B"/>
    <w:pPr>
      <w:spacing w:after="240"/>
      <w:outlineLvl w:val="9"/>
    </w:pPr>
    <w:rPr>
      <w:noProof/>
    </w:rPr>
  </w:style>
  <w:style w:type="paragraph" w:styleId="Index2">
    <w:name w:val="index 2"/>
    <w:basedOn w:val="Normal"/>
    <w:next w:val="Normal"/>
    <w:semiHidden/>
    <w:rsid w:val="0087526B"/>
    <w:pPr>
      <w:tabs>
        <w:tab w:val="right" w:pos="4176"/>
      </w:tabs>
      <w:ind w:left="568" w:hanging="284"/>
    </w:pPr>
    <w:rPr>
      <w:rFonts w:ascii="Garamond" w:hAnsi="Garamond"/>
    </w:rPr>
  </w:style>
  <w:style w:type="paragraph" w:customStyle="1" w:styleId="Byline">
    <w:name w:val="Byline"/>
    <w:rsid w:val="00875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26B"/>
    <w:pPr>
      <w:tabs>
        <w:tab w:val="clear" w:pos="3600"/>
        <w:tab w:val="clear" w:pos="3958"/>
      </w:tabs>
      <w:jc w:val="right"/>
    </w:pPr>
  </w:style>
  <w:style w:type="character" w:styleId="Emphasis">
    <w:name w:val="Emphasis"/>
    <w:basedOn w:val="DefaultParagraphFont"/>
    <w:qFormat/>
    <w:rsid w:val="0087526B"/>
    <w:rPr>
      <w:i/>
    </w:rPr>
  </w:style>
  <w:style w:type="paragraph" w:styleId="Caption">
    <w:name w:val="caption"/>
    <w:basedOn w:val="BodyText"/>
    <w:next w:val="Normal"/>
    <w:qFormat/>
    <w:rsid w:val="0087526B"/>
    <w:pPr>
      <w:framePr w:w="2268" w:hSpace="181" w:vSpace="181" w:wrap="around" w:vAnchor="text" w:hAnchor="page" w:x="1135" w:y="285" w:anchorLock="1"/>
    </w:pPr>
    <w:rPr>
      <w:i/>
    </w:rPr>
  </w:style>
  <w:style w:type="paragraph" w:customStyle="1" w:styleId="MiniTOCTitle">
    <w:name w:val="MiniTOCTitle"/>
    <w:basedOn w:val="Heading4"/>
    <w:rsid w:val="0087526B"/>
    <w:pPr>
      <w:spacing w:before="240"/>
      <w:outlineLvl w:val="9"/>
    </w:pPr>
    <w:rPr>
      <w:noProof/>
      <w:sz w:val="24"/>
    </w:rPr>
  </w:style>
  <w:style w:type="paragraph" w:customStyle="1" w:styleId="MiniTOCItem">
    <w:name w:val="MiniTOCItem"/>
    <w:basedOn w:val="ListBullet"/>
    <w:rsid w:val="0087526B"/>
    <w:pPr>
      <w:numPr>
        <w:numId w:val="0"/>
      </w:numPr>
      <w:tabs>
        <w:tab w:val="right" w:leader="dot" w:pos="6521"/>
      </w:tabs>
      <w:spacing w:before="0" w:after="0"/>
    </w:pPr>
  </w:style>
  <w:style w:type="paragraph" w:customStyle="1" w:styleId="TOFTitle">
    <w:name w:val="TOFTitle"/>
    <w:basedOn w:val="TOCTitle"/>
    <w:rsid w:val="0087526B"/>
  </w:style>
  <w:style w:type="paragraph" w:styleId="TableofFigures">
    <w:name w:val="table of figures"/>
    <w:basedOn w:val="Normal"/>
    <w:next w:val="Normal"/>
    <w:semiHidden/>
    <w:rsid w:val="0087526B"/>
    <w:pPr>
      <w:tabs>
        <w:tab w:val="right" w:leader="dot" w:pos="9072"/>
      </w:tabs>
      <w:ind w:left="970" w:hanging="403"/>
    </w:pPr>
    <w:rPr>
      <w:rFonts w:ascii="Times New Roman" w:hAnsi="Times New Roman"/>
      <w:b/>
    </w:rPr>
  </w:style>
  <w:style w:type="paragraph" w:styleId="ListNumber">
    <w:name w:val="List Number"/>
    <w:basedOn w:val="List"/>
    <w:rsid w:val="0087526B"/>
    <w:pPr>
      <w:numPr>
        <w:numId w:val="11"/>
      </w:numPr>
    </w:pPr>
  </w:style>
  <w:style w:type="character" w:customStyle="1" w:styleId="WingdingSymbols">
    <w:name w:val="Wingding Symbols"/>
    <w:rsid w:val="0087526B"/>
    <w:rPr>
      <w:rFonts w:ascii="Wingdings" w:hAnsi="Wingdings"/>
    </w:rPr>
  </w:style>
  <w:style w:type="paragraph" w:customStyle="1" w:styleId="TableHeading">
    <w:name w:val="Table Heading"/>
    <w:basedOn w:val="HeadingBase"/>
    <w:rsid w:val="0087526B"/>
    <w:pPr>
      <w:keepLines/>
      <w:pBdr>
        <w:bottom w:val="single" w:sz="6" w:space="1" w:color="918585"/>
      </w:pBdr>
      <w:spacing w:before="240"/>
    </w:pPr>
  </w:style>
  <w:style w:type="character" w:customStyle="1" w:styleId="HotSpot">
    <w:name w:val="HotSpot"/>
    <w:rsid w:val="0087526B"/>
    <w:rPr>
      <w:color w:val="0033CC"/>
      <w:u w:val="none"/>
    </w:rPr>
  </w:style>
  <w:style w:type="paragraph" w:customStyle="1" w:styleId="BodyTextRight">
    <w:name w:val="Body Text Right"/>
    <w:basedOn w:val="BodyText"/>
    <w:rsid w:val="0087526B"/>
    <w:pPr>
      <w:spacing w:before="0" w:after="0"/>
      <w:jc w:val="right"/>
    </w:pPr>
  </w:style>
  <w:style w:type="paragraph" w:styleId="Index3">
    <w:name w:val="index 3"/>
    <w:basedOn w:val="ListNumber2"/>
    <w:next w:val="Normal"/>
    <w:semiHidden/>
    <w:rsid w:val="0087526B"/>
    <w:pPr>
      <w:numPr>
        <w:numId w:val="0"/>
      </w:numPr>
      <w:tabs>
        <w:tab w:val="right" w:leader="dot" w:pos="4176"/>
      </w:tabs>
    </w:pPr>
  </w:style>
  <w:style w:type="paragraph" w:styleId="ListNumber2">
    <w:name w:val="List Number 2"/>
    <w:basedOn w:val="List2"/>
    <w:rsid w:val="0087526B"/>
    <w:pPr>
      <w:numPr>
        <w:numId w:val="10"/>
      </w:numPr>
      <w:tabs>
        <w:tab w:val="clear" w:pos="1060"/>
      </w:tabs>
    </w:pPr>
  </w:style>
  <w:style w:type="paragraph" w:customStyle="1" w:styleId="MarginNote">
    <w:name w:val="Margin Note"/>
    <w:basedOn w:val="BodyText"/>
    <w:rsid w:val="00875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2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526B"/>
    <w:rPr>
      <w:sz w:val="32"/>
    </w:rPr>
  </w:style>
  <w:style w:type="paragraph" w:customStyle="1" w:styleId="HeadingProcedure">
    <w:name w:val="Heading Procedure"/>
    <w:basedOn w:val="HeadingBase"/>
    <w:next w:val="Normal"/>
    <w:rsid w:val="0087526B"/>
    <w:pPr>
      <w:tabs>
        <w:tab w:val="left" w:pos="0"/>
      </w:tabs>
      <w:spacing w:before="120" w:after="60"/>
    </w:pPr>
    <w:rPr>
      <w:i/>
      <w:color w:val="918585"/>
      <w:sz w:val="22"/>
    </w:rPr>
  </w:style>
  <w:style w:type="paragraph" w:customStyle="1" w:styleId="TableBodyText">
    <w:name w:val="Table Body Text"/>
    <w:basedOn w:val="BodyText"/>
    <w:rsid w:val="0087526B"/>
    <w:pPr>
      <w:spacing w:before="60" w:after="60"/>
    </w:pPr>
  </w:style>
  <w:style w:type="paragraph" w:styleId="ListContinue">
    <w:name w:val="List Continue"/>
    <w:basedOn w:val="List"/>
    <w:rsid w:val="0087526B"/>
    <w:pPr>
      <w:ind w:firstLine="0"/>
    </w:pPr>
  </w:style>
  <w:style w:type="paragraph" w:customStyle="1" w:styleId="ListNote">
    <w:name w:val="List Note"/>
    <w:basedOn w:val="List"/>
    <w:rsid w:val="0087526B"/>
    <w:pPr>
      <w:pBdr>
        <w:top w:val="single" w:sz="6" w:space="2" w:color="918585"/>
        <w:bottom w:val="single" w:sz="6" w:space="2" w:color="918585"/>
      </w:pBdr>
      <w:tabs>
        <w:tab w:val="left" w:pos="1021"/>
      </w:tabs>
      <w:ind w:firstLine="0"/>
    </w:pPr>
  </w:style>
  <w:style w:type="paragraph" w:customStyle="1" w:styleId="Warning">
    <w:name w:val="Warning"/>
    <w:basedOn w:val="BodyText"/>
    <w:rsid w:val="0087526B"/>
    <w:pPr>
      <w:shd w:val="clear" w:color="auto" w:fill="D9D9D9"/>
      <w:tabs>
        <w:tab w:val="left" w:pos="992"/>
      </w:tabs>
      <w:ind w:left="119" w:right="119"/>
    </w:pPr>
    <w:rPr>
      <w:sz w:val="20"/>
    </w:rPr>
  </w:style>
  <w:style w:type="paragraph" w:customStyle="1" w:styleId="MarginIcons">
    <w:name w:val="Margin Icons"/>
    <w:basedOn w:val="BodyText"/>
    <w:rsid w:val="00875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26B"/>
    <w:rPr>
      <w:rFonts w:ascii="Courier New" w:hAnsi="Courier New"/>
    </w:rPr>
  </w:style>
  <w:style w:type="paragraph" w:customStyle="1" w:styleId="NoteBullet">
    <w:name w:val="Note Bullet"/>
    <w:basedOn w:val="Note"/>
    <w:rsid w:val="0087526B"/>
    <w:pPr>
      <w:tabs>
        <w:tab w:val="clear" w:pos="680"/>
      </w:tabs>
      <w:spacing w:before="60" w:after="60"/>
    </w:pPr>
  </w:style>
  <w:style w:type="paragraph" w:customStyle="1" w:styleId="SubHeading2">
    <w:name w:val="SubHeading2"/>
    <w:basedOn w:val="HeadingBase"/>
    <w:rsid w:val="0087526B"/>
    <w:pPr>
      <w:spacing w:before="240" w:after="60"/>
    </w:pPr>
    <w:rPr>
      <w:sz w:val="20"/>
    </w:rPr>
  </w:style>
  <w:style w:type="paragraph" w:customStyle="1" w:styleId="SubHeading1">
    <w:name w:val="SubHeading1"/>
    <w:basedOn w:val="HeadingBase"/>
    <w:rsid w:val="0087526B"/>
    <w:pPr>
      <w:spacing w:before="240" w:after="60"/>
    </w:pPr>
    <w:rPr>
      <w:color w:val="918585"/>
      <w:sz w:val="22"/>
    </w:rPr>
  </w:style>
  <w:style w:type="paragraph" w:customStyle="1" w:styleId="SideHeading">
    <w:name w:val="Side Heading"/>
    <w:basedOn w:val="HeadingBase"/>
    <w:rsid w:val="00875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26B"/>
    <w:pPr>
      <w:numPr>
        <w:numId w:val="12"/>
      </w:numPr>
    </w:pPr>
  </w:style>
  <w:style w:type="paragraph" w:styleId="PlainText">
    <w:name w:val="Plain Text"/>
    <w:basedOn w:val="Normal"/>
    <w:link w:val="PlainTextChar"/>
    <w:rsid w:val="0087526B"/>
    <w:rPr>
      <w:sz w:val="20"/>
    </w:rPr>
  </w:style>
  <w:style w:type="character" w:customStyle="1" w:styleId="PlainTextChar">
    <w:name w:val="Plain Text Char"/>
    <w:basedOn w:val="DefaultParagraphFont"/>
    <w:link w:val="PlainText"/>
    <w:rsid w:val="008752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526B"/>
    <w:rPr>
      <w:b/>
      <w:smallCaps/>
    </w:rPr>
  </w:style>
  <w:style w:type="paragraph" w:customStyle="1" w:styleId="TableListNumber">
    <w:name w:val="Table List Number"/>
    <w:basedOn w:val="ListNumber"/>
    <w:rsid w:val="0087526B"/>
    <w:pPr>
      <w:numPr>
        <w:numId w:val="0"/>
      </w:numPr>
    </w:pPr>
  </w:style>
  <w:style w:type="paragraph" w:styleId="TOC4">
    <w:name w:val="toc 4"/>
    <w:basedOn w:val="TOCBase"/>
    <w:next w:val="Normal"/>
    <w:semiHidden/>
    <w:rsid w:val="0087526B"/>
    <w:pPr>
      <w:tabs>
        <w:tab w:val="right" w:leader="dot" w:pos="9071"/>
      </w:tabs>
      <w:ind w:left="1701"/>
    </w:pPr>
  </w:style>
  <w:style w:type="paragraph" w:customStyle="1" w:styleId="ListAlpha">
    <w:name w:val="List Alpha"/>
    <w:basedOn w:val="List"/>
    <w:rsid w:val="0087526B"/>
    <w:pPr>
      <w:numPr>
        <w:numId w:val="9"/>
      </w:numPr>
    </w:pPr>
  </w:style>
  <w:style w:type="paragraph" w:customStyle="1" w:styleId="ListAlpha2">
    <w:name w:val="List Alpha 2"/>
    <w:basedOn w:val="List2"/>
    <w:rsid w:val="0087526B"/>
    <w:pPr>
      <w:numPr>
        <w:numId w:val="8"/>
      </w:numPr>
    </w:pPr>
  </w:style>
  <w:style w:type="paragraph" w:styleId="List3">
    <w:name w:val="List 3"/>
    <w:basedOn w:val="BodyText"/>
    <w:rsid w:val="0087526B"/>
    <w:pPr>
      <w:tabs>
        <w:tab w:val="left" w:pos="1021"/>
      </w:tabs>
      <w:spacing w:before="60" w:after="60"/>
      <w:ind w:left="1020" w:hanging="340"/>
    </w:pPr>
  </w:style>
  <w:style w:type="paragraph" w:styleId="List4">
    <w:name w:val="List 4"/>
    <w:basedOn w:val="BodyText"/>
    <w:rsid w:val="0087526B"/>
    <w:pPr>
      <w:tabs>
        <w:tab w:val="left" w:pos="1361"/>
      </w:tabs>
      <w:spacing w:before="60" w:after="60"/>
      <w:ind w:left="1361" w:hanging="340"/>
    </w:pPr>
  </w:style>
  <w:style w:type="paragraph" w:styleId="List5">
    <w:name w:val="List 5"/>
    <w:basedOn w:val="BodyText"/>
    <w:rsid w:val="0087526B"/>
    <w:pPr>
      <w:tabs>
        <w:tab w:val="left" w:pos="1701"/>
      </w:tabs>
      <w:spacing w:before="60" w:after="60"/>
      <w:ind w:left="1701" w:hanging="340"/>
    </w:pPr>
  </w:style>
  <w:style w:type="paragraph" w:styleId="ListBullet3">
    <w:name w:val="List Bullet 3"/>
    <w:basedOn w:val="List3"/>
    <w:rsid w:val="0087526B"/>
    <w:pPr>
      <w:numPr>
        <w:numId w:val="15"/>
      </w:numPr>
      <w:tabs>
        <w:tab w:val="clear" w:pos="1021"/>
      </w:tabs>
      <w:ind w:left="1037" w:hanging="357"/>
    </w:pPr>
  </w:style>
  <w:style w:type="paragraph" w:styleId="ListBullet4">
    <w:name w:val="List Bullet 4"/>
    <w:basedOn w:val="List4"/>
    <w:rsid w:val="0087526B"/>
    <w:pPr>
      <w:numPr>
        <w:numId w:val="3"/>
      </w:numPr>
    </w:pPr>
  </w:style>
  <w:style w:type="paragraph" w:styleId="ListBullet5">
    <w:name w:val="List Bullet 5"/>
    <w:basedOn w:val="List5"/>
    <w:rsid w:val="0087526B"/>
    <w:pPr>
      <w:numPr>
        <w:numId w:val="4"/>
      </w:numPr>
    </w:pPr>
  </w:style>
  <w:style w:type="paragraph" w:styleId="ListContinue2">
    <w:name w:val="List Continue 2"/>
    <w:basedOn w:val="List2"/>
    <w:rsid w:val="0087526B"/>
    <w:pPr>
      <w:ind w:firstLine="0"/>
    </w:pPr>
  </w:style>
  <w:style w:type="paragraph" w:styleId="ListContinue3">
    <w:name w:val="List Continue 3"/>
    <w:basedOn w:val="List3"/>
    <w:rsid w:val="0087526B"/>
    <w:pPr>
      <w:ind w:left="1021" w:firstLine="0"/>
    </w:pPr>
  </w:style>
  <w:style w:type="paragraph" w:styleId="ListContinue4">
    <w:name w:val="List Continue 4"/>
    <w:basedOn w:val="List4"/>
    <w:rsid w:val="0087526B"/>
    <w:pPr>
      <w:ind w:firstLine="0"/>
    </w:pPr>
  </w:style>
  <w:style w:type="paragraph" w:styleId="ListContinue5">
    <w:name w:val="List Continue 5"/>
    <w:basedOn w:val="List5"/>
    <w:rsid w:val="0087526B"/>
    <w:pPr>
      <w:ind w:firstLine="0"/>
    </w:pPr>
  </w:style>
  <w:style w:type="paragraph" w:styleId="ListNumber3">
    <w:name w:val="List Number 3"/>
    <w:basedOn w:val="List3"/>
    <w:rsid w:val="0087526B"/>
    <w:pPr>
      <w:numPr>
        <w:numId w:val="5"/>
      </w:numPr>
    </w:pPr>
  </w:style>
  <w:style w:type="paragraph" w:styleId="ListNumber4">
    <w:name w:val="List Number 4"/>
    <w:basedOn w:val="List4"/>
    <w:rsid w:val="0087526B"/>
    <w:pPr>
      <w:numPr>
        <w:numId w:val="6"/>
      </w:numPr>
    </w:pPr>
  </w:style>
  <w:style w:type="paragraph" w:styleId="ListNumber5">
    <w:name w:val="List Number 5"/>
    <w:basedOn w:val="List5"/>
    <w:rsid w:val="0087526B"/>
    <w:pPr>
      <w:numPr>
        <w:numId w:val="7"/>
      </w:numPr>
    </w:pPr>
  </w:style>
  <w:style w:type="paragraph" w:styleId="BlockText">
    <w:name w:val="Block Text"/>
    <w:basedOn w:val="Normal"/>
    <w:rsid w:val="0087526B"/>
    <w:pPr>
      <w:spacing w:after="120"/>
      <w:ind w:left="1440" w:right="1440"/>
    </w:pPr>
  </w:style>
  <w:style w:type="character" w:customStyle="1" w:styleId="Subscript">
    <w:name w:val="Subscript"/>
    <w:basedOn w:val="DefaultParagraphFont"/>
    <w:rsid w:val="0087526B"/>
    <w:rPr>
      <w:sz w:val="16"/>
      <w:vertAlign w:val="subscript"/>
    </w:rPr>
  </w:style>
  <w:style w:type="character" w:customStyle="1" w:styleId="Superscript">
    <w:name w:val="Superscript"/>
    <w:basedOn w:val="DefaultParagraphFont"/>
    <w:rsid w:val="0087526B"/>
    <w:rPr>
      <w:sz w:val="16"/>
      <w:vertAlign w:val="superscript"/>
    </w:rPr>
  </w:style>
  <w:style w:type="character" w:customStyle="1" w:styleId="Symbols">
    <w:name w:val="Symbols"/>
    <w:basedOn w:val="DefaultParagraphFont"/>
    <w:rsid w:val="0087526B"/>
    <w:rPr>
      <w:rFonts w:ascii="Symbol" w:hAnsi="Symbol"/>
    </w:rPr>
  </w:style>
  <w:style w:type="character" w:customStyle="1" w:styleId="MenuOptions">
    <w:name w:val="Menu Options"/>
    <w:basedOn w:val="DefaultParagraphFont"/>
    <w:rsid w:val="0087526B"/>
    <w:rPr>
      <w:rFonts w:ascii="Arial Narrow" w:hAnsi="Arial Narrow"/>
      <w:smallCaps/>
    </w:rPr>
  </w:style>
  <w:style w:type="character" w:customStyle="1" w:styleId="Buttons">
    <w:name w:val="Buttons"/>
    <w:basedOn w:val="DefaultParagraphFont"/>
    <w:rsid w:val="0087526B"/>
    <w:rPr>
      <w:b/>
    </w:rPr>
  </w:style>
  <w:style w:type="character" w:customStyle="1" w:styleId="Underlined">
    <w:name w:val="Underlined"/>
    <w:basedOn w:val="DefaultParagraphFont"/>
    <w:rsid w:val="0087526B"/>
    <w:rPr>
      <w:u w:val="single"/>
    </w:rPr>
  </w:style>
  <w:style w:type="paragraph" w:customStyle="1" w:styleId="TableBodyTextRight">
    <w:name w:val="Table Body Text Right"/>
    <w:basedOn w:val="TableBodyText"/>
    <w:rsid w:val="0087526B"/>
    <w:pPr>
      <w:widowControl w:val="0"/>
      <w:autoSpaceDE w:val="0"/>
      <w:autoSpaceDN w:val="0"/>
      <w:adjustRightInd w:val="0"/>
      <w:jc w:val="right"/>
    </w:pPr>
    <w:rPr>
      <w:rFonts w:cs="Arial"/>
      <w:szCs w:val="18"/>
    </w:rPr>
  </w:style>
  <w:style w:type="paragraph" w:customStyle="1" w:styleId="CopyrightText">
    <w:name w:val="Copyright Text"/>
    <w:basedOn w:val="BodyText"/>
    <w:rsid w:val="0087526B"/>
    <w:rPr>
      <w:sz w:val="18"/>
    </w:rPr>
  </w:style>
  <w:style w:type="paragraph" w:customStyle="1" w:styleId="BodySmallRight">
    <w:name w:val="Body Small Right"/>
    <w:basedOn w:val="BodyTextRight"/>
    <w:rsid w:val="0087526B"/>
    <w:rPr>
      <w:sz w:val="18"/>
      <w:szCs w:val="18"/>
    </w:rPr>
  </w:style>
  <w:style w:type="paragraph" w:customStyle="1" w:styleId="MarginEdition">
    <w:name w:val="Margin Edition"/>
    <w:basedOn w:val="MarginNote"/>
    <w:rsid w:val="0087526B"/>
    <w:pPr>
      <w:spacing w:before="0" w:after="0"/>
    </w:pPr>
    <w:rPr>
      <w:rFonts w:ascii="Times New Roman" w:hAnsi="Times New Roman"/>
      <w:color w:val="999999"/>
    </w:rPr>
  </w:style>
  <w:style w:type="paragraph" w:customStyle="1" w:styleId="Spacer">
    <w:name w:val="Spacer"/>
    <w:basedOn w:val="Normal"/>
    <w:rsid w:val="0087526B"/>
    <w:rPr>
      <w:sz w:val="2"/>
      <w:szCs w:val="2"/>
    </w:rPr>
  </w:style>
  <w:style w:type="character" w:customStyle="1" w:styleId="Small">
    <w:name w:val="Small"/>
    <w:basedOn w:val="DefaultParagraphFont"/>
    <w:rsid w:val="0087526B"/>
    <w:rPr>
      <w:sz w:val="16"/>
    </w:rPr>
  </w:style>
  <w:style w:type="paragraph" w:customStyle="1" w:styleId="WideTable">
    <w:name w:val="Wide Table"/>
    <w:basedOn w:val="Normal"/>
    <w:rsid w:val="0087526B"/>
    <w:pPr>
      <w:ind w:left="-1418"/>
    </w:pPr>
    <w:rPr>
      <w:sz w:val="2"/>
      <w:szCs w:val="2"/>
    </w:rPr>
  </w:style>
  <w:style w:type="character" w:styleId="PageNumber">
    <w:name w:val="page number"/>
    <w:basedOn w:val="DefaultParagraphFont"/>
    <w:rsid w:val="0087526B"/>
  </w:style>
  <w:style w:type="paragraph" w:styleId="Quote">
    <w:name w:val="Quote"/>
    <w:basedOn w:val="Heading1"/>
    <w:link w:val="QuoteChar"/>
    <w:qFormat/>
    <w:rsid w:val="0087526B"/>
    <w:rPr>
      <w:b w:val="0"/>
      <w:sz w:val="72"/>
      <w:szCs w:val="72"/>
      <w:lang w:val="en-NZ"/>
    </w:rPr>
  </w:style>
  <w:style w:type="character" w:customStyle="1" w:styleId="QuoteChar">
    <w:name w:val="Quote Char"/>
    <w:basedOn w:val="DefaultParagraphFont"/>
    <w:link w:val="Quote"/>
    <w:rsid w:val="00875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26B"/>
    <w:pPr>
      <w:pageBreakBefore/>
    </w:pPr>
  </w:style>
  <w:style w:type="paragraph" w:customStyle="1" w:styleId="Border">
    <w:name w:val="Border"/>
    <w:basedOn w:val="Normal"/>
    <w:qFormat/>
    <w:rsid w:val="00875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26B"/>
    <w:rPr>
      <w:b/>
      <w:bCs/>
      <w:i/>
      <w:iCs/>
      <w:color w:val="auto"/>
    </w:rPr>
  </w:style>
  <w:style w:type="paragraph" w:styleId="IntenseQuote">
    <w:name w:val="Intense Quote"/>
    <w:basedOn w:val="Normal"/>
    <w:next w:val="Normal"/>
    <w:link w:val="IntenseQuoteChar"/>
    <w:uiPriority w:val="30"/>
    <w:qFormat/>
    <w:rsid w:val="00875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2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526B"/>
    <w:rPr>
      <w:smallCaps/>
      <w:color w:val="auto"/>
      <w:u w:val="single"/>
    </w:rPr>
  </w:style>
  <w:style w:type="character" w:styleId="IntenseReference">
    <w:name w:val="Intense Reference"/>
    <w:basedOn w:val="DefaultParagraphFont"/>
    <w:uiPriority w:val="32"/>
    <w:qFormat/>
    <w:rsid w:val="0087526B"/>
    <w:rPr>
      <w:b/>
      <w:bCs/>
      <w:smallCaps/>
      <w:color w:val="auto"/>
      <w:spacing w:val="5"/>
      <w:u w:val="single"/>
    </w:rPr>
  </w:style>
  <w:style w:type="paragraph" w:customStyle="1" w:styleId="2ColumnHeading">
    <w:name w:val="2Column Heading"/>
    <w:basedOn w:val="BodyText"/>
    <w:qFormat/>
    <w:rsid w:val="0087526B"/>
    <w:pPr>
      <w:spacing w:after="60"/>
      <w:ind w:left="-2268"/>
    </w:pPr>
    <w:rPr>
      <w:b/>
    </w:rPr>
  </w:style>
  <w:style w:type="paragraph" w:customStyle="1" w:styleId="Heading1TOC">
    <w:name w:val="Heading1 TOC"/>
    <w:basedOn w:val="Normal"/>
    <w:qFormat/>
    <w:rsid w:val="0087526B"/>
    <w:pPr>
      <w:spacing w:before="240" w:after="120"/>
    </w:pPr>
    <w:rPr>
      <w:rFonts w:ascii="Times New Roman" w:hAnsi="Times New Roman"/>
      <w:b/>
      <w:sz w:val="32"/>
    </w:rPr>
  </w:style>
  <w:style w:type="paragraph" w:customStyle="1" w:styleId="Heading2TOC">
    <w:name w:val="Heading2 TOC"/>
    <w:basedOn w:val="Normal"/>
    <w:qFormat/>
    <w:rsid w:val="0087526B"/>
    <w:pPr>
      <w:spacing w:before="240" w:after="60"/>
    </w:pPr>
    <w:rPr>
      <w:rFonts w:ascii="Times New Roman" w:hAnsi="Times New Roman"/>
      <w:b/>
      <w:sz w:val="28"/>
    </w:rPr>
  </w:style>
  <w:style w:type="character" w:customStyle="1" w:styleId="Underline">
    <w:name w:val="Underline"/>
    <w:basedOn w:val="DefaultParagraphFont"/>
    <w:qFormat/>
    <w:rsid w:val="0087526B"/>
    <w:rPr>
      <w:u w:val="single"/>
    </w:rPr>
  </w:style>
  <w:style w:type="paragraph" w:styleId="BalloonText">
    <w:name w:val="Balloon Text"/>
    <w:basedOn w:val="Normal"/>
    <w:link w:val="BalloonTextChar"/>
    <w:rsid w:val="0087526B"/>
    <w:rPr>
      <w:rFonts w:ascii="Tahoma" w:hAnsi="Tahoma" w:cs="Tahoma"/>
      <w:sz w:val="16"/>
      <w:szCs w:val="16"/>
    </w:rPr>
  </w:style>
  <w:style w:type="character" w:customStyle="1" w:styleId="BalloonTextChar">
    <w:name w:val="Balloon Text Char"/>
    <w:basedOn w:val="DefaultParagraphFont"/>
    <w:link w:val="BalloonText"/>
    <w:rsid w:val="008752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5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52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Words>
  <Characters>5616</Characters>
  <Application>Microsoft Office Word</Application>
  <DocSecurity>0</DocSecurity>
  <Lines>212</Lines>
  <Paragraphs>115</Paragraphs>
  <ScaleCrop>false</ScaleCrop>
  <Company>Author-it Software Corporation Ltd.</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FNSACM401A Evaluate and authorise payment requests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