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085" w:rsidP="006F3085">
      <w:pPr>
        <w:pStyle w:val="Title"/>
      </w:pPr>
      <w:r>
        <w:fldChar w:fldCharType="begin"/>
      </w:r>
      <w:r>
        <w:instrText xml:space="preserve"> TITLE   \* MERGEFORMAT </w:instrText>
      </w:r>
      <w:r>
        <w:fldChar w:fldCharType="separate"/>
      </w:r>
      <w:r>
        <w:t>FNSACC611A Implement an insolvency program</w:t>
      </w:r>
      <w:r>
        <w:fldChar w:fldCharType="end"/>
      </w:r>
    </w:p>
    <w:p w:rsidR="006F3085" w:rsidP="006F3085">
      <w:pPr>
        <w:pStyle w:val="Version"/>
        <w:sectPr w:rsidSect="00E87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7C0B" w:rsidP="00E87C0B">
      <w:pPr>
        <w:pStyle w:val="SuperHeading"/>
      </w:pPr>
      <w:r w:rsidRPr="00E87C0B">
        <w:t>FNSACC611A Implement an insolvency program</w:t>
      </w:r>
    </w:p>
    <w:p w:rsidR="00000000" w:rsidRPr="00E87C0B" w:rsidP="00E87C0B">
      <w:pPr>
        <w:pStyle w:val="SuperHeading"/>
      </w:pPr>
    </w:p>
    <w:p w:rsidR="00000000" w:rsidRPr="00E87C0B" w:rsidP="00E87C0B">
      <w:pPr>
        <w:pStyle w:val="Heading1"/>
      </w:pPr>
      <w:bookmarkStart w:id="1" w:name="O_77283"/>
      <w:bookmarkEnd w:id="1"/>
      <w:r w:rsidRPr="00E87C0B">
        <w:t>Modification History</w:t>
      </w:r>
    </w:p>
    <w:p w:rsidR="00000000" w:rsidRPr="00E87C0B" w:rsidP="00E87C0B">
      <w:pPr>
        <w:pStyle w:val="BodyText"/>
      </w:pPr>
      <w:r w:rsidRPr="00E87C0B">
        <w:t>Not applicable.</w:t>
      </w:r>
    </w:p>
    <w:p w:rsidR="00000000" w:rsidRPr="00E87C0B" w:rsidP="00E87C0B">
      <w:pPr>
        <w:pStyle w:val="AllowPageBreak"/>
      </w:pPr>
    </w:p>
    <w:p w:rsidR="00000000" w:rsidRPr="00E87C0B" w:rsidP="00E87C0B">
      <w:pPr>
        <w:pStyle w:val="Heading1"/>
      </w:pPr>
      <w:bookmarkStart w:id="2" w:name="O_77284"/>
      <w:bookmarkEnd w:id="2"/>
      <w:r w:rsidRPr="00E87C0B">
        <w:t>Unit Descriptor</w:t>
      </w:r>
    </w:p>
    <w:tbl>
      <w:tblPr>
        <w:tblW w:w="0" w:type="auto"/>
        <w:tblLayout w:type="fixed"/>
        <w:tblCellMar>
          <w:left w:w="62" w:type="dxa"/>
          <w:right w:w="62" w:type="dxa"/>
        </w:tblCellMar>
        <w:tblLook w:val="0000"/>
      </w:tblPr>
      <w:tblGrid>
        <w:gridCol w:w="2639"/>
        <w:gridCol w:w="5883"/>
      </w:tblGrid>
      <w:tr w:rsidTr="006F308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This unit describes the performance outcomes, skills and knowledge required to evaluate options, establish tim</w:t>
            </w:r>
            <w:r w:rsidRPr="00E87C0B">
              <w:t>elines and objectives, and monitor progress and plans for business insolvency.</w:t>
            </w:r>
          </w:p>
          <w:p w:rsidR="00000000" w:rsidRPr="00E87C0B" w:rsidP="00E87C0B">
            <w:pPr>
              <w:pStyle w:val="BodyText"/>
            </w:pPr>
          </w:p>
          <w:p w:rsidR="00000000" w:rsidRPr="00E87C0B" w:rsidP="00E87C0B">
            <w:pPr>
              <w:pStyle w:val="BodyText"/>
            </w:pPr>
            <w:r w:rsidRPr="00E87C0B">
              <w:t>This unit has application to a variety of financial services sectors and is applicable to individuals working within enterprises and job roles subject to licensing, legislative</w:t>
            </w:r>
            <w:r w:rsidRPr="00E87C0B">
              <w:t>, regulatory or certification requirements so the varying Commonwealth, State or Territory requirements should be confirmed with the relevant body.</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3" w:name="O_77285"/>
      <w:bookmarkEnd w:id="3"/>
      <w:r w:rsidRPr="00E87C0B">
        <w:t>Application of the Unit</w:t>
      </w:r>
    </w:p>
    <w:tbl>
      <w:tblPr>
        <w:tblW w:w="0" w:type="auto"/>
        <w:tblLayout w:type="fixed"/>
        <w:tblCellMar>
          <w:left w:w="62" w:type="dxa"/>
          <w:right w:w="62" w:type="dxa"/>
        </w:tblCellMar>
        <w:tblLook w:val="0000"/>
      </w:tblPr>
      <w:tblGrid>
        <w:gridCol w:w="2721"/>
        <w:gridCol w:w="5801"/>
      </w:tblGrid>
      <w:tr w:rsidTr="006F308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The unit has application across all sectors of the financial services industry and can be applied to job functions that have responsibility for implementing insolvency programs into an organisation such as accountants and insolvency specialists.</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4" w:name="O_77286"/>
      <w:bookmarkEnd w:id="4"/>
      <w:r w:rsidRPr="00E87C0B">
        <w:t>Licensing/Regulatory Information</w:t>
      </w:r>
    </w:p>
    <w:p w:rsidR="00000000" w:rsidRPr="00E87C0B" w:rsidP="00E87C0B">
      <w:pPr>
        <w:pStyle w:val="BodyText"/>
      </w:pPr>
      <w:r w:rsidRPr="00E87C0B">
        <w:t>Not applicable.</w:t>
      </w:r>
    </w:p>
    <w:p w:rsidR="00000000" w:rsidRPr="00E87C0B" w:rsidP="00E87C0B">
      <w:pPr>
        <w:pStyle w:val="AllowPageBreak"/>
      </w:pPr>
    </w:p>
    <w:p w:rsidR="00000000" w:rsidRPr="00E87C0B" w:rsidP="00E87C0B">
      <w:pPr>
        <w:pStyle w:val="Heading1"/>
      </w:pPr>
      <w:bookmarkStart w:id="5" w:name="O_77287"/>
      <w:bookmarkEnd w:id="5"/>
      <w:r w:rsidRPr="00E87C0B">
        <w:t>Pre-Requisites</w:t>
      </w:r>
    </w:p>
    <w:tbl>
      <w:tblPr>
        <w:tblW w:w="0" w:type="auto"/>
        <w:tblLayout w:type="fixed"/>
        <w:tblCellMar>
          <w:left w:w="62" w:type="dxa"/>
          <w:right w:w="62" w:type="dxa"/>
        </w:tblCellMar>
        <w:tblLook w:val="0000"/>
      </w:tblPr>
      <w:tblGrid>
        <w:gridCol w:w="2745"/>
        <w:gridCol w:w="1301"/>
        <w:gridCol w:w="4476"/>
      </w:tblGrid>
      <w:tr w:rsidTr="006F308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p>
        </w:tc>
      </w:tr>
      <w:tr w:rsidTr="006F308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p>
        </w:tc>
      </w:tr>
      <w:tr w:rsidTr="006F308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6" w:name="O_77288"/>
      <w:bookmarkEnd w:id="6"/>
      <w:r w:rsidRPr="00E87C0B">
        <w:t>Employability Skills Information</w:t>
      </w:r>
    </w:p>
    <w:tbl>
      <w:tblPr>
        <w:tblW w:w="0" w:type="auto"/>
        <w:tblLayout w:type="fixed"/>
        <w:tblCellMar>
          <w:left w:w="62" w:type="dxa"/>
          <w:right w:w="62" w:type="dxa"/>
        </w:tblCellMar>
        <w:tblLook w:val="0000"/>
      </w:tblPr>
      <w:tblGrid>
        <w:gridCol w:w="2762"/>
        <w:gridCol w:w="5760"/>
      </w:tblGrid>
      <w:tr w:rsidTr="006F308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This unit contains employability skills.</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7" w:name="O_77289"/>
      <w:bookmarkEnd w:id="7"/>
      <w:r w:rsidRPr="00E87C0B">
        <w:t>Elements and Performance Criteria Pre-Content</w:t>
      </w:r>
    </w:p>
    <w:tbl>
      <w:tblPr>
        <w:tblW w:w="0" w:type="auto"/>
        <w:tblLayout w:type="fixed"/>
        <w:tblCellMar>
          <w:left w:w="62" w:type="dxa"/>
          <w:right w:w="62" w:type="dxa"/>
        </w:tblCellMar>
        <w:tblLook w:val="0000"/>
      </w:tblPr>
      <w:tblGrid>
        <w:gridCol w:w="2521"/>
        <w:gridCol w:w="6001"/>
      </w:tblGrid>
      <w:tr w:rsidTr="006F308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Performance criteria describe the performance needed to demonstrate achievement of the element. Where bold italicised text is used, further info</w:t>
            </w:r>
            <w:r w:rsidRPr="00E87C0B">
              <w:t>rmation is detailed in the required skills and knowledge section and the range statement. Assessment of performance is to be consistent with the evidence guide.</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8" w:name="O_77290"/>
      <w:bookmarkEnd w:id="8"/>
      <w:r w:rsidRPr="00E87C0B">
        <w:t>Elements and Performance Criteria</w:t>
      </w:r>
    </w:p>
    <w:tbl>
      <w:tblPr>
        <w:tblW w:w="0" w:type="auto"/>
        <w:tblLayout w:type="fixed"/>
        <w:tblCellMar>
          <w:left w:w="62" w:type="dxa"/>
          <w:right w:w="62" w:type="dxa"/>
        </w:tblCellMar>
        <w:tblLook w:val="0000"/>
      </w:tblPr>
      <w:tblGrid>
        <w:gridCol w:w="2521"/>
        <w:gridCol w:w="6001"/>
      </w:tblGrid>
      <w:tr w:rsidTr="006F3085">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PERFORMANCE CRITERIA</w:t>
            </w:r>
          </w:p>
        </w:tc>
      </w:tr>
      <w:tr w:rsidTr="006F308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List"/>
              <w:rPr>
                <w:lang w:val="en-NZ"/>
              </w:rPr>
            </w:pPr>
            <w:r w:rsidRPr="00E87C0B">
              <w:t>1.</w:t>
            </w:r>
            <w:r w:rsidRPr="00E87C0B">
              <w:tab/>
            </w:r>
            <w:r w:rsidRPr="00E87C0B">
              <w:t>Evaluate options for insolvency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2"/>
            </w:pPr>
            <w:r w:rsidRPr="00E87C0B">
              <w:t>1.1.</w:t>
            </w:r>
            <w:r w:rsidRPr="00E87C0B">
              <w:tab/>
            </w:r>
            <w:r w:rsidRPr="00E87C0B">
              <w:rPr>
                <w:rStyle w:val="BoldandItalics"/>
              </w:rPr>
              <w:t>Assets and liabilities</w:t>
            </w:r>
            <w:r w:rsidRPr="00E87C0B">
              <w:t xml:space="preserve"> to be included in insolvency are identified, located and secured</w:t>
            </w:r>
          </w:p>
          <w:p w:rsidR="00000000" w:rsidRPr="00E87C0B" w:rsidP="00E87C0B">
            <w:pPr>
              <w:pStyle w:val="List2"/>
            </w:pPr>
            <w:r w:rsidRPr="00E87C0B">
              <w:t>1.2.</w:t>
            </w:r>
            <w:r w:rsidRPr="00E87C0B">
              <w:tab/>
              <w:t xml:space="preserve">Insolvency plans are interpreted to determine operational decisions in consultation with </w:t>
            </w:r>
            <w:r w:rsidRPr="00E87C0B">
              <w:rPr>
                <w:rStyle w:val="BoldandItalics"/>
              </w:rPr>
              <w:t>stakeholders</w:t>
            </w:r>
          </w:p>
          <w:p w:rsidR="00000000" w:rsidRPr="00E87C0B" w:rsidP="00E87C0B">
            <w:pPr>
              <w:pStyle w:val="List2"/>
            </w:pPr>
            <w:r w:rsidRPr="00E87C0B">
              <w:t>1.3.</w:t>
            </w:r>
            <w:r w:rsidRPr="00E87C0B">
              <w:tab/>
              <w:t>Potential returns f</w:t>
            </w:r>
            <w:r w:rsidRPr="00E87C0B">
              <w:t>rom realisation of assets are estimated from assessment of market values and fees and expenses</w:t>
            </w:r>
          </w:p>
          <w:p w:rsidR="00000000" w:rsidRPr="00E87C0B" w:rsidP="00E87C0B">
            <w:pPr>
              <w:pStyle w:val="List2"/>
            </w:pPr>
            <w:r w:rsidRPr="00E87C0B">
              <w:t>1.4.</w:t>
            </w:r>
            <w:r w:rsidRPr="00E87C0B">
              <w:tab/>
            </w:r>
            <w:r w:rsidRPr="00E87C0B">
              <w:rPr>
                <w:rStyle w:val="BoldandItalics"/>
              </w:rPr>
              <w:t>Claims</w:t>
            </w:r>
            <w:r w:rsidRPr="00E87C0B">
              <w:t xml:space="preserve"> of creditors are identified, evaluated and resolved using </w:t>
            </w:r>
            <w:r w:rsidRPr="00E87C0B">
              <w:rPr>
                <w:rStyle w:val="BoldandItalics"/>
              </w:rPr>
              <w:t>agreed criteria</w:t>
            </w:r>
            <w:r w:rsidRPr="00E87C0B">
              <w:t xml:space="preserve"> and standard accounting practices</w:t>
            </w:r>
          </w:p>
          <w:p w:rsidR="00000000" w:rsidP="00E87C0B">
            <w:pPr>
              <w:pStyle w:val="List2"/>
              <w:rPr>
                <w:lang w:val="en-NZ"/>
              </w:rPr>
            </w:pPr>
            <w:r w:rsidRPr="00E87C0B">
              <w:t>1.5.</w:t>
            </w:r>
            <w:r w:rsidRPr="00E87C0B">
              <w:tab/>
              <w:t>Decisions regarding insolvency are m</w:t>
            </w:r>
            <w:r w:rsidRPr="00E87C0B">
              <w:t>ade using agreed criteria</w:t>
            </w:r>
          </w:p>
        </w:tc>
      </w:tr>
      <w:tr w:rsidTr="006F308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List"/>
              <w:rPr>
                <w:lang w:val="en-NZ"/>
              </w:rPr>
            </w:pPr>
            <w:r w:rsidRPr="00E87C0B">
              <w:t>2.</w:t>
            </w:r>
            <w:r w:rsidRPr="00E87C0B">
              <w:tab/>
              <w:t>Establish timelines and objectives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2"/>
            </w:pPr>
            <w:r w:rsidRPr="00E87C0B">
              <w:t>2.1.</w:t>
            </w:r>
            <w:r w:rsidRPr="00E87C0B">
              <w:tab/>
            </w:r>
            <w:r w:rsidRPr="00E87C0B">
              <w:rPr>
                <w:rStyle w:val="BoldandItalics"/>
              </w:rPr>
              <w:t>Milestones</w:t>
            </w:r>
            <w:r w:rsidRPr="00E87C0B">
              <w:t xml:space="preserve"> for the completion of project tasks are developed and agreed as part of the insolvency plan</w:t>
            </w:r>
          </w:p>
          <w:p w:rsidR="00000000" w:rsidRPr="00E87C0B" w:rsidP="00E87C0B">
            <w:pPr>
              <w:pStyle w:val="List2"/>
            </w:pPr>
            <w:r w:rsidRPr="00E87C0B">
              <w:t>2.2.</w:t>
            </w:r>
            <w:r w:rsidRPr="00E87C0B">
              <w:tab/>
            </w:r>
            <w:r w:rsidRPr="00E87C0B">
              <w:rPr>
                <w:rStyle w:val="BoldandItalics"/>
              </w:rPr>
              <w:t>Implementation schedules</w:t>
            </w:r>
            <w:r w:rsidRPr="00E87C0B">
              <w:t xml:space="preserve"> are developed with defined target dates and communica</w:t>
            </w:r>
            <w:r w:rsidRPr="00E87C0B">
              <w:t>ted to stakeholders</w:t>
            </w:r>
          </w:p>
          <w:p w:rsidR="00000000" w:rsidP="00E87C0B">
            <w:pPr>
              <w:pStyle w:val="List2"/>
              <w:rPr>
                <w:lang w:val="en-NZ"/>
              </w:rPr>
            </w:pPr>
            <w:r w:rsidRPr="00E87C0B">
              <w:t>2.3.</w:t>
            </w:r>
            <w:r w:rsidRPr="00E87C0B">
              <w:tab/>
              <w:t xml:space="preserve">Operational liaison and </w:t>
            </w:r>
            <w:r w:rsidRPr="00E87C0B">
              <w:rPr>
                <w:rStyle w:val="BoldandItalics"/>
              </w:rPr>
              <w:t>reporting responsibilities</w:t>
            </w:r>
            <w:r w:rsidRPr="00E87C0B">
              <w:t xml:space="preserve"> are allocated to ensure completion of tasks</w:t>
            </w:r>
          </w:p>
        </w:tc>
      </w:tr>
      <w:tr w:rsidTr="006F308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List"/>
              <w:rPr>
                <w:lang w:val="en-NZ"/>
              </w:rPr>
            </w:pPr>
            <w:r w:rsidRPr="00E87C0B">
              <w:t>3.</w:t>
            </w:r>
            <w:r w:rsidRPr="00E87C0B">
              <w:tab/>
              <w:t>Monitor progress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2"/>
            </w:pPr>
            <w:r w:rsidRPr="00E87C0B">
              <w:t>3.1.</w:t>
            </w:r>
            <w:r w:rsidRPr="00E87C0B">
              <w:tab/>
            </w:r>
            <w:r w:rsidRPr="00E87C0B">
              <w:rPr>
                <w:rStyle w:val="BoldandItalics"/>
              </w:rPr>
              <w:t>Data</w:t>
            </w:r>
            <w:r w:rsidRPr="00E87C0B">
              <w:t xml:space="preserve"> relevant to the insolvency program are identified, acquired and validated</w:t>
            </w:r>
          </w:p>
          <w:p w:rsidR="00000000" w:rsidRPr="00E87C0B" w:rsidP="00E87C0B">
            <w:pPr>
              <w:pStyle w:val="List2"/>
            </w:pPr>
            <w:r w:rsidRPr="00E87C0B">
              <w:t>3.2.</w:t>
            </w:r>
            <w:r w:rsidRPr="00E87C0B">
              <w:tab/>
            </w:r>
            <w:r w:rsidRPr="00E87C0B">
              <w:t xml:space="preserve">Outcomes of the insolvency plan are analysed and documented in accordance with established forms of insolvency administration and </w:t>
            </w:r>
            <w:r w:rsidRPr="00E87C0B">
              <w:rPr>
                <w:rStyle w:val="BoldandItalics"/>
              </w:rPr>
              <w:t>statutory requirements</w:t>
            </w:r>
          </w:p>
          <w:p w:rsidR="00000000" w:rsidRPr="00E87C0B" w:rsidP="00E87C0B">
            <w:pPr>
              <w:pStyle w:val="List2"/>
            </w:pPr>
            <w:r w:rsidRPr="00E87C0B">
              <w:t>3.3.</w:t>
            </w:r>
            <w:r w:rsidRPr="00E87C0B">
              <w:tab/>
              <w:t>Day to day administration of the program is supported through liaison and regular reporting</w:t>
            </w:r>
          </w:p>
          <w:p w:rsidR="00000000" w:rsidRPr="00E87C0B" w:rsidP="00E87C0B">
            <w:pPr>
              <w:pStyle w:val="List2"/>
            </w:pPr>
            <w:r w:rsidRPr="00E87C0B">
              <w:t>3.4.</w:t>
            </w:r>
            <w:r w:rsidRPr="00E87C0B">
              <w:tab/>
            </w:r>
            <w:r w:rsidRPr="00E87C0B">
              <w:rPr>
                <w:rStyle w:val="BoldandItalics"/>
              </w:rPr>
              <w:t>D</w:t>
            </w:r>
            <w:r w:rsidRPr="00E87C0B">
              <w:rPr>
                <w:rStyle w:val="BoldandItalics"/>
              </w:rPr>
              <w:t>elays</w:t>
            </w:r>
            <w:r w:rsidRPr="00E87C0B">
              <w:t xml:space="preserve"> in implementation are assessed and solutions developed and negotiated</w:t>
            </w:r>
          </w:p>
          <w:p w:rsidR="00000000" w:rsidRPr="00E87C0B" w:rsidP="00E87C0B">
            <w:pPr>
              <w:pStyle w:val="List2"/>
            </w:pPr>
            <w:r w:rsidRPr="00E87C0B">
              <w:t>3.5.</w:t>
            </w:r>
            <w:r w:rsidRPr="00E87C0B">
              <w:tab/>
              <w:t>Recommendations to clients are clear, concrete and based on reasoned examination of data</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9" w:name="O_77291"/>
      <w:bookmarkEnd w:id="9"/>
      <w:r w:rsidRPr="00E87C0B">
        <w:t>Required Skills and Knowledge</w:t>
      </w:r>
    </w:p>
    <w:tbl>
      <w:tblPr>
        <w:tblW w:w="0" w:type="auto"/>
        <w:tblLayout w:type="fixed"/>
        <w:tblCellMar>
          <w:left w:w="62" w:type="dxa"/>
          <w:right w:w="62" w:type="dxa"/>
        </w:tblCellMar>
        <w:tblLook w:val="0000"/>
      </w:tblPr>
      <w:tblGrid>
        <w:gridCol w:w="8522"/>
      </w:tblGrid>
      <w:tr w:rsidTr="006F30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REQUIRED SKILLS AND KNOWLEDGE</w:t>
            </w:r>
          </w:p>
        </w:tc>
      </w:tr>
      <w:tr w:rsidTr="006F30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t>This sec</w:t>
            </w:r>
            <w:r w:rsidRPr="00E87C0B">
              <w:t>tion describes the skills and knowledge required for this unit.</w:t>
            </w:r>
          </w:p>
        </w:tc>
      </w:tr>
      <w:tr w:rsidTr="006F3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Required skills</w:t>
            </w:r>
          </w:p>
        </w:tc>
      </w:tr>
      <w:tr w:rsidTr="006F3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highly developed communication skills to:</w:t>
            </w:r>
          </w:p>
          <w:p w:rsidR="00000000" w:rsidRPr="00E87C0B" w:rsidP="00E87C0B">
            <w:pPr>
              <w:pStyle w:val="ListBullet2"/>
            </w:pPr>
            <w:r w:rsidRPr="00E87C0B">
              <w:t xml:space="preserve">evaluate an organisation's solvency and risks, using questioning of personnel, management </w:t>
            </w:r>
            <w:r w:rsidRPr="00E87C0B">
              <w:t>and external stakeholders for confirmation</w:t>
            </w:r>
          </w:p>
          <w:p w:rsidR="00000000" w:rsidRPr="00E87C0B" w:rsidP="00E87C0B">
            <w:pPr>
              <w:pStyle w:val="ListBullet2"/>
            </w:pPr>
            <w:r w:rsidRPr="00E87C0B">
              <w:t>negotiate complex insolvency options and actions</w:t>
            </w:r>
          </w:p>
          <w:p w:rsidR="00000000" w:rsidRPr="00E87C0B" w:rsidP="00E87C0B">
            <w:pPr>
              <w:pStyle w:val="ListBullet2"/>
            </w:pPr>
            <w:r w:rsidRPr="00E87C0B">
              <w:t>liaise with others, share information, listen and understand</w:t>
            </w:r>
          </w:p>
          <w:p w:rsidR="00000000" w:rsidRPr="00E87C0B" w:rsidP="00E87C0B">
            <w:pPr>
              <w:pStyle w:val="ListBullet2"/>
            </w:pPr>
            <w:r w:rsidRPr="00E87C0B">
              <w:t>use language and concepts appropriate to cultural differences</w:t>
            </w:r>
          </w:p>
          <w:p w:rsidR="00000000" w:rsidRPr="00E87C0B" w:rsidP="00E87C0B">
            <w:pPr>
              <w:pStyle w:val="ListBullet"/>
            </w:pPr>
            <w:r w:rsidRPr="00E87C0B">
              <w:t>highly developed research skills for accessing and managing financial services information</w:t>
            </w:r>
          </w:p>
          <w:p w:rsidR="00000000" w:rsidRPr="00E87C0B" w:rsidP="00E87C0B">
            <w:pPr>
              <w:pStyle w:val="ListBullet"/>
            </w:pPr>
            <w:r w:rsidRPr="00E87C0B">
              <w:t>well-developed literacy skills for analysingfinancial information and insolvency indicators and preparing financial options and clear written advice</w:t>
            </w:r>
          </w:p>
          <w:p w:rsidR="00000000" w:rsidRPr="00E87C0B" w:rsidP="00E87C0B">
            <w:pPr>
              <w:pStyle w:val="ListBullet"/>
            </w:pPr>
            <w:r w:rsidRPr="00E87C0B">
              <w:t xml:space="preserve">numeracy skills </w:t>
            </w:r>
            <w:r w:rsidRPr="00E87C0B">
              <w:t>for financial calculations and analysis, estimating and forecasting</w:t>
            </w:r>
          </w:p>
          <w:p w:rsidR="00000000" w:rsidRPr="00E87C0B" w:rsidP="00E87C0B">
            <w:pPr>
              <w:pStyle w:val="ListBullet"/>
            </w:pPr>
            <w:r w:rsidRPr="00E87C0B">
              <w:t>IT skills for developing and using integrated financial systems, spreadsheets and databases and internet information</w:t>
            </w:r>
          </w:p>
          <w:p w:rsidR="00000000" w:rsidRPr="00E87C0B" w:rsidP="00E87C0B">
            <w:pPr>
              <w:pStyle w:val="ListBullet"/>
            </w:pPr>
            <w:r w:rsidRPr="00E87C0B">
              <w:t>learning skills to maintain knowledge of insolvency statutory requireme</w:t>
            </w:r>
            <w:r w:rsidRPr="00E87C0B">
              <w:t>nts, best practice principles, processes and procedures</w:t>
            </w:r>
          </w:p>
          <w:p w:rsidR="00000000" w:rsidRPr="00E87C0B" w:rsidP="00E87C0B">
            <w:pPr>
              <w:pStyle w:val="ListBullet"/>
            </w:pPr>
            <w:r w:rsidRPr="00E87C0B">
              <w:t>problem solving skills to identify insolvency planning issues that have the potential to impact on organisations and to develop options to resolve these issues when they arise</w:t>
            </w:r>
          </w:p>
          <w:p w:rsidR="00000000" w:rsidP="00E87C0B">
            <w:pPr>
              <w:pStyle w:val="ListBullet"/>
              <w:rPr>
                <w:lang w:val="en-NZ"/>
              </w:rPr>
            </w:pPr>
            <w:r w:rsidRPr="00E87C0B">
              <w:t>organisational skills, i</w:t>
            </w:r>
            <w:r w:rsidRPr="00E87C0B">
              <w:t>ncluding the ability to plan and sequence work and correctly schedule insolvency activity monitoring and reporting</w:t>
            </w:r>
          </w:p>
        </w:tc>
      </w:tr>
      <w:tr w:rsidTr="006F3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Required knowledge</w:t>
            </w:r>
          </w:p>
        </w:tc>
      </w:tr>
      <w:tr w:rsidTr="006F3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comprehensive practices and principles of insolvency administration</w:t>
            </w:r>
          </w:p>
          <w:p w:rsidR="00000000" w:rsidRPr="00E87C0B" w:rsidP="00E87C0B">
            <w:pPr>
              <w:pStyle w:val="ListBullet"/>
            </w:pPr>
            <w:r w:rsidRPr="00E87C0B">
              <w:t>depreciation methods allowed by tax authorities</w:t>
            </w:r>
          </w:p>
          <w:p w:rsidR="00000000" w:rsidRPr="00E87C0B" w:rsidP="00E87C0B">
            <w:pPr>
              <w:pStyle w:val="ListBullet"/>
            </w:pPr>
            <w:r w:rsidRPr="00E87C0B">
              <w:t>duties and responsibilities of insolvency administrators and liquidators</w:t>
            </w:r>
          </w:p>
          <w:p w:rsidR="00000000" w:rsidRPr="00E87C0B" w:rsidP="00E87C0B">
            <w:pPr>
              <w:pStyle w:val="ListBullet"/>
            </w:pPr>
            <w:r w:rsidRPr="00E87C0B">
              <w:t>ethical considerations for the handling of financial insolvency such as:</w:t>
            </w:r>
          </w:p>
          <w:p w:rsidR="00000000" w:rsidRPr="00E87C0B" w:rsidP="00E87C0B">
            <w:pPr>
              <w:pStyle w:val="ListBullet2"/>
            </w:pPr>
            <w:r w:rsidRPr="00E87C0B">
              <w:t>conflict of interests</w:t>
            </w:r>
          </w:p>
          <w:p w:rsidR="00000000" w:rsidRPr="00E87C0B" w:rsidP="00E87C0B">
            <w:pPr>
              <w:pStyle w:val="ListBullet2"/>
            </w:pPr>
            <w:r w:rsidRPr="00E87C0B">
              <w:t>confidentiality</w:t>
            </w:r>
          </w:p>
          <w:p w:rsidR="00000000" w:rsidRPr="00E87C0B" w:rsidP="00E87C0B">
            <w:pPr>
              <w:pStyle w:val="ListBullet2"/>
            </w:pPr>
            <w:r w:rsidRPr="00E87C0B">
              <w:t>disclosure requirements</w:t>
            </w:r>
          </w:p>
          <w:p w:rsidR="00000000" w:rsidRPr="00E87C0B" w:rsidP="00E87C0B">
            <w:pPr>
              <w:pStyle w:val="ListBullet"/>
            </w:pPr>
            <w:r w:rsidRPr="00E87C0B">
              <w:t>forms and functions of employee records</w:t>
            </w:r>
          </w:p>
          <w:p w:rsidR="00000000" w:rsidRPr="00E87C0B" w:rsidP="00E87C0B">
            <w:pPr>
              <w:pStyle w:val="ListBullet"/>
            </w:pPr>
            <w:r w:rsidRPr="00E87C0B">
              <w:t>law as it relates to insolvency management including:</w:t>
            </w:r>
          </w:p>
          <w:p w:rsidR="00000000" w:rsidRPr="00E87C0B" w:rsidP="00E87C0B">
            <w:pPr>
              <w:pStyle w:val="ListBullet2"/>
            </w:pPr>
            <w:r w:rsidRPr="00E87C0B">
              <w:t>trade practices and corporation law</w:t>
            </w:r>
          </w:p>
          <w:p w:rsidR="00000000" w:rsidRPr="00E87C0B" w:rsidP="00E87C0B">
            <w:pPr>
              <w:pStyle w:val="ListBullet2"/>
            </w:pPr>
            <w:r w:rsidRPr="00E87C0B">
              <w:t>Taxation Assessment Acts</w:t>
            </w:r>
          </w:p>
          <w:p w:rsidR="00000000" w:rsidRPr="00E87C0B" w:rsidP="00E87C0B">
            <w:pPr>
              <w:pStyle w:val="ListBullet2"/>
            </w:pPr>
            <w:r w:rsidRPr="00E87C0B">
              <w:t>Workplace Relations Act</w:t>
            </w:r>
          </w:p>
          <w:p w:rsidR="00000000" w:rsidRPr="00E87C0B" w:rsidP="00E87C0B">
            <w:pPr>
              <w:pStyle w:val="ListBullet2"/>
            </w:pPr>
            <w:r w:rsidRPr="00E87C0B">
              <w:t>Australian Consumer and Competition Commission (ACCC) regulations</w:t>
            </w:r>
          </w:p>
          <w:p w:rsidR="00000000" w:rsidRPr="00E87C0B" w:rsidP="00E87C0B">
            <w:pPr>
              <w:pStyle w:val="ListBullet2"/>
            </w:pPr>
            <w:r w:rsidRPr="00E87C0B">
              <w:t>Privacy Act</w:t>
            </w:r>
          </w:p>
          <w:p w:rsidR="00000000" w:rsidRPr="00E87C0B" w:rsidP="00E87C0B">
            <w:pPr>
              <w:pStyle w:val="ListBullet"/>
            </w:pPr>
            <w:r w:rsidRPr="00E87C0B">
              <w:t>principles and practices of budgetary</w:t>
            </w:r>
            <w:r w:rsidRPr="00E87C0B">
              <w:t xml:space="preserve"> control:</w:t>
            </w:r>
          </w:p>
          <w:p w:rsidR="00000000" w:rsidRPr="00E87C0B" w:rsidP="00E87C0B">
            <w:pPr>
              <w:pStyle w:val="ListBullet2"/>
            </w:pPr>
            <w:r w:rsidRPr="00E87C0B">
              <w:t>double-entry bookkeeping</w:t>
            </w:r>
          </w:p>
          <w:p w:rsidR="00000000" w:rsidRPr="00E87C0B" w:rsidP="00E87C0B">
            <w:pPr>
              <w:pStyle w:val="ListBullet2"/>
            </w:pPr>
            <w:r w:rsidRPr="00E87C0B">
              <w:t>accrual accounting</w:t>
            </w:r>
          </w:p>
          <w:p w:rsidR="00000000" w:rsidRPr="00E87C0B" w:rsidP="00E87C0B">
            <w:pPr>
              <w:pStyle w:val="ListBullet"/>
            </w:pPr>
            <w:r w:rsidRPr="00E87C0B">
              <w:t>principles of valuation and processes for asset disposal</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10" w:name="O_77292"/>
      <w:bookmarkEnd w:id="10"/>
      <w:r w:rsidRPr="00E87C0B">
        <w:t>Evidence Guide</w:t>
      </w:r>
    </w:p>
    <w:tbl>
      <w:tblPr>
        <w:tblW w:w="9570" w:type="dxa"/>
        <w:tblLayout w:type="fixed"/>
        <w:tblCellMar>
          <w:left w:w="62" w:type="dxa"/>
          <w:right w:w="62" w:type="dxa"/>
        </w:tblCellMar>
        <w:tblLook w:val="0000"/>
      </w:tblPr>
      <w:tblGrid>
        <w:gridCol w:w="2808"/>
        <w:gridCol w:w="6762"/>
      </w:tblGrid>
      <w:tr w:rsidTr="006F30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EVIDENCE GUIDE</w:t>
            </w:r>
          </w:p>
        </w:tc>
      </w:tr>
      <w:tr w:rsidTr="006F30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t>The Evidence Guide provides advice on assessment and must be read in conjunction with the performance criteria, required skills and knowledge, range statement and the Assessment Guidelines for the Training Package.</w:t>
            </w:r>
          </w:p>
        </w:tc>
      </w:tr>
      <w:tr w:rsidTr="006F30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p>
        </w:tc>
      </w:tr>
      <w:tr w:rsidTr="006F30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Evidence of the ability to:</w:t>
            </w:r>
          </w:p>
          <w:p w:rsidR="00000000" w:rsidRPr="00E87C0B" w:rsidP="00E87C0B">
            <w:pPr>
              <w:pStyle w:val="ListBullet"/>
            </w:pPr>
            <w:r w:rsidRPr="00E87C0B">
              <w:t xml:space="preserve">apply statutory requirements to evaluate options for insolvency </w:t>
            </w:r>
          </w:p>
          <w:p w:rsidR="00000000" w:rsidP="00E87C0B">
            <w:pPr>
              <w:pStyle w:val="ListBullet"/>
              <w:rPr>
                <w:lang w:val="en-NZ"/>
              </w:rPr>
            </w:pPr>
            <w:r w:rsidRPr="00E87C0B">
              <w:t>establish timelines and objectives for an insolvency plan and monitor progress, adjusting as required.</w:t>
            </w:r>
          </w:p>
        </w:tc>
      </w:tr>
      <w:tr w:rsidTr="006F30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Assessment must ensure:</w:t>
            </w:r>
          </w:p>
          <w:p w:rsidR="00000000" w:rsidRPr="00E87C0B" w:rsidP="00E87C0B">
            <w:pPr>
              <w:pStyle w:val="ListBullet"/>
            </w:pPr>
            <w:r w:rsidRPr="00E87C0B">
              <w:t>competency is demonstrated</w:t>
            </w:r>
            <w:r w:rsidRPr="00E87C0B">
              <w:t xml:space="preserve"> in the context of the financial services work environment and conditions specified in the range statement either in a relevant workplace or a closely simulated work environment</w:t>
            </w:r>
          </w:p>
          <w:p w:rsidR="00000000" w:rsidRPr="00E87C0B" w:rsidP="00E87C0B">
            <w:pPr>
              <w:pStyle w:val="ListBullet"/>
            </w:pPr>
            <w:r w:rsidRPr="00E87C0B">
              <w:t>access to and the use of a range of common office equipment, technology, softw</w:t>
            </w:r>
            <w:r w:rsidRPr="00E87C0B">
              <w:t>are and consumables</w:t>
            </w:r>
          </w:p>
          <w:p w:rsidR="00000000" w:rsidP="00E87C0B">
            <w:pPr>
              <w:pStyle w:val="ListBullet"/>
              <w:rPr>
                <w:lang w:val="en-NZ"/>
              </w:rPr>
            </w:pPr>
            <w:r w:rsidRPr="00E87C0B">
              <w:t>access to an integrated financial software system and data.</w:t>
            </w:r>
          </w:p>
        </w:tc>
      </w:tr>
      <w:tr w:rsidTr="006F30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A range of assessment methods should be used to assess practical skills and knowledge. The following examples, in combination, are appropriate for this un</w:t>
            </w:r>
            <w:r w:rsidRPr="00E87C0B">
              <w:t>it:</w:t>
            </w:r>
          </w:p>
          <w:p w:rsidR="00000000" w:rsidRPr="00E87C0B" w:rsidP="00E87C0B">
            <w:pPr>
              <w:pStyle w:val="ListBullet"/>
            </w:pPr>
            <w:r w:rsidRPr="00E87C0B">
              <w:t>evaluating an integrated activity which combines the elements of competency for the unit or a cluster of related units of competency</w:t>
            </w:r>
          </w:p>
          <w:p w:rsidR="00000000" w:rsidRPr="00E87C0B" w:rsidP="00E87C0B">
            <w:pPr>
              <w:pStyle w:val="ListBullet"/>
            </w:pPr>
            <w:r w:rsidRPr="00E87C0B">
              <w:t>verbal or written questioning on underpinning knowledge and skills</w:t>
            </w:r>
          </w:p>
          <w:p w:rsidR="00000000" w:rsidRPr="00E87C0B" w:rsidP="00E87C0B">
            <w:pPr>
              <w:pStyle w:val="ListBullet"/>
            </w:pPr>
            <w:r w:rsidRPr="00E87C0B">
              <w:t>setting and reviewing workplace projects and busine</w:t>
            </w:r>
            <w:r w:rsidRPr="00E87C0B">
              <w:t>ss simulations or scenarios</w:t>
            </w:r>
          </w:p>
          <w:p w:rsidR="00000000" w:rsidRPr="00E87C0B" w:rsidP="00E87C0B">
            <w:pPr>
              <w:pStyle w:val="ListBullet"/>
            </w:pPr>
            <w:r w:rsidRPr="00E87C0B">
              <w:t>evaluating samples of work</w:t>
            </w:r>
          </w:p>
          <w:p w:rsidR="00000000" w:rsidP="00E87C0B">
            <w:pPr>
              <w:pStyle w:val="ListBullet"/>
              <w:rPr>
                <w:lang w:val="en-NZ"/>
              </w:rPr>
            </w:pPr>
            <w:r w:rsidRPr="00E87C0B">
              <w:t>accessing and validating third party reports.</w:t>
            </w:r>
          </w:p>
        </w:tc>
      </w:tr>
      <w:tr w:rsidTr="006F30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11" w:name="O_77293"/>
      <w:bookmarkEnd w:id="11"/>
      <w:r w:rsidRPr="00E87C0B">
        <w:t>Range Statement</w:t>
      </w:r>
    </w:p>
    <w:tbl>
      <w:tblPr>
        <w:tblW w:w="0" w:type="auto"/>
        <w:tblLayout w:type="fixed"/>
        <w:tblCellMar>
          <w:left w:w="62" w:type="dxa"/>
          <w:right w:w="62" w:type="dxa"/>
        </w:tblCellMar>
        <w:tblLook w:val="0000"/>
      </w:tblPr>
      <w:tblGrid>
        <w:gridCol w:w="2544"/>
        <w:gridCol w:w="5978"/>
      </w:tblGrid>
      <w:tr w:rsidTr="006F30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RANGE STATEMENT</w:t>
            </w:r>
          </w:p>
        </w:tc>
      </w:tr>
      <w:tr w:rsidTr="006F30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t>The range statement relates to the unit of competency as a whole. It allows for different work environments and situations that may affect performance. Bold italicised wording, if used in the performance criteria, is detailed below. Essential operating con</w:t>
            </w:r>
            <w:r w:rsidRPr="00E87C0B">
              <w:t>ditions that may be present with training and assessment (depending on the work situation, needs of the candidate, accessibility of the item, and local industry and regional contexts) may also be included.</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Assets and liabilities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cash accounts</w:t>
            </w:r>
          </w:p>
          <w:p w:rsidR="00000000" w:rsidRPr="00E87C0B" w:rsidP="00E87C0B">
            <w:pPr>
              <w:pStyle w:val="ListBullet"/>
            </w:pPr>
            <w:r w:rsidRPr="00E87C0B">
              <w:t>loans, leases and debts</w:t>
            </w:r>
          </w:p>
          <w:p w:rsidR="00000000" w:rsidRPr="00E87C0B" w:rsidP="00E87C0B">
            <w:pPr>
              <w:pStyle w:val="ListBullet"/>
            </w:pPr>
            <w:r w:rsidRPr="00E87C0B">
              <w:t>personnel</w:t>
            </w:r>
          </w:p>
          <w:p w:rsidR="00000000" w:rsidRPr="00E87C0B" w:rsidP="00E87C0B">
            <w:pPr>
              <w:pStyle w:val="ListBullet"/>
            </w:pPr>
            <w:r w:rsidRPr="00E87C0B">
              <w:t>plant and equipment</w:t>
            </w:r>
          </w:p>
          <w:p w:rsidR="00000000" w:rsidRPr="00E87C0B" w:rsidP="00E87C0B">
            <w:pPr>
              <w:pStyle w:val="ListBullet"/>
            </w:pPr>
            <w:r w:rsidRPr="00E87C0B">
              <w:t>property investments</w:t>
            </w:r>
          </w:p>
          <w:p w:rsidR="00000000" w:rsidP="00E87C0B">
            <w:pPr>
              <w:pStyle w:val="ListBullet"/>
              <w:rPr>
                <w:lang w:val="en-NZ"/>
              </w:rPr>
            </w:pPr>
            <w:r w:rsidRPr="00E87C0B">
              <w:t>shares, bonds and securities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Stakeholders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clients</w:t>
            </w:r>
          </w:p>
          <w:p w:rsidR="00000000" w:rsidRPr="00E87C0B" w:rsidP="00E87C0B">
            <w:pPr>
              <w:pStyle w:val="ListBullet"/>
            </w:pPr>
            <w:r w:rsidRPr="00E87C0B">
              <w:t>employees</w:t>
            </w:r>
          </w:p>
          <w:p w:rsidR="00000000" w:rsidRPr="00E87C0B" w:rsidP="00E87C0B">
            <w:pPr>
              <w:pStyle w:val="ListBullet"/>
            </w:pPr>
            <w:r w:rsidRPr="00E87C0B">
              <w:t>financial institutions</w:t>
            </w:r>
          </w:p>
          <w:p w:rsidR="00000000" w:rsidRPr="00E87C0B" w:rsidP="00E87C0B">
            <w:pPr>
              <w:pStyle w:val="ListBullet"/>
            </w:pPr>
            <w:r w:rsidRPr="00E87C0B">
              <w:t xml:space="preserve">managers and company officers: </w:t>
            </w:r>
          </w:p>
          <w:p w:rsidR="00000000" w:rsidRPr="00E87C0B" w:rsidP="00E87C0B">
            <w:pPr>
              <w:pStyle w:val="ListBullet2"/>
            </w:pPr>
            <w:r w:rsidRPr="00E87C0B">
              <w:t xml:space="preserve">company directors </w:t>
            </w:r>
          </w:p>
          <w:p w:rsidR="00000000" w:rsidRPr="00E87C0B" w:rsidP="00E87C0B">
            <w:pPr>
              <w:pStyle w:val="ListBullet2"/>
            </w:pPr>
            <w:r w:rsidRPr="00E87C0B">
              <w:t>boards of management</w:t>
            </w:r>
          </w:p>
          <w:p w:rsidR="00000000" w:rsidP="00E87C0B">
            <w:pPr>
              <w:pStyle w:val="ListBullet"/>
              <w:rPr>
                <w:lang w:val="en-NZ"/>
              </w:rPr>
            </w:pPr>
            <w:r w:rsidRPr="00E87C0B">
              <w:t>suppliers.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Claims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financial institution borrowings</w:t>
            </w:r>
          </w:p>
          <w:p w:rsidR="00000000" w:rsidRPr="00E87C0B" w:rsidP="00E87C0B">
            <w:pPr>
              <w:pStyle w:val="ListBullet"/>
            </w:pPr>
            <w:r w:rsidRPr="00E87C0B">
              <w:t>lease owners</w:t>
            </w:r>
          </w:p>
          <w:p w:rsidR="00000000" w:rsidRPr="00E87C0B" w:rsidP="00E87C0B">
            <w:pPr>
              <w:pStyle w:val="ListBullet"/>
            </w:pPr>
            <w:r w:rsidRPr="00E87C0B">
              <w:t>redundancy payments</w:t>
            </w:r>
          </w:p>
          <w:p w:rsidR="00000000" w:rsidRPr="00E87C0B" w:rsidP="00E87C0B">
            <w:pPr>
              <w:pStyle w:val="ListBullet"/>
            </w:pPr>
            <w:r w:rsidRPr="00E87C0B">
              <w:t>salaries</w:t>
            </w:r>
          </w:p>
          <w:p w:rsidR="00000000" w:rsidRPr="00E87C0B" w:rsidP="00E87C0B">
            <w:pPr>
              <w:pStyle w:val="ListBullet"/>
            </w:pPr>
            <w:r w:rsidRPr="00E87C0B">
              <w:t>superannuation payments</w:t>
            </w:r>
          </w:p>
          <w:p w:rsidR="00000000" w:rsidP="00E87C0B">
            <w:pPr>
              <w:pStyle w:val="ListBullet"/>
              <w:rPr>
                <w:lang w:val="en-NZ"/>
              </w:rPr>
            </w:pPr>
            <w:r w:rsidRPr="00E87C0B">
              <w:t>unpaid suppliers.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Agreed criteria</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decision making authorities</w:t>
            </w:r>
          </w:p>
          <w:p w:rsidR="00000000" w:rsidRPr="00E87C0B" w:rsidP="00E87C0B">
            <w:pPr>
              <w:pStyle w:val="ListBullet"/>
            </w:pPr>
            <w:r w:rsidRPr="00E87C0B">
              <w:t>forecasted returns</w:t>
            </w:r>
          </w:p>
          <w:p w:rsidR="00000000" w:rsidRPr="00E87C0B" w:rsidP="00E87C0B">
            <w:pPr>
              <w:pStyle w:val="ListBullet"/>
            </w:pPr>
            <w:r w:rsidRPr="00E87C0B">
              <w:t>net present values</w:t>
            </w:r>
          </w:p>
          <w:p w:rsidR="00000000" w:rsidRPr="00E87C0B" w:rsidP="00E87C0B">
            <w:pPr>
              <w:pStyle w:val="ListBullet"/>
            </w:pPr>
            <w:r w:rsidRPr="00E87C0B">
              <w:t>periodic reports</w:t>
            </w:r>
          </w:p>
          <w:p w:rsidR="00000000" w:rsidP="00E87C0B">
            <w:pPr>
              <w:pStyle w:val="ListBullet"/>
              <w:rPr>
                <w:lang w:val="en-NZ"/>
              </w:rPr>
            </w:pPr>
            <w:r w:rsidRPr="00E87C0B">
              <w:t>strategic priorities.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Milestones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compliance with scheduled payment dates</w:t>
            </w:r>
          </w:p>
          <w:p w:rsidR="00000000" w:rsidRPr="00E87C0B" w:rsidP="00E87C0B">
            <w:pPr>
              <w:pStyle w:val="ListBullet"/>
            </w:pPr>
            <w:r w:rsidRPr="00E87C0B">
              <w:t>debt reduction targets</w:t>
            </w:r>
          </w:p>
          <w:p w:rsidR="00000000" w:rsidRPr="00E87C0B" w:rsidP="00E87C0B">
            <w:pPr>
              <w:pStyle w:val="ListBullet"/>
            </w:pPr>
            <w:r w:rsidRPr="00E87C0B">
              <w:t>profits and losses</w:t>
            </w:r>
          </w:p>
          <w:p w:rsidR="00000000" w:rsidRPr="00E87C0B" w:rsidP="00E87C0B">
            <w:pPr>
              <w:pStyle w:val="ListBullet"/>
            </w:pPr>
            <w:r w:rsidRPr="00E87C0B">
              <w:t>reports:</w:t>
            </w:r>
          </w:p>
          <w:p w:rsidR="00000000" w:rsidRPr="00E87C0B" w:rsidP="00E87C0B">
            <w:pPr>
              <w:pStyle w:val="ListBullet2"/>
            </w:pPr>
            <w:r w:rsidRPr="00E87C0B">
              <w:t>quarterly</w:t>
            </w:r>
          </w:p>
          <w:p w:rsidR="00000000" w:rsidRPr="00E87C0B" w:rsidP="00E87C0B">
            <w:pPr>
              <w:pStyle w:val="ListBullet2"/>
            </w:pPr>
            <w:r w:rsidRPr="00E87C0B">
              <w:t>half-yearly</w:t>
            </w:r>
          </w:p>
          <w:p w:rsidR="00000000" w:rsidP="00E87C0B">
            <w:pPr>
              <w:pStyle w:val="ListBullet2"/>
              <w:rPr>
                <w:lang w:val="en-NZ"/>
              </w:rPr>
            </w:pPr>
            <w:r w:rsidRPr="00E87C0B">
              <w:t>annually</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Implementation schedules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budgeting periods</w:t>
            </w:r>
          </w:p>
          <w:p w:rsidR="00000000" w:rsidRPr="00E87C0B" w:rsidP="00E87C0B">
            <w:pPr>
              <w:pStyle w:val="ListBullet"/>
            </w:pPr>
            <w:r w:rsidRPr="00E87C0B">
              <w:t>consultation schedules</w:t>
            </w:r>
          </w:p>
          <w:p w:rsidR="00000000" w:rsidRPr="00E87C0B" w:rsidP="00E87C0B">
            <w:pPr>
              <w:pStyle w:val="ListBullet"/>
            </w:pPr>
            <w:r w:rsidRPr="00E87C0B">
              <w:t>evaluation of commercial viability timetable</w:t>
            </w:r>
          </w:p>
          <w:p w:rsidR="00000000" w:rsidRPr="00E87C0B" w:rsidP="00E87C0B">
            <w:pPr>
              <w:pStyle w:val="ListBullet"/>
            </w:pPr>
            <w:r w:rsidRPr="00E87C0B">
              <w:t>liquidation dates</w:t>
            </w:r>
          </w:p>
          <w:p w:rsidR="00000000" w:rsidP="00E87C0B">
            <w:pPr>
              <w:pStyle w:val="ListBullet"/>
              <w:rPr>
                <w:lang w:val="en-NZ"/>
              </w:rPr>
            </w:pPr>
            <w:r w:rsidRPr="00E87C0B">
              <w:t>repayment schedules.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Reporting responsibilities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administrator reports</w:t>
            </w:r>
          </w:p>
          <w:p w:rsidR="00000000" w:rsidRPr="00E87C0B" w:rsidP="00E87C0B">
            <w:pPr>
              <w:pStyle w:val="ListBullet"/>
            </w:pPr>
            <w:r w:rsidRPr="00E87C0B">
              <w:t>availability of credit</w:t>
            </w:r>
          </w:p>
          <w:p w:rsidR="00000000" w:rsidRPr="00E87C0B" w:rsidP="00E87C0B">
            <w:pPr>
              <w:pStyle w:val="ListBullet"/>
            </w:pPr>
            <w:r w:rsidRPr="00E87C0B">
              <w:t>commercial viabilities</w:t>
            </w:r>
          </w:p>
          <w:p w:rsidR="00000000" w:rsidRPr="00E87C0B" w:rsidP="00E87C0B">
            <w:pPr>
              <w:pStyle w:val="ListBullet"/>
            </w:pPr>
            <w:r w:rsidRPr="00E87C0B">
              <w:t>compliance requirements</w:t>
            </w:r>
          </w:p>
          <w:p w:rsidR="00000000" w:rsidP="00E87C0B">
            <w:pPr>
              <w:pStyle w:val="ListBullet"/>
              <w:rPr>
                <w:lang w:val="en-NZ"/>
              </w:rPr>
            </w:pPr>
            <w:r w:rsidRPr="00E87C0B">
              <w:t>valuations.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Data</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Australian Bureau of Statistics (ABS) economic data</w:t>
            </w:r>
          </w:p>
          <w:p w:rsidR="00000000" w:rsidRPr="00E87C0B" w:rsidP="00E87C0B">
            <w:pPr>
              <w:pStyle w:val="ListBullet"/>
            </w:pPr>
            <w:r w:rsidRPr="00E87C0B">
              <w:t>budgets and forecasts</w:t>
            </w:r>
          </w:p>
          <w:p w:rsidR="00000000" w:rsidRPr="00E87C0B" w:rsidP="00E87C0B">
            <w:pPr>
              <w:pStyle w:val="ListBullet"/>
            </w:pPr>
            <w:r w:rsidRPr="00E87C0B">
              <w:t>credit ratings</w:t>
            </w:r>
          </w:p>
          <w:p w:rsidR="00000000" w:rsidRPr="00E87C0B" w:rsidP="00E87C0B">
            <w:pPr>
              <w:pStyle w:val="ListBullet"/>
            </w:pPr>
            <w:r w:rsidRPr="00E87C0B">
              <w:t xml:space="preserve">financial markets monitoring services </w:t>
            </w:r>
          </w:p>
          <w:p w:rsidR="00000000" w:rsidRPr="00E87C0B" w:rsidP="00E87C0B">
            <w:pPr>
              <w:pStyle w:val="ListBullet"/>
            </w:pPr>
            <w:r w:rsidRPr="00E87C0B">
              <w:t>financial statements and reports</w:t>
            </w:r>
          </w:p>
          <w:p w:rsidR="00000000" w:rsidP="00E87C0B">
            <w:pPr>
              <w:pStyle w:val="ListBullet"/>
              <w:rPr>
                <w:lang w:val="en-NZ"/>
              </w:rPr>
            </w:pPr>
            <w:r w:rsidRPr="00E87C0B">
              <w:t>market valuations.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Statutory requirements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corporations law</w:t>
            </w:r>
          </w:p>
          <w:p w:rsidR="00000000" w:rsidRPr="00E87C0B" w:rsidP="00E87C0B">
            <w:pPr>
              <w:pStyle w:val="ListBullet"/>
            </w:pPr>
            <w:r w:rsidRPr="00E87C0B">
              <w:t>delegated authorities</w:t>
            </w:r>
          </w:p>
          <w:p w:rsidR="00000000" w:rsidRPr="00E87C0B" w:rsidP="00E87C0B">
            <w:pPr>
              <w:pStyle w:val="ListBullet"/>
            </w:pPr>
            <w:r w:rsidRPr="00E87C0B">
              <w:t>internal control procedures</w:t>
            </w:r>
          </w:p>
          <w:p w:rsidR="00000000" w:rsidRPr="00E87C0B" w:rsidP="00E87C0B">
            <w:pPr>
              <w:pStyle w:val="ListBullet"/>
            </w:pPr>
            <w:r w:rsidRPr="00E87C0B">
              <w:t>reporting periods</w:t>
            </w:r>
          </w:p>
          <w:p w:rsidR="00000000" w:rsidP="00E87C0B">
            <w:pPr>
              <w:pStyle w:val="ListBullet"/>
              <w:rPr>
                <w:lang w:val="en-NZ"/>
              </w:rPr>
            </w:pPr>
            <w:r w:rsidRPr="00E87C0B">
              <w:t>taxation payment timings.</w:t>
            </w:r>
          </w:p>
        </w:tc>
      </w:tr>
      <w:tr w:rsidTr="006F30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BoldandItalics"/>
              </w:rPr>
              <w:t>Delays</w:t>
            </w:r>
            <w:r w:rsidRPr="00E87C0B">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ListBullet"/>
            </w:pPr>
            <w:r w:rsidRPr="00E87C0B">
              <w:t>court orders</w:t>
            </w:r>
          </w:p>
          <w:p w:rsidR="00000000" w:rsidRPr="00E87C0B" w:rsidP="00E87C0B">
            <w:pPr>
              <w:pStyle w:val="ListBullet"/>
            </w:pPr>
            <w:r w:rsidRPr="00E87C0B">
              <w:t>creditor default</w:t>
            </w:r>
          </w:p>
          <w:p w:rsidR="00000000" w:rsidRPr="00E87C0B" w:rsidP="00E87C0B">
            <w:pPr>
              <w:pStyle w:val="ListBullet"/>
            </w:pPr>
            <w:r w:rsidRPr="00E87C0B">
              <w:t>identification of ownership</w:t>
            </w:r>
          </w:p>
          <w:p w:rsidR="00000000" w:rsidRPr="00E87C0B" w:rsidP="00E87C0B">
            <w:pPr>
              <w:pStyle w:val="ListBullet"/>
            </w:pPr>
            <w:r w:rsidRPr="00E87C0B">
              <w:t>industrial action</w:t>
            </w:r>
          </w:p>
          <w:p w:rsidR="00000000" w:rsidRPr="00E87C0B" w:rsidP="00E87C0B">
            <w:pPr>
              <w:pStyle w:val="ListBullet"/>
            </w:pPr>
            <w:r w:rsidRPr="00E87C0B">
              <w:t>taxation assessments.</w:t>
            </w:r>
          </w:p>
        </w:tc>
      </w:tr>
    </w:tbl>
    <w:p w:rsidR="006F3085" w:rsidP="00E87C0B">
      <w:pPr>
        <w:pStyle w:val="BodyText"/>
      </w:pPr>
    </w:p>
    <w:p w:rsidR="006F3085" w:rsidP="00E87C0B">
      <w:pPr>
        <w:pStyle w:val="BodyText"/>
      </w:pPr>
    </w:p>
    <w:p w:rsidR="00000000" w:rsidRPr="00E87C0B" w:rsidP="00E87C0B">
      <w:pPr>
        <w:pStyle w:val="Heading1"/>
      </w:pPr>
      <w:bookmarkStart w:id="12" w:name="O_77294"/>
      <w:bookmarkEnd w:id="12"/>
      <w:r w:rsidRPr="00E87C0B">
        <w:t>Unit Sector(s)</w:t>
      </w:r>
    </w:p>
    <w:tbl>
      <w:tblPr>
        <w:tblW w:w="0" w:type="auto"/>
        <w:tblLayout w:type="fixed"/>
        <w:tblCellMar>
          <w:left w:w="62" w:type="dxa"/>
          <w:right w:w="62" w:type="dxa"/>
        </w:tblCellMar>
        <w:tblLook w:val="0000"/>
      </w:tblPr>
      <w:tblGrid>
        <w:gridCol w:w="2590"/>
        <w:gridCol w:w="5932"/>
      </w:tblGrid>
      <w:tr w:rsidTr="006F3085">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r w:rsidRPr="00E87C0B">
              <w:t>Accounting</w:t>
            </w: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13" w:name="O_156121"/>
      <w:bookmarkEnd w:id="13"/>
      <w:r w:rsidRPr="00E87C0B">
        <w:t>Competency field</w:t>
      </w:r>
    </w:p>
    <w:tbl>
      <w:tblPr>
        <w:tblW w:w="0" w:type="auto"/>
        <w:tblLayout w:type="fixed"/>
        <w:tblCellMar>
          <w:left w:w="62" w:type="dxa"/>
          <w:right w:w="62" w:type="dxa"/>
        </w:tblCellMar>
        <w:tblLook w:val="0000"/>
      </w:tblPr>
      <w:tblGrid>
        <w:gridCol w:w="2754"/>
        <w:gridCol w:w="5768"/>
      </w:tblGrid>
      <w:tr w:rsidTr="006F308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p>
        </w:tc>
      </w:tr>
    </w:tbl>
    <w:p w:rsidR="00000000" w:rsidRPr="00E87C0B" w:rsidP="00E87C0B">
      <w:pPr>
        <w:pStyle w:val="BodyText"/>
      </w:pPr>
    </w:p>
    <w:p w:rsidR="00000000" w:rsidRPr="00E87C0B" w:rsidP="00E87C0B">
      <w:pPr>
        <w:pStyle w:val="AllowPageBreak"/>
      </w:pPr>
    </w:p>
    <w:p w:rsidR="00000000" w:rsidRPr="00E87C0B" w:rsidP="00E87C0B">
      <w:pPr>
        <w:pStyle w:val="Heading1"/>
      </w:pPr>
      <w:bookmarkStart w:id="14" w:name="O_156120"/>
      <w:bookmarkEnd w:id="14"/>
      <w:r w:rsidRPr="00E87C0B">
        <w:t>Co-requisite units</w:t>
      </w:r>
    </w:p>
    <w:tbl>
      <w:tblPr>
        <w:tblW w:w="0" w:type="auto"/>
        <w:tblLayout w:type="fixed"/>
        <w:tblCellMar>
          <w:left w:w="62" w:type="dxa"/>
          <w:right w:w="62" w:type="dxa"/>
        </w:tblCellMar>
        <w:tblLook w:val="0000"/>
      </w:tblPr>
      <w:tblGrid>
        <w:gridCol w:w="2629"/>
        <w:gridCol w:w="1324"/>
        <w:gridCol w:w="4569"/>
      </w:tblGrid>
      <w:tr w:rsidTr="006F308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r w:rsidRPr="00E87C0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C0B">
            <w:pPr>
              <w:pStyle w:val="BodyText"/>
              <w:rPr>
                <w:lang w:val="en-NZ"/>
              </w:rPr>
            </w:pPr>
          </w:p>
        </w:tc>
      </w:tr>
      <w:tr w:rsidTr="006F308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C0B" w:rsidP="00E87C0B">
            <w:pPr>
              <w:pStyle w:val="BodyText"/>
            </w:pPr>
          </w:p>
        </w:tc>
      </w:tr>
    </w:tbl>
    <w:p w:rsidR="00000000" w:rsidRPr="00E87C0B" w:rsidP="00E87C0B">
      <w:pPr>
        <w:pStyle w:val="BodyText"/>
      </w:pPr>
    </w:p>
    <w:p w:rsidR="00000000" w:rsidRPr="00E87C0B" w:rsidP="00E87C0B"/>
    <w:sectPr w:rsidSect="00E87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085" w:rsidP="006F3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85" w:rsidP="00E87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3085" w:rsidP="00E87C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3085" w:rsidP="00E87C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085" w:rsidP="006F30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85" w:rsidP="00E87C0B">
    <w:pPr>
      <w:pStyle w:val="Header"/>
      <w:framePr w:wrap="around"/>
    </w:pPr>
    <w:r>
      <w:fldChar w:fldCharType="begin"/>
    </w:r>
    <w:r>
      <w:instrText xml:space="preserve"> TITLE   \* MERGEFORMAT </w:instrText>
    </w:r>
    <w:r>
      <w:fldChar w:fldCharType="separate"/>
    </w:r>
    <w:r>
      <w:t>FNSACC611A Implement an insolvency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085" w:rsidP="00E87C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CD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A7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23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C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C0B"/>
    <w:pPr>
      <w:spacing w:before="360" w:after="60"/>
      <w:outlineLvl w:val="0"/>
    </w:pPr>
    <w:rPr>
      <w:sz w:val="32"/>
    </w:rPr>
  </w:style>
  <w:style w:type="paragraph" w:styleId="Heading2">
    <w:name w:val="heading 2"/>
    <w:basedOn w:val="HeadingBase"/>
    <w:next w:val="BodyText"/>
    <w:link w:val="Heading2Char"/>
    <w:qFormat/>
    <w:rsid w:val="00E87C0B"/>
    <w:pPr>
      <w:keepLines/>
      <w:spacing w:before="240" w:after="120"/>
      <w:outlineLvl w:val="1"/>
    </w:pPr>
    <w:rPr>
      <w:sz w:val="28"/>
      <w:szCs w:val="40"/>
    </w:rPr>
  </w:style>
  <w:style w:type="paragraph" w:styleId="Heading3">
    <w:name w:val="heading 3"/>
    <w:basedOn w:val="HeadingBase"/>
    <w:next w:val="BodyText"/>
    <w:link w:val="Heading3Char"/>
    <w:qFormat/>
    <w:rsid w:val="00E87C0B"/>
    <w:pPr>
      <w:spacing w:before="180" w:after="120"/>
      <w:outlineLvl w:val="2"/>
    </w:pPr>
    <w:rPr>
      <w:spacing w:val="-10"/>
      <w:kern w:val="32"/>
    </w:rPr>
  </w:style>
  <w:style w:type="paragraph" w:styleId="Heading4">
    <w:name w:val="heading 4"/>
    <w:basedOn w:val="HeadingBase"/>
    <w:next w:val="BodyText"/>
    <w:link w:val="Heading4Char"/>
    <w:qFormat/>
    <w:rsid w:val="00E87C0B"/>
    <w:pPr>
      <w:spacing w:before="160" w:after="120"/>
      <w:outlineLvl w:val="3"/>
    </w:pPr>
    <w:rPr>
      <w:sz w:val="22"/>
    </w:rPr>
  </w:style>
  <w:style w:type="paragraph" w:styleId="Heading5">
    <w:name w:val="heading 5"/>
    <w:basedOn w:val="HeadingBase"/>
    <w:next w:val="Normal"/>
    <w:link w:val="Heading5Char"/>
    <w:qFormat/>
    <w:rsid w:val="00E87C0B"/>
    <w:pPr>
      <w:spacing w:before="80"/>
      <w:outlineLvl w:val="4"/>
    </w:pPr>
    <w:rPr>
      <w:color w:val="918585"/>
      <w:sz w:val="20"/>
    </w:rPr>
  </w:style>
  <w:style w:type="paragraph" w:styleId="Heading6">
    <w:name w:val="heading 6"/>
    <w:basedOn w:val="HeadingBase"/>
    <w:next w:val="Normal"/>
    <w:link w:val="Heading6Char"/>
    <w:qFormat/>
    <w:rsid w:val="00E87C0B"/>
    <w:pPr>
      <w:spacing w:before="60"/>
      <w:outlineLvl w:val="5"/>
    </w:pPr>
    <w:rPr>
      <w:color w:val="918585"/>
      <w:sz w:val="20"/>
    </w:rPr>
  </w:style>
  <w:style w:type="paragraph" w:styleId="Heading7">
    <w:name w:val="heading 7"/>
    <w:basedOn w:val="Normal"/>
    <w:next w:val="Normal"/>
    <w:link w:val="Heading7Char"/>
    <w:qFormat/>
    <w:rsid w:val="00E87C0B"/>
    <w:pPr>
      <w:ind w:left="720"/>
      <w:outlineLvl w:val="6"/>
    </w:pPr>
    <w:rPr>
      <w:i/>
    </w:rPr>
  </w:style>
  <w:style w:type="paragraph" w:styleId="Heading8">
    <w:name w:val="heading 8"/>
    <w:basedOn w:val="Normal"/>
    <w:next w:val="Normal"/>
    <w:link w:val="Heading8Char"/>
    <w:qFormat/>
    <w:rsid w:val="00E87C0B"/>
    <w:pPr>
      <w:ind w:left="720"/>
      <w:outlineLvl w:val="7"/>
    </w:pPr>
    <w:rPr>
      <w:i/>
    </w:rPr>
  </w:style>
  <w:style w:type="paragraph" w:styleId="Heading9">
    <w:name w:val="heading 9"/>
    <w:basedOn w:val="Normal"/>
    <w:next w:val="Normal"/>
    <w:link w:val="Heading9Char"/>
    <w:qFormat/>
    <w:rsid w:val="00E87C0B"/>
    <w:pPr>
      <w:ind w:left="720"/>
      <w:outlineLvl w:val="8"/>
    </w:pPr>
    <w:rPr>
      <w:i/>
    </w:rPr>
  </w:style>
  <w:style w:type="character" w:default="1" w:styleId="DefaultParagraphFont">
    <w:name w:val="Default Paragraph Font"/>
    <w:uiPriority w:val="1"/>
    <w:unhideWhenUsed/>
    <w:rsid w:val="00E87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C0B"/>
  </w:style>
  <w:style w:type="character" w:customStyle="1" w:styleId="Heading1Char">
    <w:name w:val="Heading 1 Char"/>
    <w:basedOn w:val="DefaultParagraphFont"/>
    <w:link w:val="Heading1"/>
    <w:rsid w:val="00E87C0B"/>
    <w:rPr>
      <w:rFonts w:ascii="Times New Roman" w:eastAsia="Times New Roman" w:hAnsi="Times New Roman" w:cs="Times New Roman"/>
      <w:b/>
      <w:sz w:val="32"/>
      <w:szCs w:val="20"/>
      <w:lang w:eastAsia="en-US"/>
    </w:rPr>
  </w:style>
  <w:style w:type="paragraph" w:styleId="BodyText">
    <w:name w:val="Body Text"/>
    <w:basedOn w:val="Normal"/>
    <w:link w:val="BodyTextChar"/>
    <w:rsid w:val="00E87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C0B"/>
    <w:rPr>
      <w:rFonts w:ascii="Times New Roman" w:eastAsia="Times New Roman" w:hAnsi="Times New Roman" w:cs="Times New Roman"/>
      <w:sz w:val="24"/>
      <w:lang w:val="en-US" w:eastAsia="en-US"/>
    </w:rPr>
  </w:style>
  <w:style w:type="paragraph" w:styleId="Footer">
    <w:name w:val="footer"/>
    <w:basedOn w:val="Normal"/>
    <w:link w:val="FooterChar"/>
    <w:rsid w:val="00E87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C0B"/>
    <w:rPr>
      <w:rFonts w:ascii="Times New Roman" w:eastAsia="Times New Roman" w:hAnsi="Times New Roman" w:cs="Times New Roman"/>
      <w:sz w:val="16"/>
      <w:lang w:val="en-US" w:eastAsia="en-US"/>
    </w:rPr>
  </w:style>
  <w:style w:type="paragraph" w:styleId="List">
    <w:name w:val="List"/>
    <w:basedOn w:val="BodyText"/>
    <w:next w:val="BodyText"/>
    <w:rsid w:val="00E87C0B"/>
    <w:pPr>
      <w:tabs>
        <w:tab w:val="left" w:pos="340"/>
      </w:tabs>
      <w:spacing w:before="60" w:after="60"/>
      <w:ind w:left="340" w:hanging="340"/>
    </w:pPr>
  </w:style>
  <w:style w:type="paragraph" w:styleId="ListBullet">
    <w:name w:val="List Bullet"/>
    <w:basedOn w:val="List"/>
    <w:rsid w:val="00E87C0B"/>
    <w:pPr>
      <w:numPr>
        <w:numId w:val="13"/>
      </w:numPr>
      <w:tabs>
        <w:tab w:val="clear" w:pos="340"/>
      </w:tabs>
      <w:spacing w:before="40" w:after="40"/>
    </w:pPr>
  </w:style>
  <w:style w:type="character" w:customStyle="1" w:styleId="SpecialBold">
    <w:name w:val="Special Bold"/>
    <w:basedOn w:val="DefaultParagraphFont"/>
    <w:rsid w:val="00E87C0B"/>
    <w:rPr>
      <w:b/>
      <w:spacing w:val="0"/>
    </w:rPr>
  </w:style>
  <w:style w:type="paragraph" w:styleId="ListBullet2">
    <w:name w:val="List Bullet 2"/>
    <w:basedOn w:val="List2"/>
    <w:rsid w:val="00E87C0B"/>
    <w:pPr>
      <w:numPr>
        <w:numId w:val="14"/>
      </w:numPr>
      <w:tabs>
        <w:tab w:val="clear" w:pos="680"/>
      </w:tabs>
    </w:pPr>
  </w:style>
  <w:style w:type="paragraph" w:styleId="Header">
    <w:name w:val="header"/>
    <w:basedOn w:val="Normal"/>
    <w:link w:val="HeaderChar"/>
    <w:rsid w:val="00E87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C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C0B"/>
    <w:pPr>
      <w:spacing w:before="240" w:after="120"/>
      <w:outlineLvl w:val="0"/>
    </w:pPr>
    <w:rPr>
      <w:rFonts w:ascii="Times New Roman" w:hAnsi="Times New Roman"/>
      <w:b/>
      <w:sz w:val="28"/>
    </w:rPr>
  </w:style>
  <w:style w:type="paragraph" w:customStyle="1" w:styleId="AllowPageBreak">
    <w:name w:val="AllowPageBreak"/>
    <w:rsid w:val="00E87C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C0B"/>
    <w:pPr>
      <w:tabs>
        <w:tab w:val="left" w:pos="680"/>
      </w:tabs>
      <w:spacing w:before="60" w:after="60"/>
      <w:ind w:left="680" w:hanging="340"/>
    </w:pPr>
  </w:style>
  <w:style w:type="character" w:customStyle="1" w:styleId="BoldandItalics">
    <w:name w:val="Bold and Italics"/>
    <w:qFormat/>
    <w:rsid w:val="00E87C0B"/>
    <w:rPr>
      <w:b/>
      <w:i/>
      <w:u w:val="none"/>
    </w:rPr>
  </w:style>
  <w:style w:type="character" w:customStyle="1" w:styleId="Heading2Char">
    <w:name w:val="Heading 2 Char"/>
    <w:basedOn w:val="DefaultParagraphFont"/>
    <w:link w:val="Heading2"/>
    <w:rsid w:val="00E87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C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C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C0B"/>
    <w:rPr>
      <w:rFonts w:ascii="Courier New" w:eastAsia="Times New Roman" w:hAnsi="Courier New" w:cs="Times New Roman"/>
      <w:i/>
      <w:szCs w:val="20"/>
      <w:lang w:val="en-US" w:eastAsia="en-US"/>
    </w:rPr>
  </w:style>
  <w:style w:type="paragraph" w:customStyle="1" w:styleId="HeadingBase">
    <w:name w:val="Heading Base"/>
    <w:rsid w:val="00E87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C0B"/>
    <w:pPr>
      <w:tabs>
        <w:tab w:val="right" w:leader="dot" w:pos="9072"/>
      </w:tabs>
      <w:ind w:left="567"/>
    </w:pPr>
    <w:rPr>
      <w:szCs w:val="22"/>
    </w:rPr>
  </w:style>
  <w:style w:type="paragraph" w:customStyle="1" w:styleId="TOCBase">
    <w:name w:val="TOC Base"/>
    <w:rsid w:val="00E87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C0B"/>
    <w:pPr>
      <w:tabs>
        <w:tab w:val="right" w:leader="dot" w:pos="9072"/>
      </w:tabs>
      <w:spacing w:before="40" w:after="40"/>
      <w:ind w:left="284"/>
    </w:pPr>
    <w:rPr>
      <w:rFonts w:ascii="Times New Roman" w:hAnsi="Times New Roman"/>
    </w:rPr>
  </w:style>
  <w:style w:type="paragraph" w:styleId="TOC1">
    <w:name w:val="toc 1"/>
    <w:basedOn w:val="TOCBase"/>
    <w:next w:val="Normal"/>
    <w:rsid w:val="00E87C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C0B"/>
    <w:pPr>
      <w:spacing w:before="5040"/>
      <w:jc w:val="center"/>
    </w:pPr>
    <w:rPr>
      <w:sz w:val="48"/>
      <w:szCs w:val="72"/>
      <w:lang w:val="en-US"/>
    </w:rPr>
  </w:style>
  <w:style w:type="character" w:customStyle="1" w:styleId="TitleChar">
    <w:name w:val="Title Char"/>
    <w:basedOn w:val="DefaultParagraphFont"/>
    <w:link w:val="Title"/>
    <w:rsid w:val="00E87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C0B"/>
    <w:pPr>
      <w:tabs>
        <w:tab w:val="left" w:pos="3600"/>
        <w:tab w:val="left" w:pos="3958"/>
      </w:tabs>
    </w:pPr>
  </w:style>
  <w:style w:type="paragraph" w:customStyle="1" w:styleId="Note">
    <w:name w:val="Note"/>
    <w:basedOn w:val="BodyText"/>
    <w:rsid w:val="00E87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C0B"/>
    <w:pPr>
      <w:framePr w:wrap="auto" w:hAnchor="text" w:y="6049"/>
    </w:pPr>
    <w:rPr>
      <w:color w:val="000000"/>
      <w:sz w:val="40"/>
    </w:rPr>
  </w:style>
  <w:style w:type="paragraph" w:customStyle="1" w:styleId="TOCTitle">
    <w:name w:val="TOCTitle"/>
    <w:basedOn w:val="Heading1"/>
    <w:rsid w:val="00E87C0B"/>
    <w:pPr>
      <w:spacing w:after="240"/>
      <w:jc w:val="center"/>
      <w:outlineLvl w:val="9"/>
    </w:pPr>
    <w:rPr>
      <w:caps/>
    </w:rPr>
  </w:style>
  <w:style w:type="paragraph" w:customStyle="1" w:styleId="Version">
    <w:name w:val="Version"/>
    <w:rsid w:val="00E87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C0B"/>
    <w:pPr>
      <w:keepNext w:val="0"/>
      <w:tabs>
        <w:tab w:val="right" w:pos="4176"/>
      </w:tabs>
      <w:ind w:left="198" w:hanging="198"/>
    </w:pPr>
    <w:rPr>
      <w:rFonts w:ascii="Garamond" w:hAnsi="Garamond"/>
    </w:rPr>
  </w:style>
  <w:style w:type="paragraph" w:styleId="IndexHeading">
    <w:name w:val="index heading"/>
    <w:basedOn w:val="Normal"/>
    <w:next w:val="Index1"/>
    <w:semiHidden/>
    <w:rsid w:val="00E87C0B"/>
    <w:pPr>
      <w:spacing w:before="120" w:after="120"/>
    </w:pPr>
    <w:rPr>
      <w:rFonts w:ascii="Arial" w:hAnsi="Arial"/>
      <w:b/>
      <w:color w:val="918585"/>
      <w:sz w:val="24"/>
    </w:rPr>
  </w:style>
  <w:style w:type="paragraph" w:customStyle="1" w:styleId="Chapter">
    <w:name w:val="Chapter"/>
    <w:basedOn w:val="Normal"/>
    <w:rsid w:val="00E87C0B"/>
    <w:pPr>
      <w:spacing w:before="240"/>
    </w:pPr>
    <w:rPr>
      <w:rFonts w:ascii="Times New Roman" w:hAnsi="Times New Roman"/>
      <w:smallCaps/>
      <w:spacing w:val="80"/>
      <w:sz w:val="28"/>
    </w:rPr>
  </w:style>
  <w:style w:type="paragraph" w:customStyle="1" w:styleId="InChapter">
    <w:name w:val="InChapter"/>
    <w:basedOn w:val="Heading3"/>
    <w:rsid w:val="00E87C0B"/>
    <w:pPr>
      <w:spacing w:after="240"/>
      <w:outlineLvl w:val="9"/>
    </w:pPr>
    <w:rPr>
      <w:noProof/>
    </w:rPr>
  </w:style>
  <w:style w:type="paragraph" w:styleId="Index2">
    <w:name w:val="index 2"/>
    <w:basedOn w:val="Normal"/>
    <w:next w:val="Normal"/>
    <w:semiHidden/>
    <w:rsid w:val="00E87C0B"/>
    <w:pPr>
      <w:tabs>
        <w:tab w:val="right" w:pos="4176"/>
      </w:tabs>
      <w:ind w:left="568" w:hanging="284"/>
    </w:pPr>
    <w:rPr>
      <w:rFonts w:ascii="Garamond" w:hAnsi="Garamond"/>
    </w:rPr>
  </w:style>
  <w:style w:type="paragraph" w:customStyle="1" w:styleId="Byline">
    <w:name w:val="Byline"/>
    <w:rsid w:val="00E87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C0B"/>
    <w:pPr>
      <w:tabs>
        <w:tab w:val="clear" w:pos="3600"/>
        <w:tab w:val="clear" w:pos="3958"/>
      </w:tabs>
      <w:jc w:val="right"/>
    </w:pPr>
  </w:style>
  <w:style w:type="character" w:styleId="Emphasis">
    <w:name w:val="Emphasis"/>
    <w:basedOn w:val="DefaultParagraphFont"/>
    <w:qFormat/>
    <w:rsid w:val="00E87C0B"/>
    <w:rPr>
      <w:i/>
    </w:rPr>
  </w:style>
  <w:style w:type="paragraph" w:styleId="Caption">
    <w:name w:val="caption"/>
    <w:basedOn w:val="BodyText"/>
    <w:next w:val="Normal"/>
    <w:qFormat/>
    <w:rsid w:val="00E87C0B"/>
    <w:pPr>
      <w:framePr w:w="2268" w:hSpace="181" w:vSpace="181" w:wrap="around" w:vAnchor="text" w:hAnchor="page" w:x="1135" w:y="285" w:anchorLock="1"/>
    </w:pPr>
    <w:rPr>
      <w:i/>
    </w:rPr>
  </w:style>
  <w:style w:type="paragraph" w:customStyle="1" w:styleId="MiniTOCTitle">
    <w:name w:val="MiniTOCTitle"/>
    <w:basedOn w:val="Heading4"/>
    <w:rsid w:val="00E87C0B"/>
    <w:pPr>
      <w:spacing w:before="240"/>
      <w:outlineLvl w:val="9"/>
    </w:pPr>
    <w:rPr>
      <w:noProof/>
      <w:sz w:val="24"/>
    </w:rPr>
  </w:style>
  <w:style w:type="paragraph" w:customStyle="1" w:styleId="MiniTOCItem">
    <w:name w:val="MiniTOCItem"/>
    <w:basedOn w:val="ListBullet"/>
    <w:rsid w:val="00E87C0B"/>
    <w:pPr>
      <w:numPr>
        <w:numId w:val="0"/>
      </w:numPr>
      <w:tabs>
        <w:tab w:val="right" w:leader="dot" w:pos="6521"/>
      </w:tabs>
      <w:spacing w:before="0" w:after="0"/>
    </w:pPr>
  </w:style>
  <w:style w:type="paragraph" w:customStyle="1" w:styleId="TOFTitle">
    <w:name w:val="TOFTitle"/>
    <w:basedOn w:val="TOCTitle"/>
    <w:rsid w:val="00E87C0B"/>
  </w:style>
  <w:style w:type="paragraph" w:styleId="TableofFigures">
    <w:name w:val="table of figures"/>
    <w:basedOn w:val="Normal"/>
    <w:next w:val="Normal"/>
    <w:semiHidden/>
    <w:rsid w:val="00E87C0B"/>
    <w:pPr>
      <w:tabs>
        <w:tab w:val="right" w:leader="dot" w:pos="9072"/>
      </w:tabs>
      <w:ind w:left="970" w:hanging="403"/>
    </w:pPr>
    <w:rPr>
      <w:rFonts w:ascii="Times New Roman" w:hAnsi="Times New Roman"/>
      <w:b/>
    </w:rPr>
  </w:style>
  <w:style w:type="paragraph" w:styleId="ListNumber">
    <w:name w:val="List Number"/>
    <w:basedOn w:val="List"/>
    <w:rsid w:val="00E87C0B"/>
    <w:pPr>
      <w:numPr>
        <w:numId w:val="11"/>
      </w:numPr>
    </w:pPr>
  </w:style>
  <w:style w:type="character" w:customStyle="1" w:styleId="WingdingSymbols">
    <w:name w:val="Wingding Symbols"/>
    <w:rsid w:val="00E87C0B"/>
    <w:rPr>
      <w:rFonts w:ascii="Wingdings" w:hAnsi="Wingdings"/>
    </w:rPr>
  </w:style>
  <w:style w:type="paragraph" w:customStyle="1" w:styleId="TableHeading">
    <w:name w:val="Table Heading"/>
    <w:basedOn w:val="HeadingBase"/>
    <w:rsid w:val="00E87C0B"/>
    <w:pPr>
      <w:keepLines/>
      <w:pBdr>
        <w:bottom w:val="single" w:sz="6" w:space="1" w:color="918585"/>
      </w:pBdr>
      <w:spacing w:before="240"/>
    </w:pPr>
  </w:style>
  <w:style w:type="character" w:customStyle="1" w:styleId="HotSpot">
    <w:name w:val="HotSpot"/>
    <w:rsid w:val="00E87C0B"/>
    <w:rPr>
      <w:color w:val="0033CC"/>
      <w:u w:val="none"/>
    </w:rPr>
  </w:style>
  <w:style w:type="paragraph" w:customStyle="1" w:styleId="BodyTextRight">
    <w:name w:val="Body Text Right"/>
    <w:basedOn w:val="BodyText"/>
    <w:rsid w:val="00E87C0B"/>
    <w:pPr>
      <w:spacing w:before="0" w:after="0"/>
      <w:jc w:val="right"/>
    </w:pPr>
  </w:style>
  <w:style w:type="paragraph" w:styleId="Index3">
    <w:name w:val="index 3"/>
    <w:basedOn w:val="ListNumber2"/>
    <w:next w:val="Normal"/>
    <w:semiHidden/>
    <w:rsid w:val="00E87C0B"/>
    <w:pPr>
      <w:numPr>
        <w:numId w:val="0"/>
      </w:numPr>
      <w:tabs>
        <w:tab w:val="right" w:leader="dot" w:pos="4176"/>
      </w:tabs>
    </w:pPr>
  </w:style>
  <w:style w:type="paragraph" w:styleId="ListNumber2">
    <w:name w:val="List Number 2"/>
    <w:basedOn w:val="List2"/>
    <w:rsid w:val="00E87C0B"/>
    <w:pPr>
      <w:numPr>
        <w:numId w:val="10"/>
      </w:numPr>
      <w:tabs>
        <w:tab w:val="clear" w:pos="1060"/>
      </w:tabs>
    </w:pPr>
  </w:style>
  <w:style w:type="paragraph" w:customStyle="1" w:styleId="MarginNote">
    <w:name w:val="Margin Note"/>
    <w:basedOn w:val="BodyText"/>
    <w:rsid w:val="00E87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C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C0B"/>
    <w:rPr>
      <w:sz w:val="32"/>
    </w:rPr>
  </w:style>
  <w:style w:type="paragraph" w:customStyle="1" w:styleId="HeadingProcedure">
    <w:name w:val="Heading Procedure"/>
    <w:basedOn w:val="HeadingBase"/>
    <w:next w:val="Normal"/>
    <w:rsid w:val="00E87C0B"/>
    <w:pPr>
      <w:tabs>
        <w:tab w:val="left" w:pos="0"/>
      </w:tabs>
      <w:spacing w:before="120" w:after="60"/>
    </w:pPr>
    <w:rPr>
      <w:i/>
      <w:color w:val="918585"/>
      <w:sz w:val="22"/>
    </w:rPr>
  </w:style>
  <w:style w:type="paragraph" w:customStyle="1" w:styleId="TableBodyText">
    <w:name w:val="Table Body Text"/>
    <w:basedOn w:val="BodyText"/>
    <w:rsid w:val="00E87C0B"/>
    <w:pPr>
      <w:spacing w:before="60" w:after="60"/>
    </w:pPr>
  </w:style>
  <w:style w:type="paragraph" w:styleId="ListContinue">
    <w:name w:val="List Continue"/>
    <w:basedOn w:val="List"/>
    <w:rsid w:val="00E87C0B"/>
    <w:pPr>
      <w:ind w:firstLine="0"/>
    </w:pPr>
  </w:style>
  <w:style w:type="paragraph" w:customStyle="1" w:styleId="ListNote">
    <w:name w:val="List Note"/>
    <w:basedOn w:val="List"/>
    <w:rsid w:val="00E87C0B"/>
    <w:pPr>
      <w:pBdr>
        <w:top w:val="single" w:sz="6" w:space="2" w:color="918585"/>
        <w:bottom w:val="single" w:sz="6" w:space="2" w:color="918585"/>
      </w:pBdr>
      <w:tabs>
        <w:tab w:val="left" w:pos="1021"/>
      </w:tabs>
      <w:ind w:firstLine="0"/>
    </w:pPr>
  </w:style>
  <w:style w:type="paragraph" w:customStyle="1" w:styleId="Warning">
    <w:name w:val="Warning"/>
    <w:basedOn w:val="BodyText"/>
    <w:rsid w:val="00E87C0B"/>
    <w:pPr>
      <w:shd w:val="clear" w:color="auto" w:fill="D9D9D9"/>
      <w:tabs>
        <w:tab w:val="left" w:pos="992"/>
      </w:tabs>
      <w:ind w:left="119" w:right="119"/>
    </w:pPr>
    <w:rPr>
      <w:sz w:val="20"/>
    </w:rPr>
  </w:style>
  <w:style w:type="paragraph" w:customStyle="1" w:styleId="MarginIcons">
    <w:name w:val="Margin Icons"/>
    <w:basedOn w:val="BodyText"/>
    <w:rsid w:val="00E87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C0B"/>
    <w:rPr>
      <w:rFonts w:ascii="Courier New" w:hAnsi="Courier New"/>
    </w:rPr>
  </w:style>
  <w:style w:type="paragraph" w:customStyle="1" w:styleId="NoteBullet">
    <w:name w:val="Note Bullet"/>
    <w:basedOn w:val="Note"/>
    <w:rsid w:val="00E87C0B"/>
    <w:pPr>
      <w:tabs>
        <w:tab w:val="clear" w:pos="680"/>
      </w:tabs>
      <w:spacing w:before="60" w:after="60"/>
    </w:pPr>
  </w:style>
  <w:style w:type="paragraph" w:customStyle="1" w:styleId="SubHeading2">
    <w:name w:val="SubHeading2"/>
    <w:basedOn w:val="HeadingBase"/>
    <w:rsid w:val="00E87C0B"/>
    <w:pPr>
      <w:spacing w:before="240" w:after="60"/>
    </w:pPr>
    <w:rPr>
      <w:sz w:val="20"/>
    </w:rPr>
  </w:style>
  <w:style w:type="paragraph" w:customStyle="1" w:styleId="SubHeading1">
    <w:name w:val="SubHeading1"/>
    <w:basedOn w:val="HeadingBase"/>
    <w:rsid w:val="00E87C0B"/>
    <w:pPr>
      <w:spacing w:before="240" w:after="60"/>
    </w:pPr>
    <w:rPr>
      <w:color w:val="918585"/>
      <w:sz w:val="22"/>
    </w:rPr>
  </w:style>
  <w:style w:type="paragraph" w:customStyle="1" w:styleId="SideHeading">
    <w:name w:val="Side Heading"/>
    <w:basedOn w:val="HeadingBase"/>
    <w:rsid w:val="00E87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C0B"/>
    <w:pPr>
      <w:numPr>
        <w:numId w:val="12"/>
      </w:numPr>
    </w:pPr>
  </w:style>
  <w:style w:type="paragraph" w:styleId="PlainText">
    <w:name w:val="Plain Text"/>
    <w:basedOn w:val="Normal"/>
    <w:link w:val="PlainTextChar"/>
    <w:rsid w:val="00E87C0B"/>
    <w:rPr>
      <w:sz w:val="20"/>
    </w:rPr>
  </w:style>
  <w:style w:type="character" w:customStyle="1" w:styleId="PlainTextChar">
    <w:name w:val="Plain Text Char"/>
    <w:basedOn w:val="DefaultParagraphFont"/>
    <w:link w:val="PlainText"/>
    <w:rsid w:val="00E87C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C0B"/>
    <w:rPr>
      <w:b/>
      <w:smallCaps/>
    </w:rPr>
  </w:style>
  <w:style w:type="paragraph" w:customStyle="1" w:styleId="TableListNumber">
    <w:name w:val="Table List Number"/>
    <w:basedOn w:val="ListNumber"/>
    <w:rsid w:val="00E87C0B"/>
    <w:pPr>
      <w:numPr>
        <w:numId w:val="0"/>
      </w:numPr>
    </w:pPr>
  </w:style>
  <w:style w:type="paragraph" w:styleId="TOC4">
    <w:name w:val="toc 4"/>
    <w:basedOn w:val="TOCBase"/>
    <w:next w:val="Normal"/>
    <w:semiHidden/>
    <w:rsid w:val="00E87C0B"/>
    <w:pPr>
      <w:tabs>
        <w:tab w:val="right" w:leader="dot" w:pos="9071"/>
      </w:tabs>
      <w:ind w:left="1701"/>
    </w:pPr>
  </w:style>
  <w:style w:type="paragraph" w:customStyle="1" w:styleId="ListAlpha">
    <w:name w:val="List Alpha"/>
    <w:basedOn w:val="List"/>
    <w:rsid w:val="00E87C0B"/>
    <w:pPr>
      <w:numPr>
        <w:numId w:val="9"/>
      </w:numPr>
    </w:pPr>
  </w:style>
  <w:style w:type="paragraph" w:customStyle="1" w:styleId="ListAlpha2">
    <w:name w:val="List Alpha 2"/>
    <w:basedOn w:val="List2"/>
    <w:rsid w:val="00E87C0B"/>
    <w:pPr>
      <w:numPr>
        <w:numId w:val="8"/>
      </w:numPr>
    </w:pPr>
  </w:style>
  <w:style w:type="paragraph" w:styleId="List3">
    <w:name w:val="List 3"/>
    <w:basedOn w:val="BodyText"/>
    <w:rsid w:val="00E87C0B"/>
    <w:pPr>
      <w:tabs>
        <w:tab w:val="left" w:pos="1021"/>
      </w:tabs>
      <w:spacing w:before="60" w:after="60"/>
      <w:ind w:left="1020" w:hanging="340"/>
    </w:pPr>
  </w:style>
  <w:style w:type="paragraph" w:styleId="List4">
    <w:name w:val="List 4"/>
    <w:basedOn w:val="BodyText"/>
    <w:rsid w:val="00E87C0B"/>
    <w:pPr>
      <w:tabs>
        <w:tab w:val="left" w:pos="1361"/>
      </w:tabs>
      <w:spacing w:before="60" w:after="60"/>
      <w:ind w:left="1361" w:hanging="340"/>
    </w:pPr>
  </w:style>
  <w:style w:type="paragraph" w:styleId="List5">
    <w:name w:val="List 5"/>
    <w:basedOn w:val="BodyText"/>
    <w:rsid w:val="00E87C0B"/>
    <w:pPr>
      <w:tabs>
        <w:tab w:val="left" w:pos="1701"/>
      </w:tabs>
      <w:spacing w:before="60" w:after="60"/>
      <w:ind w:left="1701" w:hanging="340"/>
    </w:pPr>
  </w:style>
  <w:style w:type="paragraph" w:styleId="ListBullet3">
    <w:name w:val="List Bullet 3"/>
    <w:basedOn w:val="List3"/>
    <w:rsid w:val="00E87C0B"/>
    <w:pPr>
      <w:numPr>
        <w:numId w:val="15"/>
      </w:numPr>
      <w:tabs>
        <w:tab w:val="clear" w:pos="1021"/>
      </w:tabs>
      <w:ind w:left="1037" w:hanging="357"/>
    </w:pPr>
  </w:style>
  <w:style w:type="paragraph" w:styleId="ListBullet4">
    <w:name w:val="List Bullet 4"/>
    <w:basedOn w:val="List4"/>
    <w:rsid w:val="00E87C0B"/>
    <w:pPr>
      <w:numPr>
        <w:numId w:val="3"/>
      </w:numPr>
    </w:pPr>
  </w:style>
  <w:style w:type="paragraph" w:styleId="ListBullet5">
    <w:name w:val="List Bullet 5"/>
    <w:basedOn w:val="List5"/>
    <w:rsid w:val="00E87C0B"/>
    <w:pPr>
      <w:numPr>
        <w:numId w:val="4"/>
      </w:numPr>
    </w:pPr>
  </w:style>
  <w:style w:type="paragraph" w:styleId="ListContinue2">
    <w:name w:val="List Continue 2"/>
    <w:basedOn w:val="List2"/>
    <w:rsid w:val="00E87C0B"/>
    <w:pPr>
      <w:ind w:firstLine="0"/>
    </w:pPr>
  </w:style>
  <w:style w:type="paragraph" w:styleId="ListContinue3">
    <w:name w:val="List Continue 3"/>
    <w:basedOn w:val="List3"/>
    <w:rsid w:val="00E87C0B"/>
    <w:pPr>
      <w:ind w:left="1021" w:firstLine="0"/>
    </w:pPr>
  </w:style>
  <w:style w:type="paragraph" w:styleId="ListContinue4">
    <w:name w:val="List Continue 4"/>
    <w:basedOn w:val="List4"/>
    <w:rsid w:val="00E87C0B"/>
    <w:pPr>
      <w:ind w:firstLine="0"/>
    </w:pPr>
  </w:style>
  <w:style w:type="paragraph" w:styleId="ListContinue5">
    <w:name w:val="List Continue 5"/>
    <w:basedOn w:val="List5"/>
    <w:rsid w:val="00E87C0B"/>
    <w:pPr>
      <w:ind w:firstLine="0"/>
    </w:pPr>
  </w:style>
  <w:style w:type="paragraph" w:styleId="ListNumber3">
    <w:name w:val="List Number 3"/>
    <w:basedOn w:val="List3"/>
    <w:rsid w:val="00E87C0B"/>
    <w:pPr>
      <w:numPr>
        <w:numId w:val="5"/>
      </w:numPr>
    </w:pPr>
  </w:style>
  <w:style w:type="paragraph" w:styleId="ListNumber4">
    <w:name w:val="List Number 4"/>
    <w:basedOn w:val="List4"/>
    <w:rsid w:val="00E87C0B"/>
    <w:pPr>
      <w:numPr>
        <w:numId w:val="6"/>
      </w:numPr>
    </w:pPr>
  </w:style>
  <w:style w:type="paragraph" w:styleId="ListNumber5">
    <w:name w:val="List Number 5"/>
    <w:basedOn w:val="List5"/>
    <w:rsid w:val="00E87C0B"/>
    <w:pPr>
      <w:numPr>
        <w:numId w:val="7"/>
      </w:numPr>
    </w:pPr>
  </w:style>
  <w:style w:type="paragraph" w:styleId="BlockText">
    <w:name w:val="Block Text"/>
    <w:basedOn w:val="Normal"/>
    <w:rsid w:val="00E87C0B"/>
    <w:pPr>
      <w:spacing w:after="120"/>
      <w:ind w:left="1440" w:right="1440"/>
    </w:pPr>
  </w:style>
  <w:style w:type="character" w:customStyle="1" w:styleId="Subscript">
    <w:name w:val="Subscript"/>
    <w:basedOn w:val="DefaultParagraphFont"/>
    <w:rsid w:val="00E87C0B"/>
    <w:rPr>
      <w:sz w:val="16"/>
      <w:vertAlign w:val="subscript"/>
    </w:rPr>
  </w:style>
  <w:style w:type="character" w:customStyle="1" w:styleId="Superscript">
    <w:name w:val="Superscript"/>
    <w:basedOn w:val="DefaultParagraphFont"/>
    <w:rsid w:val="00E87C0B"/>
    <w:rPr>
      <w:sz w:val="16"/>
      <w:vertAlign w:val="superscript"/>
    </w:rPr>
  </w:style>
  <w:style w:type="character" w:customStyle="1" w:styleId="Symbols">
    <w:name w:val="Symbols"/>
    <w:basedOn w:val="DefaultParagraphFont"/>
    <w:rsid w:val="00E87C0B"/>
    <w:rPr>
      <w:rFonts w:ascii="Symbol" w:hAnsi="Symbol"/>
    </w:rPr>
  </w:style>
  <w:style w:type="character" w:customStyle="1" w:styleId="MenuOptions">
    <w:name w:val="Menu Options"/>
    <w:basedOn w:val="DefaultParagraphFont"/>
    <w:rsid w:val="00E87C0B"/>
    <w:rPr>
      <w:rFonts w:ascii="Arial Narrow" w:hAnsi="Arial Narrow"/>
      <w:smallCaps/>
    </w:rPr>
  </w:style>
  <w:style w:type="character" w:customStyle="1" w:styleId="Buttons">
    <w:name w:val="Buttons"/>
    <w:basedOn w:val="DefaultParagraphFont"/>
    <w:rsid w:val="00E87C0B"/>
    <w:rPr>
      <w:b/>
    </w:rPr>
  </w:style>
  <w:style w:type="character" w:customStyle="1" w:styleId="Underlined">
    <w:name w:val="Underlined"/>
    <w:basedOn w:val="DefaultParagraphFont"/>
    <w:rsid w:val="00E87C0B"/>
    <w:rPr>
      <w:u w:val="single"/>
    </w:rPr>
  </w:style>
  <w:style w:type="paragraph" w:customStyle="1" w:styleId="TableBodyTextRight">
    <w:name w:val="Table Body Text Right"/>
    <w:basedOn w:val="TableBodyText"/>
    <w:rsid w:val="00E87C0B"/>
    <w:pPr>
      <w:widowControl w:val="0"/>
      <w:autoSpaceDE w:val="0"/>
      <w:autoSpaceDN w:val="0"/>
      <w:adjustRightInd w:val="0"/>
      <w:jc w:val="right"/>
    </w:pPr>
    <w:rPr>
      <w:rFonts w:cs="Arial"/>
      <w:szCs w:val="18"/>
    </w:rPr>
  </w:style>
  <w:style w:type="paragraph" w:customStyle="1" w:styleId="CopyrightText">
    <w:name w:val="Copyright Text"/>
    <w:basedOn w:val="BodyText"/>
    <w:rsid w:val="00E87C0B"/>
    <w:rPr>
      <w:sz w:val="18"/>
    </w:rPr>
  </w:style>
  <w:style w:type="paragraph" w:customStyle="1" w:styleId="BodySmallRight">
    <w:name w:val="Body Small Right"/>
    <w:basedOn w:val="BodyTextRight"/>
    <w:rsid w:val="00E87C0B"/>
    <w:rPr>
      <w:sz w:val="18"/>
      <w:szCs w:val="18"/>
    </w:rPr>
  </w:style>
  <w:style w:type="paragraph" w:customStyle="1" w:styleId="MarginEdition">
    <w:name w:val="Margin Edition"/>
    <w:basedOn w:val="MarginNote"/>
    <w:rsid w:val="00E87C0B"/>
    <w:pPr>
      <w:spacing w:before="0" w:after="0"/>
    </w:pPr>
    <w:rPr>
      <w:rFonts w:ascii="Times New Roman" w:hAnsi="Times New Roman"/>
      <w:color w:val="999999"/>
    </w:rPr>
  </w:style>
  <w:style w:type="paragraph" w:customStyle="1" w:styleId="Spacer">
    <w:name w:val="Spacer"/>
    <w:basedOn w:val="Normal"/>
    <w:rsid w:val="00E87C0B"/>
    <w:rPr>
      <w:sz w:val="2"/>
      <w:szCs w:val="2"/>
    </w:rPr>
  </w:style>
  <w:style w:type="character" w:customStyle="1" w:styleId="Small">
    <w:name w:val="Small"/>
    <w:basedOn w:val="DefaultParagraphFont"/>
    <w:rsid w:val="00E87C0B"/>
    <w:rPr>
      <w:sz w:val="16"/>
    </w:rPr>
  </w:style>
  <w:style w:type="paragraph" w:customStyle="1" w:styleId="WideTable">
    <w:name w:val="Wide Table"/>
    <w:basedOn w:val="Normal"/>
    <w:rsid w:val="00E87C0B"/>
    <w:pPr>
      <w:ind w:left="-1418"/>
    </w:pPr>
    <w:rPr>
      <w:sz w:val="2"/>
      <w:szCs w:val="2"/>
    </w:rPr>
  </w:style>
  <w:style w:type="character" w:styleId="PageNumber">
    <w:name w:val="page number"/>
    <w:basedOn w:val="DefaultParagraphFont"/>
    <w:rsid w:val="00E87C0B"/>
  </w:style>
  <w:style w:type="paragraph" w:styleId="Quote">
    <w:name w:val="Quote"/>
    <w:basedOn w:val="Heading1"/>
    <w:link w:val="QuoteChar"/>
    <w:qFormat/>
    <w:rsid w:val="00E87C0B"/>
    <w:rPr>
      <w:b w:val="0"/>
      <w:sz w:val="72"/>
      <w:szCs w:val="72"/>
      <w:lang w:val="en-NZ"/>
    </w:rPr>
  </w:style>
  <w:style w:type="character" w:customStyle="1" w:styleId="QuoteChar">
    <w:name w:val="Quote Char"/>
    <w:basedOn w:val="DefaultParagraphFont"/>
    <w:link w:val="Quote"/>
    <w:rsid w:val="00E87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C0B"/>
    <w:pPr>
      <w:pageBreakBefore/>
    </w:pPr>
  </w:style>
  <w:style w:type="paragraph" w:customStyle="1" w:styleId="Border">
    <w:name w:val="Border"/>
    <w:basedOn w:val="Normal"/>
    <w:qFormat/>
    <w:rsid w:val="00E87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C0B"/>
    <w:rPr>
      <w:b/>
      <w:bCs/>
      <w:i/>
      <w:iCs/>
      <w:color w:val="auto"/>
    </w:rPr>
  </w:style>
  <w:style w:type="paragraph" w:styleId="IntenseQuote">
    <w:name w:val="Intense Quote"/>
    <w:basedOn w:val="Normal"/>
    <w:next w:val="Normal"/>
    <w:link w:val="IntenseQuoteChar"/>
    <w:uiPriority w:val="30"/>
    <w:qFormat/>
    <w:rsid w:val="00E87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C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C0B"/>
    <w:rPr>
      <w:smallCaps/>
      <w:color w:val="auto"/>
      <w:u w:val="single"/>
    </w:rPr>
  </w:style>
  <w:style w:type="character" w:styleId="IntenseReference">
    <w:name w:val="Intense Reference"/>
    <w:basedOn w:val="DefaultParagraphFont"/>
    <w:uiPriority w:val="32"/>
    <w:qFormat/>
    <w:rsid w:val="00E87C0B"/>
    <w:rPr>
      <w:b/>
      <w:bCs/>
      <w:smallCaps/>
      <w:color w:val="auto"/>
      <w:spacing w:val="5"/>
      <w:u w:val="single"/>
    </w:rPr>
  </w:style>
  <w:style w:type="paragraph" w:customStyle="1" w:styleId="2ColumnHeading">
    <w:name w:val="2Column Heading"/>
    <w:basedOn w:val="BodyText"/>
    <w:qFormat/>
    <w:rsid w:val="00E87C0B"/>
    <w:pPr>
      <w:spacing w:after="60"/>
      <w:ind w:left="-2268"/>
    </w:pPr>
    <w:rPr>
      <w:b/>
    </w:rPr>
  </w:style>
  <w:style w:type="paragraph" w:customStyle="1" w:styleId="Heading1TOC">
    <w:name w:val="Heading1 TOC"/>
    <w:basedOn w:val="Normal"/>
    <w:qFormat/>
    <w:rsid w:val="00E87C0B"/>
    <w:pPr>
      <w:spacing w:before="240" w:after="120"/>
    </w:pPr>
    <w:rPr>
      <w:rFonts w:ascii="Times New Roman" w:hAnsi="Times New Roman"/>
      <w:b/>
      <w:sz w:val="32"/>
    </w:rPr>
  </w:style>
  <w:style w:type="paragraph" w:customStyle="1" w:styleId="Heading2TOC">
    <w:name w:val="Heading2 TOC"/>
    <w:basedOn w:val="Normal"/>
    <w:qFormat/>
    <w:rsid w:val="00E87C0B"/>
    <w:pPr>
      <w:spacing w:before="240" w:after="60"/>
    </w:pPr>
    <w:rPr>
      <w:rFonts w:ascii="Times New Roman" w:hAnsi="Times New Roman"/>
      <w:b/>
      <w:sz w:val="28"/>
    </w:rPr>
  </w:style>
  <w:style w:type="character" w:customStyle="1" w:styleId="Underline">
    <w:name w:val="Underline"/>
    <w:basedOn w:val="DefaultParagraphFont"/>
    <w:qFormat/>
    <w:rsid w:val="00E87C0B"/>
    <w:rPr>
      <w:u w:val="single"/>
    </w:rPr>
  </w:style>
  <w:style w:type="paragraph" w:styleId="BalloonText">
    <w:name w:val="Balloon Text"/>
    <w:basedOn w:val="Normal"/>
    <w:link w:val="BalloonTextChar"/>
    <w:rsid w:val="00E87C0B"/>
    <w:rPr>
      <w:rFonts w:ascii="Tahoma" w:hAnsi="Tahoma" w:cs="Tahoma"/>
      <w:sz w:val="16"/>
      <w:szCs w:val="16"/>
    </w:rPr>
  </w:style>
  <w:style w:type="character" w:customStyle="1" w:styleId="BalloonTextChar">
    <w:name w:val="Balloon Text Char"/>
    <w:basedOn w:val="DefaultParagraphFont"/>
    <w:link w:val="BalloonText"/>
    <w:rsid w:val="00E87C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C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7768</Characters>
  <Application>Microsoft Office Word</Application>
  <DocSecurity>0</DocSecurity>
  <Lines>295</Lines>
  <Paragraphs>174</Paragraphs>
  <ScaleCrop>false</ScaleCrop>
  <Company>Author-it Software Corporation Ltd.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FNSACC611A Implement an insolvency program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