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F93" w:rsidP="00C25F93">
      <w:pPr>
        <w:pStyle w:val="Title"/>
      </w:pPr>
      <w:r>
        <w:fldChar w:fldCharType="begin"/>
      </w:r>
      <w:r>
        <w:instrText xml:space="preserve"> TITLE   \* MERGEFORMAT </w:instrText>
      </w:r>
      <w:r>
        <w:fldChar w:fldCharType="separate"/>
      </w:r>
      <w:r>
        <w:t>FNSACC610A Develop and implement financial strategies</w:t>
      </w:r>
      <w:r>
        <w:fldChar w:fldCharType="end"/>
      </w:r>
    </w:p>
    <w:p w:rsidR="00C25F93" w:rsidP="00C25F93">
      <w:pPr>
        <w:pStyle w:val="Version"/>
        <w:sectPr w:rsidSect="008B2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21EF" w:rsidP="008B21EF">
      <w:pPr>
        <w:pStyle w:val="SuperHeading"/>
      </w:pPr>
      <w:r w:rsidRPr="008B21EF">
        <w:t>FNSACC610A Develop and implement financial strategies</w:t>
      </w:r>
    </w:p>
    <w:p w:rsidR="00000000" w:rsidRPr="008B21EF" w:rsidP="008B21EF">
      <w:pPr>
        <w:pStyle w:val="SuperHeading"/>
      </w:pPr>
    </w:p>
    <w:p w:rsidR="00000000" w:rsidRPr="008B21EF" w:rsidP="008B21EF">
      <w:pPr>
        <w:pStyle w:val="Heading1"/>
      </w:pPr>
      <w:bookmarkStart w:id="1" w:name="O_77271"/>
      <w:bookmarkEnd w:id="1"/>
      <w:r w:rsidRPr="008B21EF">
        <w:t>Modification History</w:t>
      </w:r>
    </w:p>
    <w:p w:rsidR="00000000" w:rsidRPr="008B21EF" w:rsidP="008B21EF">
      <w:pPr>
        <w:pStyle w:val="BodyText"/>
      </w:pPr>
      <w:r w:rsidRPr="008B21EF">
        <w:t>Not applicable.</w:t>
      </w:r>
    </w:p>
    <w:p w:rsidR="00000000" w:rsidRPr="008B21EF" w:rsidP="008B21EF">
      <w:pPr>
        <w:pStyle w:val="AllowPageBreak"/>
      </w:pPr>
    </w:p>
    <w:p w:rsidR="00000000" w:rsidRPr="008B21EF" w:rsidP="008B21EF">
      <w:pPr>
        <w:pStyle w:val="Heading1"/>
      </w:pPr>
      <w:bookmarkStart w:id="2" w:name="O_77272"/>
      <w:bookmarkEnd w:id="2"/>
      <w:r w:rsidRPr="008B21EF">
        <w:t>Unit Descriptor</w:t>
      </w:r>
    </w:p>
    <w:tbl>
      <w:tblPr>
        <w:tblW w:w="0" w:type="auto"/>
        <w:tblLayout w:type="fixed"/>
        <w:tblCellMar>
          <w:left w:w="62" w:type="dxa"/>
          <w:right w:w="62" w:type="dxa"/>
        </w:tblCellMar>
        <w:tblLook w:val="0000"/>
      </w:tblPr>
      <w:tblGrid>
        <w:gridCol w:w="2574"/>
        <w:gridCol w:w="5948"/>
      </w:tblGrid>
      <w:tr w:rsidTr="00C25F9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Unit descriptor</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This unit describes the performance outcomes, skills and knowledge required to review financial and</w:t>
            </w:r>
            <w:r w:rsidRPr="008B21EF">
              <w:t xml:space="preserve"> organisational data, determine and implement strategic options and long-term plans and evaluate outcomes for the optimisation of financial outcomes for an organisation.</w:t>
            </w:r>
          </w:p>
          <w:p w:rsidR="00000000" w:rsidRPr="008B21EF" w:rsidP="008B21EF">
            <w:pPr>
              <w:pStyle w:val="BodyText"/>
            </w:pPr>
          </w:p>
          <w:p w:rsidR="00000000" w:rsidRPr="008B21EF" w:rsidP="008B21EF">
            <w:pPr>
              <w:pStyle w:val="BodyText"/>
            </w:pPr>
            <w:r w:rsidRPr="008B21EF">
              <w:t>This unit may apply to job roles subject to licensing, legislative, regulatory or cer</w:t>
            </w:r>
            <w:r w:rsidRPr="008B21EF">
              <w:t>tification requirements so Commonwealth, State or Territory requirements should be confirmed with the relevant body.</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3" w:name="O_77273"/>
      <w:bookmarkEnd w:id="3"/>
      <w:r w:rsidRPr="008B21EF">
        <w:t>Application of the Unit</w:t>
      </w:r>
    </w:p>
    <w:tbl>
      <w:tblPr>
        <w:tblW w:w="0" w:type="auto"/>
        <w:tblLayout w:type="fixed"/>
        <w:tblCellMar>
          <w:left w:w="62" w:type="dxa"/>
          <w:right w:w="62" w:type="dxa"/>
        </w:tblCellMar>
        <w:tblLook w:val="0000"/>
      </w:tblPr>
      <w:tblGrid>
        <w:gridCol w:w="2697"/>
        <w:gridCol w:w="5825"/>
      </w:tblGrid>
      <w:tr w:rsidTr="00C25F93">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Application of the unit</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The unit has application to all sectors of the financial services industry.</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4" w:name="O_77274"/>
      <w:bookmarkEnd w:id="4"/>
      <w:r w:rsidRPr="008B21EF">
        <w:t>Licensing/Regulatory Information</w:t>
      </w:r>
    </w:p>
    <w:p w:rsidR="00000000" w:rsidRPr="008B21EF" w:rsidP="008B21EF">
      <w:pPr>
        <w:pStyle w:val="BodyText"/>
      </w:pPr>
      <w:r w:rsidRPr="008B21EF">
        <w:t>Not applicable.</w:t>
      </w:r>
    </w:p>
    <w:p w:rsidR="00000000" w:rsidRPr="008B21EF" w:rsidP="008B21EF">
      <w:pPr>
        <w:pStyle w:val="AllowPageBreak"/>
      </w:pPr>
    </w:p>
    <w:p w:rsidR="00000000" w:rsidRPr="008B21EF" w:rsidP="008B21EF">
      <w:pPr>
        <w:pStyle w:val="Heading1"/>
      </w:pPr>
      <w:bookmarkStart w:id="5" w:name="O_77276"/>
      <w:bookmarkEnd w:id="5"/>
      <w:r w:rsidRPr="008B21EF">
        <w:t>Pre-Requisites</w:t>
      </w:r>
    </w:p>
    <w:tbl>
      <w:tblPr>
        <w:tblW w:w="0" w:type="auto"/>
        <w:tblLayout w:type="fixed"/>
        <w:tblCellMar>
          <w:left w:w="62" w:type="dxa"/>
          <w:right w:w="62" w:type="dxa"/>
        </w:tblCellMar>
        <w:tblLook w:val="0000"/>
      </w:tblPr>
      <w:tblGrid>
        <w:gridCol w:w="2558"/>
        <w:gridCol w:w="2342"/>
        <w:gridCol w:w="3622"/>
      </w:tblGrid>
      <w:tr w:rsidTr="00C25F9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Prerequisite units</w:t>
            </w:r>
          </w:p>
        </w:tc>
        <w:tc>
          <w:tcPr>
            <w:tcW w:w="59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p>
        </w:tc>
      </w:tr>
      <w:tr w:rsidTr="00C25F9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FNSACC503A</w:t>
            </w:r>
          </w:p>
        </w:tc>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Manage budgets and forecasts</w:t>
            </w:r>
          </w:p>
        </w:tc>
      </w:tr>
      <w:tr w:rsidTr="00C25F9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6" w:name="O_77275"/>
      <w:bookmarkEnd w:id="6"/>
      <w:r w:rsidRPr="008B21EF">
        <w:t>Employability Skills Information</w:t>
      </w:r>
    </w:p>
    <w:tbl>
      <w:tblPr>
        <w:tblW w:w="0" w:type="auto"/>
        <w:tblLayout w:type="fixed"/>
        <w:tblCellMar>
          <w:left w:w="62" w:type="dxa"/>
          <w:right w:w="62" w:type="dxa"/>
        </w:tblCellMar>
        <w:tblLook w:val="0000"/>
      </w:tblPr>
      <w:tblGrid>
        <w:gridCol w:w="2733"/>
        <w:gridCol w:w="5789"/>
      </w:tblGrid>
      <w:tr w:rsidTr="00C25F93">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Employability skills</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This unit contains employability skills.</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7" w:name="O_77277"/>
      <w:bookmarkEnd w:id="7"/>
      <w:r w:rsidRPr="008B21EF">
        <w:t>Elements and Performance Criteria Pre-Content</w:t>
      </w:r>
    </w:p>
    <w:tbl>
      <w:tblPr>
        <w:tblW w:w="0" w:type="auto"/>
        <w:tblLayout w:type="fixed"/>
        <w:tblCellMar>
          <w:left w:w="62" w:type="dxa"/>
          <w:right w:w="62" w:type="dxa"/>
        </w:tblCellMar>
        <w:tblLook w:val="0000"/>
      </w:tblPr>
      <w:tblGrid>
        <w:gridCol w:w="2551"/>
        <w:gridCol w:w="5971"/>
      </w:tblGrid>
      <w:tr w:rsidTr="00C25F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Perfo</w:t>
            </w:r>
            <w:r w:rsidRPr="008B21EF">
              <w:t>rmance criteria describe the performance needed to demonstrate achievement of the element. Where bold italicised text is used, further information is detailed in the required skills and knowledge section and the range statement. Assessment of performance i</w:t>
            </w:r>
            <w:r w:rsidRPr="008B21EF">
              <w:t>s to be consistent with the evidence guide.</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8" w:name="O_77278"/>
      <w:bookmarkEnd w:id="8"/>
      <w:r w:rsidRPr="008B21EF">
        <w:t>Elements and Performance Criteria</w:t>
      </w:r>
    </w:p>
    <w:tbl>
      <w:tblPr>
        <w:tblW w:w="0" w:type="auto"/>
        <w:tblLayout w:type="fixed"/>
        <w:tblCellMar>
          <w:left w:w="62" w:type="dxa"/>
          <w:right w:w="62" w:type="dxa"/>
        </w:tblCellMar>
        <w:tblLook w:val="0000"/>
      </w:tblPr>
      <w:tblGrid>
        <w:gridCol w:w="2551"/>
        <w:gridCol w:w="5971"/>
      </w:tblGrid>
      <w:tr w:rsidTr="00C25F9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PERFORMANCE CRITERIA</w:t>
            </w:r>
          </w:p>
        </w:tc>
      </w:tr>
      <w:tr w:rsidTr="00C25F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List"/>
              <w:rPr>
                <w:lang w:val="en-NZ"/>
              </w:rPr>
            </w:pPr>
            <w:r w:rsidRPr="008B21EF">
              <w:t>1.</w:t>
            </w:r>
            <w:r w:rsidRPr="008B21EF">
              <w:tab/>
              <w:t>Review data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2"/>
            </w:pPr>
            <w:r w:rsidRPr="008B21EF">
              <w:t>1.1.</w:t>
            </w:r>
            <w:r w:rsidRPr="008B21EF">
              <w:tab/>
              <w:t xml:space="preserve">Costs of, and returns from, assets and liabilities are analysed using </w:t>
            </w:r>
            <w:r w:rsidRPr="008B21EF">
              <w:rPr>
                <w:rStyle w:val="BoldandItalics"/>
              </w:rPr>
              <w:t>standard accounting techniques</w:t>
            </w:r>
            <w:r w:rsidRPr="008B21EF">
              <w:t xml:space="preserve"> to identify extent of debt and equity financing</w:t>
            </w:r>
          </w:p>
          <w:p w:rsidR="00000000" w:rsidRPr="008B21EF" w:rsidP="008B21EF">
            <w:pPr>
              <w:pStyle w:val="List2"/>
            </w:pPr>
            <w:r w:rsidRPr="008B21EF">
              <w:t>1.2.</w:t>
            </w:r>
            <w:r w:rsidRPr="008B21EF">
              <w:tab/>
            </w:r>
            <w:r w:rsidRPr="008B21EF">
              <w:rPr>
                <w:rStyle w:val="BoldandItalics"/>
              </w:rPr>
              <w:t>Data</w:t>
            </w:r>
            <w:r w:rsidRPr="008B21EF">
              <w:t xml:space="preserve"> is used to identify costs of different forms of capital to the organisation</w:t>
            </w:r>
          </w:p>
          <w:p w:rsidR="00000000" w:rsidP="008B21EF">
            <w:pPr>
              <w:pStyle w:val="List2"/>
              <w:rPr>
                <w:lang w:val="en-NZ"/>
              </w:rPr>
            </w:pPr>
            <w:r w:rsidRPr="008B21EF">
              <w:t>1.3.</w:t>
            </w:r>
            <w:r w:rsidRPr="008B21EF">
              <w:tab/>
            </w:r>
            <w:r w:rsidRPr="008B21EF">
              <w:rPr>
                <w:rStyle w:val="BoldandItalics"/>
              </w:rPr>
              <w:t>Asset and liability</w:t>
            </w:r>
            <w:r w:rsidRPr="008B21EF">
              <w:t xml:space="preserve"> estimates and </w:t>
            </w:r>
            <w:r w:rsidRPr="008B21EF">
              <w:rPr>
                <w:rStyle w:val="BoldandItalics"/>
              </w:rPr>
              <w:t>valuation criteria</w:t>
            </w:r>
            <w:r w:rsidRPr="008B21EF">
              <w:t xml:space="preserve"> are standardised and regularly adjusted in line with changes to</w:t>
            </w:r>
            <w:r w:rsidRPr="008B21EF">
              <w:t xml:space="preserve"> </w:t>
            </w:r>
            <w:r w:rsidRPr="008B21EF">
              <w:rPr>
                <w:rStyle w:val="BoldandItalics"/>
              </w:rPr>
              <w:t>environmental factors</w:t>
            </w:r>
          </w:p>
        </w:tc>
      </w:tr>
      <w:tr w:rsidTr="00C25F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List"/>
              <w:rPr>
                <w:lang w:val="en-NZ"/>
              </w:rPr>
            </w:pPr>
            <w:r w:rsidRPr="008B21EF">
              <w:t>2.</w:t>
            </w:r>
            <w:r w:rsidRPr="008B21EF">
              <w:tab/>
              <w:t>Determine options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2"/>
            </w:pPr>
            <w:r w:rsidRPr="008B21EF">
              <w:t>2.1.</w:t>
            </w:r>
            <w:r w:rsidRPr="008B21EF">
              <w:tab/>
            </w:r>
            <w:r w:rsidRPr="008B21EF">
              <w:rPr>
                <w:rStyle w:val="BoldandItalics"/>
              </w:rPr>
              <w:t>Long</w:t>
            </w:r>
            <w:r w:rsidRPr="008B21EF">
              <w:t>-</w:t>
            </w:r>
            <w:r w:rsidRPr="008B21EF">
              <w:rPr>
                <w:rStyle w:val="BoldandItalics"/>
              </w:rPr>
              <w:t>term and short</w:t>
            </w:r>
            <w:r w:rsidRPr="008B21EF">
              <w:t>-</w:t>
            </w:r>
            <w:r w:rsidRPr="008B21EF">
              <w:rPr>
                <w:rStyle w:val="BoldandItalics"/>
              </w:rPr>
              <w:t>term periods</w:t>
            </w:r>
            <w:r w:rsidRPr="008B21EF">
              <w:t xml:space="preserve"> are established for the organisation by reference to </w:t>
            </w:r>
            <w:r w:rsidRPr="008B21EF">
              <w:rPr>
                <w:rStyle w:val="BoldandItalics"/>
              </w:rPr>
              <w:t>strategic goals</w:t>
            </w:r>
            <w:r w:rsidRPr="008B21EF">
              <w:t>, cash flow requirements and operational objectives</w:t>
            </w:r>
          </w:p>
          <w:p w:rsidR="00000000" w:rsidRPr="008B21EF" w:rsidP="008B21EF">
            <w:pPr>
              <w:pStyle w:val="List2"/>
            </w:pPr>
            <w:r w:rsidRPr="008B21EF">
              <w:t>2.2.</w:t>
            </w:r>
            <w:r w:rsidRPr="008B21EF">
              <w:tab/>
              <w:t xml:space="preserve">Long-term financing requirements are identified </w:t>
            </w:r>
            <w:r w:rsidRPr="008B21EF">
              <w:t>and costed in line with the organisation's expected revenue returns, cash flows and asset base</w:t>
            </w:r>
          </w:p>
          <w:p w:rsidR="00000000" w:rsidRPr="008B21EF" w:rsidP="008B21EF">
            <w:pPr>
              <w:pStyle w:val="List2"/>
            </w:pPr>
            <w:r w:rsidRPr="008B21EF">
              <w:t>2.3.</w:t>
            </w:r>
            <w:r w:rsidRPr="008B21EF">
              <w:tab/>
            </w:r>
            <w:r w:rsidRPr="008B21EF">
              <w:rPr>
                <w:rStyle w:val="BoldandItalics"/>
              </w:rPr>
              <w:t>Sources of financing</w:t>
            </w:r>
            <w:r w:rsidRPr="008B21EF">
              <w:t xml:space="preserve"> are researched and evaluated to determine compatibility with the organisation's finance strategy</w:t>
            </w:r>
          </w:p>
          <w:p w:rsidR="00000000" w:rsidP="008B21EF">
            <w:pPr>
              <w:pStyle w:val="List2"/>
              <w:rPr>
                <w:lang w:val="en-NZ"/>
              </w:rPr>
            </w:pPr>
            <w:r w:rsidRPr="008B21EF">
              <w:t>2.4.</w:t>
            </w:r>
            <w:r w:rsidRPr="008B21EF">
              <w:tab/>
              <w:t>Investment analysis and financial</w:t>
            </w:r>
            <w:r w:rsidRPr="008B21EF">
              <w:t xml:space="preserve"> planning requirements are identified and analysed</w:t>
            </w:r>
          </w:p>
        </w:tc>
      </w:tr>
      <w:tr w:rsidTr="00C25F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List"/>
              <w:rPr>
                <w:lang w:val="en-NZ"/>
              </w:rPr>
            </w:pPr>
            <w:r w:rsidRPr="008B21EF">
              <w:t>3.</w:t>
            </w:r>
            <w:r w:rsidRPr="008B21EF">
              <w:tab/>
              <w:t>Implement strategies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2"/>
            </w:pPr>
            <w:r w:rsidRPr="008B21EF">
              <w:t>3.1.</w:t>
            </w:r>
            <w:r w:rsidRPr="008B21EF">
              <w:tab/>
              <w:t>Financial plans are structured to meet strategic goals and provide returns within long-term and short-term operational objectives</w:t>
            </w:r>
          </w:p>
          <w:p w:rsidR="00000000" w:rsidRPr="008B21EF" w:rsidP="008B21EF">
            <w:pPr>
              <w:pStyle w:val="List2"/>
            </w:pPr>
            <w:r w:rsidRPr="008B21EF">
              <w:t>3.2.</w:t>
            </w:r>
            <w:r w:rsidRPr="008B21EF">
              <w:tab/>
            </w:r>
            <w:r w:rsidRPr="008B21EF">
              <w:rPr>
                <w:rStyle w:val="BoldandItalics"/>
              </w:rPr>
              <w:t>Short and long</w:t>
            </w:r>
            <w:r w:rsidRPr="008B21EF">
              <w:t>-</w:t>
            </w:r>
            <w:r w:rsidRPr="008B21EF">
              <w:rPr>
                <w:rStyle w:val="BoldandItalics"/>
              </w:rPr>
              <w:t>term objectives</w:t>
            </w:r>
            <w:r w:rsidRPr="008B21EF">
              <w:t xml:space="preserve"> for organ</w:t>
            </w:r>
            <w:r w:rsidRPr="008B21EF">
              <w:t>isation's capital structure are developed in line with operational and strategic plans</w:t>
            </w:r>
          </w:p>
          <w:p w:rsidR="00000000" w:rsidP="008B21EF">
            <w:pPr>
              <w:pStyle w:val="List2"/>
              <w:rPr>
                <w:lang w:val="en-NZ"/>
              </w:rPr>
            </w:pPr>
            <w:r w:rsidRPr="008B21EF">
              <w:t>3.3.</w:t>
            </w:r>
            <w:r w:rsidRPr="008B21EF">
              <w:tab/>
            </w:r>
            <w:r w:rsidRPr="008B21EF">
              <w:rPr>
                <w:rStyle w:val="BoldandItalics"/>
              </w:rPr>
              <w:t>Internal control procedures</w:t>
            </w:r>
            <w:r w:rsidRPr="008B21EF">
              <w:t xml:space="preserve"> are established in consultation with stakeholders to support implementation and to meet possible emergencies with portfolio management techniques applied</w:t>
            </w:r>
          </w:p>
        </w:tc>
      </w:tr>
      <w:tr w:rsidTr="00C25F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List"/>
              <w:rPr>
                <w:lang w:val="en-NZ"/>
              </w:rPr>
            </w:pPr>
            <w:r w:rsidRPr="008B21EF">
              <w:t>4.</w:t>
            </w:r>
            <w:r w:rsidRPr="008B21EF">
              <w:tab/>
              <w:t>Evaluate outcomes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2"/>
            </w:pPr>
            <w:r w:rsidRPr="008B21EF">
              <w:t>4.1.</w:t>
            </w:r>
            <w:r w:rsidRPr="008B21EF">
              <w:tab/>
              <w:t>Interrelationships between long and short-term objectives are monitored to</w:t>
            </w:r>
            <w:r w:rsidRPr="008B21EF">
              <w:t xml:space="preserve"> ensure consistency of returns between operational and investment plans</w:t>
            </w:r>
          </w:p>
          <w:p w:rsidR="00000000" w:rsidRPr="008B21EF" w:rsidP="008B21EF">
            <w:pPr>
              <w:pStyle w:val="List2"/>
            </w:pPr>
            <w:r w:rsidRPr="008B21EF">
              <w:t>4.2.</w:t>
            </w:r>
            <w:r w:rsidRPr="008B21EF">
              <w:tab/>
              <w:t>Costs and returns are assessed to determine ongoing viability of strategy</w:t>
            </w:r>
          </w:p>
          <w:p w:rsidR="00000000" w:rsidRPr="008B21EF" w:rsidP="008B21EF">
            <w:pPr>
              <w:pStyle w:val="List2"/>
            </w:pPr>
            <w:r w:rsidRPr="008B21EF">
              <w:t>4.3.</w:t>
            </w:r>
            <w:r w:rsidRPr="008B21EF">
              <w:tab/>
              <w:t>Tax efficiency of financial strategy is regularly reviewed to maintain optimal returns from assets</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9" w:name="O_77279"/>
      <w:bookmarkEnd w:id="9"/>
      <w:r w:rsidRPr="008B21EF">
        <w:t>Required Skills and Knowledge</w:t>
      </w:r>
    </w:p>
    <w:tbl>
      <w:tblPr>
        <w:tblW w:w="0" w:type="auto"/>
        <w:tblLayout w:type="fixed"/>
        <w:tblCellMar>
          <w:left w:w="62" w:type="dxa"/>
          <w:right w:w="62" w:type="dxa"/>
        </w:tblCellMar>
        <w:tblLook w:val="0000"/>
      </w:tblPr>
      <w:tblGrid>
        <w:gridCol w:w="8522"/>
      </w:tblGrid>
      <w:tr w:rsidTr="00C25F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REQUIRED SKILLS AND KNOWLEDGE</w:t>
            </w:r>
          </w:p>
        </w:tc>
      </w:tr>
      <w:tr w:rsidTr="00C25F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This section describes the skills and knowledge required for this unit.</w:t>
            </w:r>
          </w:p>
        </w:tc>
      </w:tr>
      <w:tr w:rsidTr="00C2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Required skills</w:t>
            </w:r>
          </w:p>
        </w:tc>
      </w:tr>
      <w:tr w:rsidTr="00C2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well-developed communication skills to:</w:t>
            </w:r>
          </w:p>
          <w:p w:rsidR="00000000" w:rsidRPr="008B21EF" w:rsidP="008B21EF">
            <w:pPr>
              <w:pStyle w:val="ListBullet2"/>
            </w:pPr>
            <w:r w:rsidRPr="008B21EF">
              <w:t>evaluate an organisation's financial strategies, using questioning of personnel and management for confirmation</w:t>
            </w:r>
          </w:p>
          <w:p w:rsidR="00000000" w:rsidRPr="008B21EF" w:rsidP="008B21EF">
            <w:pPr>
              <w:pStyle w:val="ListBullet2"/>
            </w:pPr>
            <w:r w:rsidRPr="008B21EF">
              <w:t>liaise with others, share information, listen and understand</w:t>
            </w:r>
          </w:p>
          <w:p w:rsidR="00000000" w:rsidRPr="008B21EF" w:rsidP="008B21EF">
            <w:pPr>
              <w:pStyle w:val="ListBullet2"/>
            </w:pPr>
            <w:r w:rsidRPr="008B21EF">
              <w:t>use language and concepts appropriate to cultural differences</w:t>
            </w:r>
          </w:p>
          <w:p w:rsidR="00000000" w:rsidRPr="008B21EF" w:rsidP="008B21EF">
            <w:pPr>
              <w:pStyle w:val="ListBullet"/>
            </w:pPr>
            <w:r w:rsidRPr="008B21EF">
              <w:t>highly developed res</w:t>
            </w:r>
            <w:r w:rsidRPr="008B21EF">
              <w:t>earch skills for accessing and managing financial services information</w:t>
            </w:r>
          </w:p>
          <w:p w:rsidR="00000000" w:rsidRPr="008B21EF" w:rsidP="008B21EF">
            <w:pPr>
              <w:pStyle w:val="ListBullet"/>
            </w:pPr>
            <w:r w:rsidRPr="008B21EF">
              <w:t>well-developed literacy skills for analysingfinancial information and organisational strategies and preparing financial plans and clear written advice</w:t>
            </w:r>
          </w:p>
          <w:p w:rsidR="00000000" w:rsidRPr="008B21EF" w:rsidP="008B21EF">
            <w:pPr>
              <w:pStyle w:val="ListBullet"/>
            </w:pPr>
            <w:r w:rsidRPr="008B21EF">
              <w:t>numeracy skills for financial calc</w:t>
            </w:r>
            <w:r w:rsidRPr="008B21EF">
              <w:t>ulations and analysis, estimating and forecasting</w:t>
            </w:r>
          </w:p>
          <w:p w:rsidR="00000000" w:rsidRPr="008B21EF" w:rsidP="008B21EF">
            <w:pPr>
              <w:pStyle w:val="ListBullet"/>
            </w:pPr>
            <w:r w:rsidRPr="008B21EF">
              <w:t>IT skills for developing and using integrated financial systems, spreadsheets and databases and internet information</w:t>
            </w:r>
          </w:p>
          <w:p w:rsidR="00000000" w:rsidRPr="008B21EF" w:rsidP="008B21EF">
            <w:pPr>
              <w:pStyle w:val="ListBullet"/>
            </w:pPr>
            <w:r w:rsidRPr="008B21EF">
              <w:t>learning skills to maintain knowledge of organisational strategic best practice principle</w:t>
            </w:r>
            <w:r w:rsidRPr="008B21EF">
              <w:t>s, processes and procedures</w:t>
            </w:r>
          </w:p>
          <w:p w:rsidR="00000000" w:rsidRPr="008B21EF" w:rsidP="008B21EF">
            <w:pPr>
              <w:pStyle w:val="ListBullet"/>
            </w:pPr>
            <w:r w:rsidRPr="008B21EF">
              <w:t>problem solving skills to identify strategy issues that have the potential to impact on organisations and to develop options to resolve these issues when they arise</w:t>
            </w:r>
          </w:p>
          <w:p w:rsidR="00000000" w:rsidP="008B21EF">
            <w:pPr>
              <w:pStyle w:val="ListBullet"/>
              <w:rPr>
                <w:lang w:val="en-NZ"/>
              </w:rPr>
            </w:pPr>
            <w:r w:rsidRPr="008B21EF">
              <w:t>organisational skills, including the ability to plan and sequen</w:t>
            </w:r>
            <w:r w:rsidRPr="008B21EF">
              <w:t>ce work and correctly schedule financial performance monitoring and reporting</w:t>
            </w:r>
          </w:p>
        </w:tc>
      </w:tr>
      <w:tr w:rsidTr="00C2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Required knowledge</w:t>
            </w:r>
          </w:p>
        </w:tc>
      </w:tr>
      <w:tr w:rsidTr="00C2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ethical considerations for compliance</w:t>
            </w:r>
          </w:p>
          <w:p w:rsidR="00000000" w:rsidRPr="008B21EF" w:rsidP="008B21EF">
            <w:pPr>
              <w:pStyle w:val="ListBullet"/>
            </w:pPr>
            <w:r w:rsidRPr="008B21EF">
              <w:t>financial legislation such as:</w:t>
            </w:r>
          </w:p>
          <w:p w:rsidR="00000000" w:rsidRPr="008B21EF" w:rsidP="008B21EF">
            <w:pPr>
              <w:pStyle w:val="ListBullet2"/>
            </w:pPr>
            <w:r w:rsidRPr="008B21EF">
              <w:t>taxable transactions</w:t>
            </w:r>
          </w:p>
          <w:p w:rsidR="00000000" w:rsidRPr="008B21EF" w:rsidP="008B21EF">
            <w:pPr>
              <w:pStyle w:val="ListBullet2"/>
            </w:pPr>
            <w:r w:rsidRPr="008B21EF">
              <w:t>reporting requirements</w:t>
            </w:r>
          </w:p>
          <w:p w:rsidR="00000000" w:rsidRPr="008B21EF" w:rsidP="008B21EF">
            <w:pPr>
              <w:pStyle w:val="ListBullet"/>
            </w:pPr>
            <w:r w:rsidRPr="008B21EF">
              <w:t>methods of financial evaluation</w:t>
            </w:r>
          </w:p>
          <w:p w:rsidR="00000000" w:rsidRPr="008B21EF" w:rsidP="008B21EF">
            <w:pPr>
              <w:pStyle w:val="ListBullet"/>
            </w:pPr>
            <w:r w:rsidRPr="008B21EF">
              <w:t>methods of storing, recording and updating financial information</w:t>
            </w:r>
          </w:p>
          <w:p w:rsidR="00000000" w:rsidRPr="008B21EF" w:rsidP="008B21EF">
            <w:pPr>
              <w:pStyle w:val="ListBullet"/>
            </w:pPr>
            <w:r w:rsidRPr="008B21EF">
              <w:t>principles of cost-benefit analysis and use of forecasting techniques</w:t>
            </w:r>
          </w:p>
          <w:p w:rsidR="00000000" w:rsidRPr="008B21EF" w:rsidP="008B21EF">
            <w:pPr>
              <w:pStyle w:val="ListBullet"/>
            </w:pPr>
            <w:r w:rsidRPr="008B21EF">
              <w:t>principles of internal control including statutory requirements</w:t>
            </w:r>
          </w:p>
          <w:p w:rsidR="00000000" w:rsidRPr="008B21EF" w:rsidP="008B21EF">
            <w:pPr>
              <w:pStyle w:val="ListBullet"/>
            </w:pPr>
            <w:r w:rsidRPr="008B21EF">
              <w:t>principles of risk management and budgetary control</w:t>
            </w:r>
          </w:p>
          <w:p w:rsidR="00000000" w:rsidRPr="008B21EF" w:rsidP="008B21EF">
            <w:pPr>
              <w:pStyle w:val="ListBullet"/>
            </w:pPr>
            <w:r w:rsidRPr="008B21EF">
              <w:t>organ</w:t>
            </w:r>
            <w:r w:rsidRPr="008B21EF">
              <w:t>isational structures and lines of management authority</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10" w:name="O_77280"/>
      <w:bookmarkEnd w:id="10"/>
      <w:r w:rsidRPr="008B21EF">
        <w:t>Evidence Guide</w:t>
      </w:r>
    </w:p>
    <w:tbl>
      <w:tblPr>
        <w:tblW w:w="9570" w:type="dxa"/>
        <w:tblLayout w:type="fixed"/>
        <w:tblCellMar>
          <w:left w:w="62" w:type="dxa"/>
          <w:right w:w="62" w:type="dxa"/>
        </w:tblCellMar>
        <w:tblLook w:val="0000"/>
      </w:tblPr>
      <w:tblGrid>
        <w:gridCol w:w="2808"/>
        <w:gridCol w:w="6762"/>
      </w:tblGrid>
      <w:tr w:rsidTr="00C25F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EVIDENCE GUIDE</w:t>
            </w:r>
          </w:p>
        </w:tc>
      </w:tr>
      <w:tr w:rsidTr="00C25F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 xml:space="preserve">The Evidence Guide provides advice on assessment and must be read in conjunction with the performance criteria, required skills and knowledge, </w:t>
            </w:r>
            <w:r w:rsidRPr="008B21EF">
              <w:t>range statement and the Assessment Guidelines for the Training Package.</w:t>
            </w:r>
          </w:p>
        </w:tc>
      </w:tr>
      <w:tr w:rsidTr="00C25F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p>
        </w:tc>
      </w:tr>
      <w:tr w:rsidTr="00C25F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Evidence of the ability to:</w:t>
            </w:r>
          </w:p>
          <w:p w:rsidR="00000000" w:rsidRPr="008B21EF" w:rsidP="008B21EF">
            <w:pPr>
              <w:pStyle w:val="ListBullet"/>
            </w:pPr>
            <w:r w:rsidRPr="008B21EF">
              <w:t xml:space="preserve">use standard accounting techniques </w:t>
            </w:r>
            <w:r w:rsidRPr="008B21EF">
              <w:t xml:space="preserve">and knowledge of internal control procedures and an organisation's strategic goals </w:t>
            </w:r>
          </w:p>
          <w:p w:rsidR="00000000" w:rsidRPr="008B21EF" w:rsidP="008B21EF">
            <w:pPr>
              <w:pStyle w:val="ListBullet"/>
            </w:pPr>
            <w:r w:rsidRPr="008B21EF">
              <w:t xml:space="preserve">consider a range of environmental factors when reviewing financial data </w:t>
            </w:r>
          </w:p>
          <w:p w:rsidR="00000000" w:rsidRPr="008B21EF" w:rsidP="008B21EF">
            <w:pPr>
              <w:pStyle w:val="ListBullet"/>
            </w:pPr>
            <w:r w:rsidRPr="008B21EF">
              <w:t>determine viable financial options and implement strategic strategies</w:t>
            </w:r>
          </w:p>
          <w:p w:rsidR="00000000" w:rsidP="008B21EF">
            <w:pPr>
              <w:pStyle w:val="ListBullet"/>
              <w:rPr>
                <w:lang w:val="en-NZ"/>
              </w:rPr>
            </w:pPr>
            <w:r w:rsidRPr="008B21EF">
              <w:t>eval</w:t>
            </w:r>
            <w:r w:rsidRPr="008B21EF">
              <w:t>uate outcomes of implemented strategies.</w:t>
            </w:r>
          </w:p>
        </w:tc>
      </w:tr>
      <w:tr w:rsidTr="00C25F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Assessment must ensure:</w:t>
            </w:r>
          </w:p>
          <w:p w:rsidR="00000000" w:rsidRPr="008B21EF" w:rsidP="008B21EF">
            <w:pPr>
              <w:pStyle w:val="ListBullet"/>
            </w:pPr>
            <w:r w:rsidRPr="008B21EF">
              <w:t xml:space="preserve">competency is demonstrated in the context of the financial services work environment and conditions specified in the range statement either </w:t>
            </w:r>
            <w:r w:rsidRPr="008B21EF">
              <w:t>in a relevant workplace or a closely simulated work environment</w:t>
            </w:r>
          </w:p>
          <w:p w:rsidR="00000000" w:rsidRPr="008B21EF" w:rsidP="008B21EF">
            <w:pPr>
              <w:pStyle w:val="ListBullet"/>
            </w:pPr>
            <w:r w:rsidRPr="008B21EF">
              <w:t>access to and the use of a range of common office equipment, technology, software and consumables</w:t>
            </w:r>
          </w:p>
          <w:p w:rsidR="00000000" w:rsidP="008B21EF">
            <w:pPr>
              <w:pStyle w:val="ListBullet"/>
              <w:rPr>
                <w:lang w:val="en-NZ"/>
              </w:rPr>
            </w:pPr>
            <w:r w:rsidRPr="008B21EF">
              <w:t>access to an integrated financial software system and data</w:t>
            </w:r>
          </w:p>
        </w:tc>
      </w:tr>
      <w:tr w:rsidTr="00C25F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A range of as</w:t>
            </w:r>
            <w:r w:rsidRPr="008B21EF">
              <w:t>sessment methods should be used to assess practical skills and knowledge. The following examples, in combination, are appropriate for this unit:</w:t>
            </w:r>
          </w:p>
          <w:p w:rsidR="00000000" w:rsidRPr="008B21EF" w:rsidP="008B21EF">
            <w:pPr>
              <w:pStyle w:val="ListBullet"/>
            </w:pPr>
            <w:r w:rsidRPr="008B21EF">
              <w:t>evaluating an integrated activity which combines the elements of competency for the unit or a cluster of relat</w:t>
            </w:r>
            <w:r w:rsidRPr="008B21EF">
              <w:t>ed units of competency</w:t>
            </w:r>
          </w:p>
          <w:p w:rsidR="00000000" w:rsidRPr="008B21EF" w:rsidP="008B21EF">
            <w:pPr>
              <w:pStyle w:val="ListBullet"/>
            </w:pPr>
            <w:r w:rsidRPr="008B21EF">
              <w:t>verbal or written questioning on underpinning knowledge and skills which may include formal examinations</w:t>
            </w:r>
          </w:p>
          <w:p w:rsidR="00000000" w:rsidRPr="008B21EF" w:rsidP="008B21EF">
            <w:pPr>
              <w:pStyle w:val="ListBullet"/>
            </w:pPr>
            <w:r w:rsidRPr="008B21EF">
              <w:t>setting and reviewing workplace projects and business simulations or scenarios</w:t>
            </w:r>
          </w:p>
          <w:p w:rsidR="00000000" w:rsidRPr="008B21EF" w:rsidP="008B21EF">
            <w:pPr>
              <w:pStyle w:val="ListBullet"/>
            </w:pPr>
            <w:r w:rsidRPr="008B21EF">
              <w:t>evaluating samples of work</w:t>
            </w:r>
          </w:p>
          <w:p w:rsidR="00000000" w:rsidP="008B21EF">
            <w:pPr>
              <w:pStyle w:val="ListBullet"/>
              <w:rPr>
                <w:lang w:val="en-NZ"/>
              </w:rPr>
            </w:pPr>
            <w:r w:rsidRPr="008B21EF">
              <w:t>accessing and validating third party reports.</w:t>
            </w:r>
          </w:p>
        </w:tc>
      </w:tr>
      <w:tr w:rsidTr="00C25F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11" w:name="O_77281"/>
      <w:bookmarkEnd w:id="11"/>
      <w:r w:rsidRPr="008B21EF">
        <w:t>Range Statement</w:t>
      </w:r>
    </w:p>
    <w:tbl>
      <w:tblPr>
        <w:tblW w:w="0" w:type="auto"/>
        <w:tblLayout w:type="fixed"/>
        <w:tblCellMar>
          <w:left w:w="62" w:type="dxa"/>
          <w:right w:w="62" w:type="dxa"/>
        </w:tblCellMar>
        <w:tblLook w:val="0000"/>
      </w:tblPr>
      <w:tblGrid>
        <w:gridCol w:w="2520"/>
        <w:gridCol w:w="6002"/>
      </w:tblGrid>
      <w:tr w:rsidTr="00C25F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SpecialBold"/>
              </w:rPr>
              <w:t>RANGE STATEMENT</w:t>
            </w:r>
          </w:p>
        </w:tc>
      </w:tr>
      <w:tr w:rsidTr="00C25F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The range statement relates to the unit of competency as a whole. It allows for different work environments and situations that may affect performance. Bold italicised wording, if used in the performance criteria, is detailed below. Essential operating con</w:t>
            </w:r>
            <w:r w:rsidRPr="008B21EF">
              <w:t>ditions that may be present with training and assessment (depending on the work situation, needs of the candidate, accessibility of the item, and local industry and regional contexts) may also be included.</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Standard accounting techniques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dep</w:t>
            </w:r>
            <w:r w:rsidRPr="008B21EF">
              <w:t>rival asset valuations</w:t>
            </w:r>
          </w:p>
          <w:p w:rsidR="00000000" w:rsidRPr="008B21EF" w:rsidP="008B21EF">
            <w:pPr>
              <w:pStyle w:val="ListBullet"/>
            </w:pPr>
            <w:r w:rsidRPr="008B21EF">
              <w:t>direct and indirect allocation</w:t>
            </w:r>
          </w:p>
          <w:p w:rsidR="00000000" w:rsidRPr="008B21EF" w:rsidP="008B21EF">
            <w:pPr>
              <w:pStyle w:val="ListBullet"/>
            </w:pPr>
            <w:r w:rsidRPr="008B21EF">
              <w:t>discounted cash flows</w:t>
            </w:r>
          </w:p>
          <w:p w:rsidR="00000000" w:rsidRPr="008B21EF" w:rsidP="008B21EF">
            <w:pPr>
              <w:pStyle w:val="ListBullet"/>
            </w:pPr>
            <w:r w:rsidRPr="008B21EF">
              <w:t>impact statements</w:t>
            </w:r>
          </w:p>
          <w:p w:rsidR="00000000" w:rsidRPr="008B21EF" w:rsidP="008B21EF">
            <w:pPr>
              <w:pStyle w:val="ListBullet"/>
            </w:pPr>
            <w:r w:rsidRPr="008B21EF">
              <w:t>internal rate of return and net present value</w:t>
            </w:r>
          </w:p>
          <w:p w:rsidR="00000000" w:rsidRPr="008B21EF" w:rsidP="008B21EF">
            <w:pPr>
              <w:pStyle w:val="ListBullet"/>
            </w:pPr>
            <w:r w:rsidRPr="008B21EF">
              <w:t>pay-backand break-even periods</w:t>
            </w:r>
          </w:p>
          <w:p w:rsidR="00000000" w:rsidRPr="008B21EF" w:rsidP="008B21EF">
            <w:pPr>
              <w:pStyle w:val="ListBullet"/>
            </w:pPr>
            <w:r w:rsidRPr="008B21EF">
              <w:t>pro rata and percentage apportionment</w:t>
            </w:r>
          </w:p>
          <w:p w:rsidR="00000000" w:rsidP="008B21EF">
            <w:pPr>
              <w:pStyle w:val="ListBullet"/>
              <w:rPr>
                <w:lang w:val="en-NZ"/>
              </w:rPr>
            </w:pPr>
            <w:r w:rsidRPr="008B21EF">
              <w:t>rates of return.</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Data</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Australian Bureau of Statistics (ABS) economic data</w:t>
            </w:r>
          </w:p>
          <w:p w:rsidR="00000000" w:rsidRPr="008B21EF" w:rsidP="008B21EF">
            <w:pPr>
              <w:pStyle w:val="ListBullet"/>
            </w:pPr>
            <w:r w:rsidRPr="008B21EF">
              <w:t>budgets and forecasts</w:t>
            </w:r>
          </w:p>
          <w:p w:rsidR="00000000" w:rsidRPr="008B21EF" w:rsidP="008B21EF">
            <w:pPr>
              <w:pStyle w:val="ListBullet"/>
            </w:pPr>
            <w:r w:rsidRPr="008B21EF">
              <w:t>credit ratings</w:t>
            </w:r>
          </w:p>
          <w:p w:rsidR="00000000" w:rsidRPr="008B21EF" w:rsidP="008B21EF">
            <w:pPr>
              <w:pStyle w:val="ListBullet"/>
            </w:pPr>
            <w:r w:rsidRPr="008B21EF">
              <w:t xml:space="preserve">financial markets monitoring services </w:t>
            </w:r>
          </w:p>
          <w:p w:rsidR="00000000" w:rsidRPr="008B21EF" w:rsidP="008B21EF">
            <w:pPr>
              <w:pStyle w:val="ListBullet"/>
            </w:pPr>
            <w:r w:rsidRPr="008B21EF">
              <w:t>financial statements and reports</w:t>
            </w:r>
          </w:p>
          <w:p w:rsidR="00000000" w:rsidRPr="008B21EF" w:rsidP="008B21EF">
            <w:pPr>
              <w:pStyle w:val="ListBullet"/>
            </w:pPr>
            <w:r w:rsidRPr="008B21EF">
              <w:t>market valuations</w:t>
            </w:r>
          </w:p>
          <w:p w:rsidR="00000000" w:rsidP="008B21EF">
            <w:pPr>
              <w:pStyle w:val="ListBullet"/>
              <w:rPr>
                <w:lang w:val="en-NZ"/>
              </w:rPr>
            </w:pPr>
            <w:r w:rsidRPr="008B21EF">
              <w:t>Reserve Bank of Australia (RBA) long-term bond rates.</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Assets and liabilities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cash</w:t>
            </w:r>
          </w:p>
          <w:p w:rsidR="00000000" w:rsidRPr="008B21EF" w:rsidP="008B21EF">
            <w:pPr>
              <w:pStyle w:val="ListBullet"/>
            </w:pPr>
            <w:r w:rsidRPr="008B21EF">
              <w:t>computer software</w:t>
            </w:r>
          </w:p>
          <w:p w:rsidR="00000000" w:rsidRPr="008B21EF" w:rsidP="008B21EF">
            <w:pPr>
              <w:pStyle w:val="ListBullet"/>
            </w:pPr>
            <w:r w:rsidRPr="008B21EF">
              <w:t>employee liabilities such as long service leave</w:t>
            </w:r>
          </w:p>
          <w:p w:rsidR="00000000" w:rsidRPr="008B21EF" w:rsidP="008B21EF">
            <w:pPr>
              <w:pStyle w:val="ListBullet"/>
            </w:pPr>
            <w:r w:rsidRPr="008B21EF">
              <w:t>loans, leases, debts</w:t>
            </w:r>
          </w:p>
          <w:p w:rsidR="00000000" w:rsidRPr="008B21EF" w:rsidP="008B21EF">
            <w:pPr>
              <w:pStyle w:val="ListBullet"/>
            </w:pPr>
            <w:r w:rsidRPr="008B21EF">
              <w:t>plant and equipment</w:t>
            </w:r>
          </w:p>
          <w:p w:rsidR="00000000" w:rsidRPr="008B21EF" w:rsidP="008B21EF">
            <w:pPr>
              <w:pStyle w:val="ListBullet"/>
            </w:pPr>
            <w:r w:rsidRPr="008B21EF">
              <w:t>property investments</w:t>
            </w:r>
          </w:p>
          <w:p w:rsidR="00000000" w:rsidRPr="008B21EF" w:rsidP="008B21EF">
            <w:pPr>
              <w:pStyle w:val="ListBullet"/>
            </w:pPr>
            <w:r w:rsidRPr="008B21EF">
              <w:t>shares, debentures, securities</w:t>
            </w:r>
          </w:p>
          <w:p w:rsidR="00000000" w:rsidP="008B21EF">
            <w:pPr>
              <w:pStyle w:val="ListBullet"/>
              <w:rPr>
                <w:lang w:val="en-NZ"/>
              </w:rPr>
            </w:pPr>
            <w:r w:rsidRPr="008B21EF">
              <w:t>stock and account receivable.</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Valuation criteria</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asset backing</w:t>
            </w:r>
          </w:p>
          <w:p w:rsidR="00000000" w:rsidRPr="008B21EF" w:rsidP="008B21EF">
            <w:pPr>
              <w:pStyle w:val="ListBullet"/>
            </w:pPr>
            <w:r w:rsidRPr="008B21EF">
              <w:t>depreciation rate</w:t>
            </w:r>
          </w:p>
          <w:p w:rsidR="00000000" w:rsidRPr="008B21EF" w:rsidP="008B21EF">
            <w:pPr>
              <w:pStyle w:val="ListBullet"/>
            </w:pPr>
            <w:r w:rsidRPr="008B21EF">
              <w:t>director's valuation</w:t>
            </w:r>
          </w:p>
          <w:p w:rsidR="00000000" w:rsidRPr="008B21EF" w:rsidP="008B21EF">
            <w:pPr>
              <w:pStyle w:val="ListBullet"/>
            </w:pPr>
            <w:r w:rsidRPr="008B21EF">
              <w:t>earning capacity</w:t>
            </w:r>
          </w:p>
          <w:p w:rsidR="00000000" w:rsidRPr="008B21EF" w:rsidP="008B21EF">
            <w:pPr>
              <w:pStyle w:val="ListBullet"/>
            </w:pPr>
            <w:r w:rsidRPr="008B21EF">
              <w:t>expected future profits</w:t>
            </w:r>
          </w:p>
          <w:p w:rsidR="00000000" w:rsidRPr="008B21EF" w:rsidP="008B21EF">
            <w:pPr>
              <w:pStyle w:val="ListBullet"/>
            </w:pPr>
            <w:r w:rsidRPr="008B21EF">
              <w:t>market estimates</w:t>
            </w:r>
          </w:p>
          <w:p w:rsidR="00000000" w:rsidRPr="008B21EF" w:rsidP="008B21EF">
            <w:pPr>
              <w:pStyle w:val="ListBullet"/>
            </w:pPr>
            <w:r w:rsidRPr="008B21EF">
              <w:t>past profits</w:t>
            </w:r>
          </w:p>
          <w:p w:rsidR="00000000" w:rsidRPr="008B21EF" w:rsidP="008B21EF">
            <w:pPr>
              <w:pStyle w:val="ListBullet"/>
            </w:pPr>
            <w:r w:rsidRPr="008B21EF">
              <w:t>purchase prices</w:t>
            </w:r>
          </w:p>
          <w:p w:rsidR="00000000" w:rsidRPr="008B21EF" w:rsidP="008B21EF">
            <w:pPr>
              <w:pStyle w:val="ListBullet"/>
            </w:pPr>
            <w:r w:rsidRPr="008B21EF">
              <w:t>receiver's valuation</w:t>
            </w:r>
          </w:p>
          <w:p w:rsidR="00000000" w:rsidP="008B21EF">
            <w:pPr>
              <w:pStyle w:val="ListBullet"/>
              <w:rPr>
                <w:lang w:val="en-NZ"/>
              </w:rPr>
            </w:pPr>
            <w:r w:rsidRPr="008B21EF">
              <w:t>repayment costs.</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Environmental factors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competitors' behaviour</w:t>
            </w:r>
          </w:p>
          <w:p w:rsidR="00000000" w:rsidRPr="008B21EF" w:rsidP="008B21EF">
            <w:pPr>
              <w:pStyle w:val="ListBullet"/>
            </w:pPr>
            <w:r w:rsidRPr="008B21EF">
              <w:t>consumer demand</w:t>
            </w:r>
          </w:p>
          <w:p w:rsidR="00000000" w:rsidRPr="008B21EF" w:rsidP="008B21EF">
            <w:pPr>
              <w:pStyle w:val="ListBullet"/>
            </w:pPr>
            <w:r w:rsidRPr="008B21EF">
              <w:t>cost of capital</w:t>
            </w:r>
          </w:p>
          <w:p w:rsidR="00000000" w:rsidRPr="008B21EF" w:rsidP="008B21EF">
            <w:pPr>
              <w:pStyle w:val="ListBullet"/>
            </w:pPr>
            <w:r w:rsidRPr="008B21EF">
              <w:t>economic conditions and trends</w:t>
            </w:r>
          </w:p>
          <w:p w:rsidR="00000000" w:rsidRPr="008B21EF" w:rsidP="008B21EF">
            <w:pPr>
              <w:pStyle w:val="ListBullet"/>
            </w:pPr>
            <w:r w:rsidRPr="008B21EF">
              <w:t>environmental sustainability consideration</w:t>
            </w:r>
          </w:p>
          <w:p w:rsidR="00000000" w:rsidRPr="008B21EF" w:rsidP="008B21EF">
            <w:pPr>
              <w:pStyle w:val="ListBullet"/>
            </w:pPr>
            <w:r w:rsidRPr="008B21EF">
              <w:t>external risks</w:t>
            </w:r>
          </w:p>
          <w:p w:rsidR="00000000" w:rsidRPr="008B21EF" w:rsidP="008B21EF">
            <w:pPr>
              <w:pStyle w:val="ListBullet"/>
            </w:pPr>
            <w:r w:rsidRPr="008B21EF">
              <w:t>factor markets</w:t>
            </w:r>
          </w:p>
          <w:p w:rsidR="00000000" w:rsidRPr="008B21EF" w:rsidP="008B21EF">
            <w:pPr>
              <w:pStyle w:val="ListBullet"/>
            </w:pPr>
            <w:r w:rsidRPr="008B21EF">
              <w:t>government financial policies</w:t>
            </w:r>
          </w:p>
          <w:p w:rsidR="00000000" w:rsidRPr="008B21EF" w:rsidP="008B21EF">
            <w:pPr>
              <w:pStyle w:val="ListBullet"/>
            </w:pPr>
            <w:r w:rsidRPr="008B21EF">
              <w:t>market share</w:t>
            </w:r>
          </w:p>
          <w:p w:rsidR="00000000" w:rsidP="008B21EF">
            <w:pPr>
              <w:pStyle w:val="ListBullet"/>
              <w:rPr>
                <w:lang w:val="en-NZ"/>
              </w:rPr>
            </w:pPr>
            <w:r w:rsidRPr="008B21EF">
              <w:t>skills shortages.</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Long</w:t>
            </w:r>
            <w:r w:rsidRPr="008B21EF">
              <w:t>-</w:t>
            </w:r>
            <w:r w:rsidRPr="008B21EF">
              <w:rPr>
                <w:rStyle w:val="BoldandItalics"/>
              </w:rPr>
              <w:t>term and short</w:t>
            </w:r>
            <w:r w:rsidRPr="008B21EF">
              <w:t>-</w:t>
            </w:r>
            <w:r w:rsidRPr="008B21EF">
              <w:rPr>
                <w:rStyle w:val="BoldandItalics"/>
              </w:rPr>
              <w:t>term periods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annual reporting</w:t>
            </w:r>
          </w:p>
          <w:p w:rsidR="00000000" w:rsidRPr="008B21EF" w:rsidP="008B21EF">
            <w:pPr>
              <w:pStyle w:val="ListBullet"/>
            </w:pPr>
            <w:r w:rsidRPr="008B21EF">
              <w:t>five year plans</w:t>
            </w:r>
          </w:p>
          <w:p w:rsidR="00000000" w:rsidRPr="008B21EF" w:rsidP="008B21EF">
            <w:pPr>
              <w:pStyle w:val="ListBullet"/>
            </w:pPr>
            <w:r w:rsidRPr="008B21EF">
              <w:t>half yearly budgets</w:t>
            </w:r>
          </w:p>
          <w:p w:rsidR="00000000" w:rsidRPr="008B21EF" w:rsidP="008B21EF">
            <w:pPr>
              <w:pStyle w:val="ListBullet"/>
            </w:pPr>
            <w:r w:rsidRPr="008B21EF">
              <w:t>monthly accounting</w:t>
            </w:r>
          </w:p>
          <w:p w:rsidR="00000000" w:rsidRPr="008B21EF" w:rsidP="008B21EF">
            <w:pPr>
              <w:pStyle w:val="ListBullet"/>
            </w:pPr>
            <w:r w:rsidRPr="008B21EF">
              <w:t>quarterly reports</w:t>
            </w:r>
          </w:p>
          <w:p w:rsidR="00000000" w:rsidP="008B21EF">
            <w:pPr>
              <w:pStyle w:val="ListBullet"/>
              <w:rPr>
                <w:lang w:val="en-NZ"/>
              </w:rPr>
            </w:pPr>
            <w:r w:rsidRPr="008B21EF">
              <w:t>tri-annual funding.</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Strategic goals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growth</w:t>
            </w:r>
          </w:p>
          <w:p w:rsidR="00000000" w:rsidRPr="008B21EF" w:rsidP="008B21EF">
            <w:pPr>
              <w:pStyle w:val="ListBullet"/>
            </w:pPr>
            <w:r w:rsidRPr="008B21EF">
              <w:t>liquidity</w:t>
            </w:r>
          </w:p>
          <w:p w:rsidR="00000000" w:rsidRPr="008B21EF" w:rsidP="008B21EF">
            <w:pPr>
              <w:pStyle w:val="ListBullet"/>
            </w:pPr>
            <w:r w:rsidRPr="008B21EF">
              <w:t>long-term profit</w:t>
            </w:r>
          </w:p>
          <w:p w:rsidR="00000000" w:rsidRPr="008B21EF" w:rsidP="008B21EF">
            <w:pPr>
              <w:pStyle w:val="ListBullet"/>
            </w:pPr>
            <w:r w:rsidRPr="008B21EF">
              <w:t>market share</w:t>
            </w:r>
          </w:p>
          <w:p w:rsidR="00000000" w:rsidRPr="008B21EF" w:rsidP="008B21EF">
            <w:pPr>
              <w:pStyle w:val="ListBullet"/>
            </w:pPr>
            <w:r w:rsidRPr="008B21EF">
              <w:t>short-term profit</w:t>
            </w:r>
          </w:p>
          <w:p w:rsidR="00000000" w:rsidRPr="008B21EF" w:rsidP="008B21EF">
            <w:pPr>
              <w:pStyle w:val="ListBullet"/>
            </w:pPr>
            <w:r w:rsidRPr="008B21EF">
              <w:t>solvency</w:t>
            </w:r>
          </w:p>
          <w:p w:rsidR="00000000" w:rsidP="008B21EF">
            <w:pPr>
              <w:pStyle w:val="ListBullet"/>
              <w:rPr>
                <w:lang w:val="en-NZ"/>
              </w:rPr>
            </w:pPr>
            <w:r w:rsidRPr="008B21EF">
              <w:t>survival.</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Sources of financing</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'plough back'</w:t>
            </w:r>
          </w:p>
          <w:p w:rsidR="00000000" w:rsidRPr="008B21EF" w:rsidP="008B21EF">
            <w:pPr>
              <w:pStyle w:val="ListBullet"/>
            </w:pPr>
            <w:r w:rsidRPr="008B21EF">
              <w:t>asset sales</w:t>
            </w:r>
          </w:p>
          <w:p w:rsidR="00000000" w:rsidRPr="008B21EF" w:rsidP="008B21EF">
            <w:pPr>
              <w:pStyle w:val="ListBullet"/>
            </w:pPr>
            <w:r w:rsidRPr="008B21EF">
              <w:t>bank borrowing:</w:t>
            </w:r>
          </w:p>
          <w:p w:rsidR="00000000" w:rsidRPr="008B21EF" w:rsidP="008B21EF">
            <w:pPr>
              <w:pStyle w:val="ListBullet2"/>
            </w:pPr>
            <w:r w:rsidRPr="008B21EF">
              <w:t xml:space="preserve">long-term </w:t>
            </w:r>
          </w:p>
          <w:p w:rsidR="00000000" w:rsidRPr="008B21EF" w:rsidP="008B21EF">
            <w:pPr>
              <w:pStyle w:val="ListBullet2"/>
            </w:pPr>
            <w:r w:rsidRPr="008B21EF">
              <w:t>short-term</w:t>
            </w:r>
          </w:p>
          <w:p w:rsidR="00000000" w:rsidRPr="008B21EF" w:rsidP="008B21EF">
            <w:pPr>
              <w:pStyle w:val="ListBullet"/>
            </w:pPr>
            <w:r w:rsidRPr="008B21EF">
              <w:t>debentures</w:t>
            </w:r>
          </w:p>
          <w:p w:rsidR="00000000" w:rsidRPr="008B21EF" w:rsidP="008B21EF">
            <w:pPr>
              <w:pStyle w:val="ListBullet"/>
            </w:pPr>
            <w:r w:rsidRPr="008B21EF">
              <w:t>franchising</w:t>
            </w:r>
          </w:p>
          <w:p w:rsidR="00000000" w:rsidRPr="008B21EF" w:rsidP="008B21EF">
            <w:pPr>
              <w:pStyle w:val="ListBullet"/>
            </w:pPr>
            <w:r w:rsidRPr="008B21EF">
              <w:t>government equity injections</w:t>
            </w:r>
          </w:p>
          <w:p w:rsidR="00000000" w:rsidRPr="008B21EF" w:rsidP="008B21EF">
            <w:pPr>
              <w:pStyle w:val="ListBullet"/>
            </w:pPr>
            <w:r w:rsidRPr="008B21EF">
              <w:t>money market</w:t>
            </w:r>
          </w:p>
          <w:p w:rsidR="00000000" w:rsidRPr="008B21EF" w:rsidP="008B21EF">
            <w:pPr>
              <w:pStyle w:val="ListBullet"/>
            </w:pPr>
            <w:r w:rsidRPr="008B21EF">
              <w:t>new share releases</w:t>
            </w:r>
          </w:p>
          <w:p w:rsidR="00000000" w:rsidP="008B21EF">
            <w:pPr>
              <w:pStyle w:val="ListBullet"/>
              <w:rPr>
                <w:lang w:val="en-NZ"/>
              </w:rPr>
            </w:pPr>
            <w:r w:rsidRPr="008B21EF">
              <w:t>venture capital.</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Short</w:t>
            </w:r>
            <w:r w:rsidRPr="008B21EF">
              <w:t>-</w:t>
            </w:r>
            <w:r w:rsidRPr="008B21EF">
              <w:rPr>
                <w:rStyle w:val="BoldandItalics"/>
              </w:rPr>
              <w:t>term and long</w:t>
            </w:r>
            <w:r w:rsidRPr="008B21EF">
              <w:t>-</w:t>
            </w:r>
            <w:r w:rsidRPr="008B21EF">
              <w:rPr>
                <w:rStyle w:val="BoldandItalics"/>
              </w:rPr>
              <w:t>term objectives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debt retirement</w:t>
            </w:r>
          </w:p>
          <w:p w:rsidR="00000000" w:rsidRPr="008B21EF" w:rsidP="008B21EF">
            <w:pPr>
              <w:pStyle w:val="ListBullet"/>
            </w:pPr>
            <w:r w:rsidRPr="008B21EF">
              <w:t>dividends</w:t>
            </w:r>
          </w:p>
          <w:p w:rsidR="00000000" w:rsidRPr="008B21EF" w:rsidP="008B21EF">
            <w:pPr>
              <w:pStyle w:val="ListBullet"/>
            </w:pPr>
            <w:r w:rsidRPr="008B21EF">
              <w:t xml:space="preserve">periodic payments such as: </w:t>
            </w:r>
          </w:p>
          <w:p w:rsidR="00000000" w:rsidRPr="008B21EF" w:rsidP="008B21EF">
            <w:pPr>
              <w:pStyle w:val="ListBullet2"/>
            </w:pPr>
            <w:r w:rsidRPr="008B21EF">
              <w:t xml:space="preserve">leases </w:t>
            </w:r>
          </w:p>
          <w:p w:rsidR="00000000" w:rsidRPr="008B21EF" w:rsidP="008B21EF">
            <w:pPr>
              <w:pStyle w:val="ListBullet2"/>
            </w:pPr>
            <w:r w:rsidRPr="008B21EF">
              <w:t>loans</w:t>
            </w:r>
          </w:p>
          <w:p w:rsidR="00000000" w:rsidRPr="008B21EF" w:rsidP="008B21EF">
            <w:pPr>
              <w:pStyle w:val="ListBullet"/>
            </w:pPr>
            <w:r w:rsidRPr="008B21EF">
              <w:t>salaries and other employee obligations</w:t>
            </w:r>
          </w:p>
          <w:p w:rsidR="00000000" w:rsidRPr="008B21EF" w:rsidP="008B21EF">
            <w:pPr>
              <w:pStyle w:val="ListBullet"/>
            </w:pPr>
            <w:r w:rsidRPr="008B21EF">
              <w:t>superannuation</w:t>
            </w:r>
          </w:p>
          <w:p w:rsidR="00000000" w:rsidP="008B21EF">
            <w:pPr>
              <w:pStyle w:val="ListBullet"/>
              <w:rPr>
                <w:lang w:val="en-NZ"/>
              </w:rPr>
            </w:pPr>
            <w:r w:rsidRPr="008B21EF">
              <w:t>taxation payments.</w:t>
            </w:r>
          </w:p>
        </w:tc>
      </w:tr>
      <w:tr w:rsidTr="00C25F9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rPr>
                <w:rStyle w:val="BoldandItalics"/>
              </w:rPr>
              <w:t>Internal control procedures</w:t>
            </w:r>
            <w:r w:rsidRPr="008B21E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ListBullet"/>
            </w:pPr>
            <w:r w:rsidRPr="008B21EF">
              <w:t>accuracy in valuations</w:t>
            </w:r>
          </w:p>
          <w:p w:rsidR="00000000" w:rsidRPr="008B21EF" w:rsidP="008B21EF">
            <w:pPr>
              <w:pStyle w:val="ListBullet"/>
            </w:pPr>
            <w:r w:rsidRPr="008B21EF">
              <w:t>control of cash</w:t>
            </w:r>
          </w:p>
          <w:p w:rsidR="00000000" w:rsidRPr="008B21EF" w:rsidP="008B21EF">
            <w:pPr>
              <w:pStyle w:val="ListBullet"/>
            </w:pPr>
            <w:r w:rsidRPr="008B21EF">
              <w:t>corporate governance requirements</w:t>
            </w:r>
          </w:p>
          <w:p w:rsidR="00000000" w:rsidRPr="008B21EF" w:rsidP="008B21EF">
            <w:pPr>
              <w:pStyle w:val="ListBullet"/>
            </w:pPr>
            <w:r w:rsidRPr="008B21EF">
              <w:t>decision making authorities</w:t>
            </w:r>
          </w:p>
          <w:p w:rsidR="00000000" w:rsidRPr="008B21EF" w:rsidP="008B21EF">
            <w:pPr>
              <w:pStyle w:val="ListBullet"/>
            </w:pPr>
            <w:r w:rsidRPr="008B21EF">
              <w:t xml:space="preserve">identification, measurement and recording of: </w:t>
            </w:r>
          </w:p>
          <w:p w:rsidR="00000000" w:rsidRPr="008B21EF" w:rsidP="008B21EF">
            <w:pPr>
              <w:pStyle w:val="ListBullet2"/>
            </w:pPr>
            <w:r w:rsidRPr="008B21EF">
              <w:t xml:space="preserve">assets </w:t>
            </w:r>
          </w:p>
          <w:p w:rsidR="00000000" w:rsidRPr="008B21EF" w:rsidP="008B21EF">
            <w:pPr>
              <w:pStyle w:val="ListBullet2"/>
            </w:pPr>
            <w:r w:rsidRPr="008B21EF">
              <w:t>equity</w:t>
            </w:r>
          </w:p>
          <w:p w:rsidR="00000000" w:rsidRPr="008B21EF" w:rsidP="008B21EF">
            <w:pPr>
              <w:pStyle w:val="ListBullet2"/>
            </w:pPr>
            <w:r w:rsidRPr="008B21EF">
              <w:t xml:space="preserve">expenditure </w:t>
            </w:r>
          </w:p>
          <w:p w:rsidR="00000000" w:rsidRPr="008B21EF" w:rsidP="008B21EF">
            <w:pPr>
              <w:pStyle w:val="ListBullet2"/>
            </w:pPr>
            <w:r w:rsidRPr="008B21EF">
              <w:t xml:space="preserve">liabilities </w:t>
            </w:r>
          </w:p>
          <w:p w:rsidR="00000000" w:rsidRPr="008B21EF" w:rsidP="008B21EF">
            <w:pPr>
              <w:pStyle w:val="ListBullet2"/>
            </w:pPr>
            <w:r w:rsidRPr="008B21EF">
              <w:t xml:space="preserve">revenue </w:t>
            </w:r>
          </w:p>
          <w:p w:rsidR="00000000" w:rsidRPr="008B21EF" w:rsidP="008B21EF">
            <w:pPr>
              <w:pStyle w:val="ListBullet"/>
            </w:pPr>
            <w:r w:rsidRPr="008B21EF">
              <w:t>risk management strategies</w:t>
            </w:r>
          </w:p>
          <w:p w:rsidR="00000000" w:rsidRPr="008B21EF" w:rsidP="008B21EF">
            <w:pPr>
              <w:pStyle w:val="ListBullet"/>
            </w:pPr>
            <w:r w:rsidRPr="008B21EF">
              <w:t>safeguarding and insurance of assets</w:t>
            </w:r>
          </w:p>
          <w:p w:rsidR="00000000" w:rsidRPr="008B21EF" w:rsidP="008B21EF">
            <w:pPr>
              <w:pStyle w:val="ListBullet"/>
            </w:pPr>
            <w:r w:rsidRPr="008B21EF">
              <w:t>transparency in financial reporting.</w:t>
            </w:r>
          </w:p>
        </w:tc>
      </w:tr>
    </w:tbl>
    <w:p w:rsidR="00C25F93" w:rsidP="008B21EF">
      <w:pPr>
        <w:pStyle w:val="BodyText"/>
      </w:pPr>
    </w:p>
    <w:p w:rsidR="00C25F93" w:rsidP="008B21EF">
      <w:pPr>
        <w:pStyle w:val="BodyText"/>
      </w:pPr>
    </w:p>
    <w:p w:rsidR="00000000" w:rsidRPr="008B21EF" w:rsidP="008B21EF">
      <w:pPr>
        <w:pStyle w:val="Heading1"/>
      </w:pPr>
      <w:bookmarkStart w:id="12" w:name="O_77282"/>
      <w:bookmarkEnd w:id="12"/>
      <w:r w:rsidRPr="008B21EF">
        <w:t>Unit Sector(s)</w:t>
      </w:r>
    </w:p>
    <w:tbl>
      <w:tblPr>
        <w:tblW w:w="0" w:type="auto"/>
        <w:tblLayout w:type="fixed"/>
        <w:tblCellMar>
          <w:left w:w="62" w:type="dxa"/>
          <w:right w:w="62" w:type="dxa"/>
        </w:tblCellMar>
        <w:tblLook w:val="0000"/>
      </w:tblPr>
      <w:tblGrid>
        <w:gridCol w:w="2570"/>
        <w:gridCol w:w="5952"/>
      </w:tblGrid>
      <w:tr w:rsidTr="00C25F9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r w:rsidRPr="008B21EF">
              <w:t>Accounting</w:t>
            </w: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13" w:name="O_156119"/>
      <w:bookmarkEnd w:id="13"/>
      <w:r w:rsidRPr="008B21EF">
        <w:t>Competency field</w:t>
      </w:r>
    </w:p>
    <w:tbl>
      <w:tblPr>
        <w:tblW w:w="0" w:type="auto"/>
        <w:tblLayout w:type="fixed"/>
        <w:tblCellMar>
          <w:left w:w="62" w:type="dxa"/>
          <w:right w:w="62" w:type="dxa"/>
        </w:tblCellMar>
        <w:tblLook w:val="0000"/>
      </w:tblPr>
      <w:tblGrid>
        <w:gridCol w:w="2737"/>
        <w:gridCol w:w="5785"/>
      </w:tblGrid>
      <w:tr w:rsidTr="00C25F93">
        <w:tblPrEx>
          <w:tblW w:w="0" w:type="auto"/>
          <w:tblLayout w:type="fixed"/>
          <w:tblCellMar>
            <w:left w:w="62" w:type="dxa"/>
            <w:right w:w="62" w:type="dxa"/>
          </w:tblCellMar>
          <w:tblLook w:val="0000"/>
        </w:tblPrEx>
        <w:trPr>
          <w:tblHeader/>
        </w:trPr>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Competency field</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p>
        </w:tc>
      </w:tr>
    </w:tbl>
    <w:p w:rsidR="00000000" w:rsidRPr="008B21EF" w:rsidP="008B21EF">
      <w:pPr>
        <w:pStyle w:val="BodyText"/>
      </w:pPr>
    </w:p>
    <w:p w:rsidR="00000000" w:rsidRPr="008B21EF" w:rsidP="008B21EF">
      <w:pPr>
        <w:pStyle w:val="AllowPageBreak"/>
      </w:pPr>
    </w:p>
    <w:p w:rsidR="00000000" w:rsidRPr="008B21EF" w:rsidP="008B21EF">
      <w:pPr>
        <w:pStyle w:val="Heading1"/>
      </w:pPr>
      <w:bookmarkStart w:id="14" w:name="O_156118"/>
      <w:bookmarkEnd w:id="14"/>
      <w:r w:rsidRPr="008B21EF">
        <w:t>Co-requisite units</w:t>
      </w:r>
    </w:p>
    <w:tbl>
      <w:tblPr>
        <w:tblW w:w="0" w:type="auto"/>
        <w:tblLayout w:type="fixed"/>
        <w:tblCellMar>
          <w:left w:w="62" w:type="dxa"/>
          <w:right w:w="62" w:type="dxa"/>
        </w:tblCellMar>
        <w:tblLook w:val="0000"/>
      </w:tblPr>
      <w:tblGrid>
        <w:gridCol w:w="2614"/>
        <w:gridCol w:w="1327"/>
        <w:gridCol w:w="4581"/>
      </w:tblGrid>
      <w:tr w:rsidTr="00C25F9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r w:rsidRPr="008B21EF">
              <w:t>Co-requisite units</w:t>
            </w:r>
          </w:p>
        </w:tc>
        <w:tc>
          <w:tcPr>
            <w:tcW w:w="1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1EF">
            <w:pPr>
              <w:pStyle w:val="BodyText"/>
              <w:rPr>
                <w:lang w:val="en-NZ"/>
              </w:rPr>
            </w:pPr>
          </w:p>
        </w:tc>
      </w:tr>
      <w:tr w:rsidTr="00C25F93">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1EF" w:rsidP="008B21EF">
            <w:pPr>
              <w:pStyle w:val="BodyText"/>
            </w:pPr>
          </w:p>
        </w:tc>
      </w:tr>
    </w:tbl>
    <w:p w:rsidR="00000000" w:rsidRPr="008B21EF" w:rsidP="008B21EF">
      <w:pPr>
        <w:pStyle w:val="BodyText"/>
      </w:pPr>
    </w:p>
    <w:p w:rsidR="00000000" w:rsidRPr="008B21EF" w:rsidP="008B21EF"/>
    <w:sectPr w:rsidSect="008B2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F93" w:rsidP="00C25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93" w:rsidP="008B2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5F93" w:rsidP="008B2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5F93" w:rsidP="008B2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F93" w:rsidP="00C25F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93" w:rsidP="008B21EF">
    <w:pPr>
      <w:pStyle w:val="Header"/>
      <w:framePr w:wrap="around"/>
    </w:pPr>
    <w:r>
      <w:fldChar w:fldCharType="begin"/>
    </w:r>
    <w:r>
      <w:instrText xml:space="preserve"> TITLE   \* MERGEFORMAT </w:instrText>
    </w:r>
    <w:r>
      <w:fldChar w:fldCharType="separate"/>
    </w:r>
    <w:r>
      <w:t>FNSACC610A Develop and implement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F93" w:rsidP="008B21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ED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28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C9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1EF"/>
    <w:pPr>
      <w:spacing w:before="360" w:after="60"/>
      <w:outlineLvl w:val="0"/>
    </w:pPr>
    <w:rPr>
      <w:sz w:val="32"/>
    </w:rPr>
  </w:style>
  <w:style w:type="paragraph" w:styleId="Heading2">
    <w:name w:val="heading 2"/>
    <w:basedOn w:val="HeadingBase"/>
    <w:next w:val="BodyText"/>
    <w:link w:val="Heading2Char"/>
    <w:qFormat/>
    <w:rsid w:val="008B21EF"/>
    <w:pPr>
      <w:keepLines/>
      <w:spacing w:before="240" w:after="120"/>
      <w:outlineLvl w:val="1"/>
    </w:pPr>
    <w:rPr>
      <w:sz w:val="28"/>
      <w:szCs w:val="40"/>
    </w:rPr>
  </w:style>
  <w:style w:type="paragraph" w:styleId="Heading3">
    <w:name w:val="heading 3"/>
    <w:basedOn w:val="HeadingBase"/>
    <w:next w:val="BodyText"/>
    <w:link w:val="Heading3Char"/>
    <w:qFormat/>
    <w:rsid w:val="008B21EF"/>
    <w:pPr>
      <w:spacing w:before="180" w:after="120"/>
      <w:outlineLvl w:val="2"/>
    </w:pPr>
    <w:rPr>
      <w:spacing w:val="-10"/>
      <w:kern w:val="32"/>
    </w:rPr>
  </w:style>
  <w:style w:type="paragraph" w:styleId="Heading4">
    <w:name w:val="heading 4"/>
    <w:basedOn w:val="HeadingBase"/>
    <w:next w:val="BodyText"/>
    <w:link w:val="Heading4Char"/>
    <w:qFormat/>
    <w:rsid w:val="008B21EF"/>
    <w:pPr>
      <w:spacing w:before="160" w:after="120"/>
      <w:outlineLvl w:val="3"/>
    </w:pPr>
    <w:rPr>
      <w:sz w:val="22"/>
    </w:rPr>
  </w:style>
  <w:style w:type="paragraph" w:styleId="Heading5">
    <w:name w:val="heading 5"/>
    <w:basedOn w:val="HeadingBase"/>
    <w:next w:val="Normal"/>
    <w:link w:val="Heading5Char"/>
    <w:qFormat/>
    <w:rsid w:val="008B21EF"/>
    <w:pPr>
      <w:spacing w:before="80"/>
      <w:outlineLvl w:val="4"/>
    </w:pPr>
    <w:rPr>
      <w:color w:val="918585"/>
      <w:sz w:val="20"/>
    </w:rPr>
  </w:style>
  <w:style w:type="paragraph" w:styleId="Heading6">
    <w:name w:val="heading 6"/>
    <w:basedOn w:val="HeadingBase"/>
    <w:next w:val="Normal"/>
    <w:link w:val="Heading6Char"/>
    <w:qFormat/>
    <w:rsid w:val="008B21EF"/>
    <w:pPr>
      <w:spacing w:before="60"/>
      <w:outlineLvl w:val="5"/>
    </w:pPr>
    <w:rPr>
      <w:color w:val="918585"/>
      <w:sz w:val="20"/>
    </w:rPr>
  </w:style>
  <w:style w:type="paragraph" w:styleId="Heading7">
    <w:name w:val="heading 7"/>
    <w:basedOn w:val="Normal"/>
    <w:next w:val="Normal"/>
    <w:link w:val="Heading7Char"/>
    <w:qFormat/>
    <w:rsid w:val="008B21EF"/>
    <w:pPr>
      <w:ind w:left="720"/>
      <w:outlineLvl w:val="6"/>
    </w:pPr>
    <w:rPr>
      <w:i/>
    </w:rPr>
  </w:style>
  <w:style w:type="paragraph" w:styleId="Heading8">
    <w:name w:val="heading 8"/>
    <w:basedOn w:val="Normal"/>
    <w:next w:val="Normal"/>
    <w:link w:val="Heading8Char"/>
    <w:qFormat/>
    <w:rsid w:val="008B21EF"/>
    <w:pPr>
      <w:ind w:left="720"/>
      <w:outlineLvl w:val="7"/>
    </w:pPr>
    <w:rPr>
      <w:i/>
    </w:rPr>
  </w:style>
  <w:style w:type="paragraph" w:styleId="Heading9">
    <w:name w:val="heading 9"/>
    <w:basedOn w:val="Normal"/>
    <w:next w:val="Normal"/>
    <w:link w:val="Heading9Char"/>
    <w:qFormat/>
    <w:rsid w:val="008B21EF"/>
    <w:pPr>
      <w:ind w:left="720"/>
      <w:outlineLvl w:val="8"/>
    </w:pPr>
    <w:rPr>
      <w:i/>
    </w:rPr>
  </w:style>
  <w:style w:type="character" w:default="1" w:styleId="DefaultParagraphFont">
    <w:name w:val="Default Paragraph Font"/>
    <w:uiPriority w:val="1"/>
    <w:unhideWhenUsed/>
    <w:rsid w:val="008B2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1EF"/>
  </w:style>
  <w:style w:type="character" w:customStyle="1" w:styleId="Heading1Char">
    <w:name w:val="Heading 1 Char"/>
    <w:basedOn w:val="DefaultParagraphFont"/>
    <w:link w:val="Heading1"/>
    <w:rsid w:val="008B21EF"/>
    <w:rPr>
      <w:rFonts w:ascii="Times New Roman" w:eastAsia="Times New Roman" w:hAnsi="Times New Roman" w:cs="Times New Roman"/>
      <w:b/>
      <w:sz w:val="32"/>
      <w:szCs w:val="20"/>
      <w:lang w:eastAsia="en-US"/>
    </w:rPr>
  </w:style>
  <w:style w:type="paragraph" w:styleId="BodyText">
    <w:name w:val="Body Text"/>
    <w:basedOn w:val="Normal"/>
    <w:link w:val="BodyTextChar"/>
    <w:rsid w:val="008B2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1EF"/>
    <w:rPr>
      <w:rFonts w:ascii="Times New Roman" w:eastAsia="Times New Roman" w:hAnsi="Times New Roman" w:cs="Times New Roman"/>
      <w:sz w:val="24"/>
      <w:lang w:val="en-US" w:eastAsia="en-US"/>
    </w:rPr>
  </w:style>
  <w:style w:type="paragraph" w:styleId="Footer">
    <w:name w:val="footer"/>
    <w:basedOn w:val="Normal"/>
    <w:link w:val="FooterChar"/>
    <w:rsid w:val="008B2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1EF"/>
    <w:rPr>
      <w:rFonts w:ascii="Times New Roman" w:eastAsia="Times New Roman" w:hAnsi="Times New Roman" w:cs="Times New Roman"/>
      <w:sz w:val="16"/>
      <w:lang w:val="en-US" w:eastAsia="en-US"/>
    </w:rPr>
  </w:style>
  <w:style w:type="paragraph" w:styleId="List">
    <w:name w:val="List"/>
    <w:basedOn w:val="BodyText"/>
    <w:next w:val="BodyText"/>
    <w:rsid w:val="008B21EF"/>
    <w:pPr>
      <w:tabs>
        <w:tab w:val="left" w:pos="340"/>
      </w:tabs>
      <w:spacing w:before="60" w:after="60"/>
      <w:ind w:left="340" w:hanging="340"/>
    </w:pPr>
  </w:style>
  <w:style w:type="paragraph" w:styleId="ListBullet">
    <w:name w:val="List Bullet"/>
    <w:basedOn w:val="List"/>
    <w:rsid w:val="008B21EF"/>
    <w:pPr>
      <w:numPr>
        <w:numId w:val="13"/>
      </w:numPr>
      <w:tabs>
        <w:tab w:val="clear" w:pos="340"/>
      </w:tabs>
      <w:spacing w:before="40" w:after="40"/>
    </w:pPr>
  </w:style>
  <w:style w:type="character" w:customStyle="1" w:styleId="SpecialBold">
    <w:name w:val="Special Bold"/>
    <w:basedOn w:val="DefaultParagraphFont"/>
    <w:rsid w:val="008B21EF"/>
    <w:rPr>
      <w:b/>
      <w:spacing w:val="0"/>
    </w:rPr>
  </w:style>
  <w:style w:type="paragraph" w:styleId="ListBullet2">
    <w:name w:val="List Bullet 2"/>
    <w:basedOn w:val="List2"/>
    <w:rsid w:val="008B21EF"/>
    <w:pPr>
      <w:numPr>
        <w:numId w:val="14"/>
      </w:numPr>
      <w:tabs>
        <w:tab w:val="clear" w:pos="680"/>
      </w:tabs>
    </w:pPr>
  </w:style>
  <w:style w:type="paragraph" w:styleId="Header">
    <w:name w:val="header"/>
    <w:basedOn w:val="Normal"/>
    <w:link w:val="HeaderChar"/>
    <w:rsid w:val="008B2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1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21EF"/>
    <w:pPr>
      <w:spacing w:before="240" w:after="120"/>
      <w:outlineLvl w:val="0"/>
    </w:pPr>
    <w:rPr>
      <w:rFonts w:ascii="Times New Roman" w:hAnsi="Times New Roman"/>
      <w:b/>
      <w:sz w:val="28"/>
    </w:rPr>
  </w:style>
  <w:style w:type="paragraph" w:customStyle="1" w:styleId="AllowPageBreak">
    <w:name w:val="AllowPageBreak"/>
    <w:rsid w:val="008B2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21EF"/>
    <w:pPr>
      <w:tabs>
        <w:tab w:val="left" w:pos="680"/>
      </w:tabs>
      <w:spacing w:before="60" w:after="60"/>
      <w:ind w:left="680" w:hanging="340"/>
    </w:pPr>
  </w:style>
  <w:style w:type="character" w:customStyle="1" w:styleId="BoldandItalics">
    <w:name w:val="Bold and Italics"/>
    <w:qFormat/>
    <w:rsid w:val="008B21EF"/>
    <w:rPr>
      <w:b/>
      <w:i/>
      <w:u w:val="none"/>
    </w:rPr>
  </w:style>
  <w:style w:type="character" w:customStyle="1" w:styleId="Heading2Char">
    <w:name w:val="Heading 2 Char"/>
    <w:basedOn w:val="DefaultParagraphFont"/>
    <w:link w:val="Heading2"/>
    <w:rsid w:val="008B2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1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1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1EF"/>
    <w:rPr>
      <w:rFonts w:ascii="Courier New" w:eastAsia="Times New Roman" w:hAnsi="Courier New" w:cs="Times New Roman"/>
      <w:i/>
      <w:szCs w:val="20"/>
      <w:lang w:val="en-US" w:eastAsia="en-US"/>
    </w:rPr>
  </w:style>
  <w:style w:type="paragraph" w:customStyle="1" w:styleId="HeadingBase">
    <w:name w:val="Heading Base"/>
    <w:rsid w:val="008B2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1EF"/>
    <w:pPr>
      <w:tabs>
        <w:tab w:val="right" w:leader="dot" w:pos="9072"/>
      </w:tabs>
      <w:ind w:left="567"/>
    </w:pPr>
    <w:rPr>
      <w:szCs w:val="22"/>
    </w:rPr>
  </w:style>
  <w:style w:type="paragraph" w:customStyle="1" w:styleId="TOCBase">
    <w:name w:val="TOC Base"/>
    <w:rsid w:val="008B2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1EF"/>
    <w:pPr>
      <w:tabs>
        <w:tab w:val="right" w:leader="dot" w:pos="9072"/>
      </w:tabs>
      <w:spacing w:before="40" w:after="40"/>
      <w:ind w:left="284"/>
    </w:pPr>
    <w:rPr>
      <w:rFonts w:ascii="Times New Roman" w:hAnsi="Times New Roman"/>
    </w:rPr>
  </w:style>
  <w:style w:type="paragraph" w:styleId="TOC1">
    <w:name w:val="toc 1"/>
    <w:basedOn w:val="TOCBase"/>
    <w:next w:val="Normal"/>
    <w:rsid w:val="008B2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1EF"/>
    <w:pPr>
      <w:spacing w:before="5040"/>
      <w:jc w:val="center"/>
    </w:pPr>
    <w:rPr>
      <w:sz w:val="48"/>
      <w:szCs w:val="72"/>
      <w:lang w:val="en-US"/>
    </w:rPr>
  </w:style>
  <w:style w:type="character" w:customStyle="1" w:styleId="TitleChar">
    <w:name w:val="Title Char"/>
    <w:basedOn w:val="DefaultParagraphFont"/>
    <w:link w:val="Title"/>
    <w:rsid w:val="008B2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1EF"/>
    <w:pPr>
      <w:tabs>
        <w:tab w:val="left" w:pos="3600"/>
        <w:tab w:val="left" w:pos="3958"/>
      </w:tabs>
    </w:pPr>
  </w:style>
  <w:style w:type="paragraph" w:customStyle="1" w:styleId="Note">
    <w:name w:val="Note"/>
    <w:basedOn w:val="BodyText"/>
    <w:rsid w:val="008B2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1EF"/>
    <w:pPr>
      <w:framePr w:wrap="auto" w:hAnchor="text" w:y="6049"/>
    </w:pPr>
    <w:rPr>
      <w:color w:val="000000"/>
      <w:sz w:val="40"/>
    </w:rPr>
  </w:style>
  <w:style w:type="paragraph" w:customStyle="1" w:styleId="TOCTitle">
    <w:name w:val="TOCTitle"/>
    <w:basedOn w:val="Heading1"/>
    <w:rsid w:val="008B21EF"/>
    <w:pPr>
      <w:spacing w:after="240"/>
      <w:jc w:val="center"/>
      <w:outlineLvl w:val="9"/>
    </w:pPr>
    <w:rPr>
      <w:caps/>
    </w:rPr>
  </w:style>
  <w:style w:type="paragraph" w:customStyle="1" w:styleId="Version">
    <w:name w:val="Version"/>
    <w:rsid w:val="008B2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1EF"/>
    <w:pPr>
      <w:keepNext w:val="0"/>
      <w:tabs>
        <w:tab w:val="right" w:pos="4176"/>
      </w:tabs>
      <w:ind w:left="198" w:hanging="198"/>
    </w:pPr>
    <w:rPr>
      <w:rFonts w:ascii="Garamond" w:hAnsi="Garamond"/>
    </w:rPr>
  </w:style>
  <w:style w:type="paragraph" w:styleId="IndexHeading">
    <w:name w:val="index heading"/>
    <w:basedOn w:val="Normal"/>
    <w:next w:val="Index1"/>
    <w:semiHidden/>
    <w:rsid w:val="008B21EF"/>
    <w:pPr>
      <w:spacing w:before="120" w:after="120"/>
    </w:pPr>
    <w:rPr>
      <w:rFonts w:ascii="Arial" w:hAnsi="Arial"/>
      <w:b/>
      <w:color w:val="918585"/>
      <w:sz w:val="24"/>
    </w:rPr>
  </w:style>
  <w:style w:type="paragraph" w:customStyle="1" w:styleId="Chapter">
    <w:name w:val="Chapter"/>
    <w:basedOn w:val="Normal"/>
    <w:rsid w:val="008B21EF"/>
    <w:pPr>
      <w:spacing w:before="240"/>
    </w:pPr>
    <w:rPr>
      <w:rFonts w:ascii="Times New Roman" w:hAnsi="Times New Roman"/>
      <w:smallCaps/>
      <w:spacing w:val="80"/>
      <w:sz w:val="28"/>
    </w:rPr>
  </w:style>
  <w:style w:type="paragraph" w:customStyle="1" w:styleId="InChapter">
    <w:name w:val="InChapter"/>
    <w:basedOn w:val="Heading3"/>
    <w:rsid w:val="008B21EF"/>
    <w:pPr>
      <w:spacing w:after="240"/>
      <w:outlineLvl w:val="9"/>
    </w:pPr>
    <w:rPr>
      <w:noProof/>
    </w:rPr>
  </w:style>
  <w:style w:type="paragraph" w:styleId="Index2">
    <w:name w:val="index 2"/>
    <w:basedOn w:val="Normal"/>
    <w:next w:val="Normal"/>
    <w:semiHidden/>
    <w:rsid w:val="008B21EF"/>
    <w:pPr>
      <w:tabs>
        <w:tab w:val="right" w:pos="4176"/>
      </w:tabs>
      <w:ind w:left="568" w:hanging="284"/>
    </w:pPr>
    <w:rPr>
      <w:rFonts w:ascii="Garamond" w:hAnsi="Garamond"/>
    </w:rPr>
  </w:style>
  <w:style w:type="paragraph" w:customStyle="1" w:styleId="Byline">
    <w:name w:val="Byline"/>
    <w:rsid w:val="008B2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1EF"/>
    <w:pPr>
      <w:tabs>
        <w:tab w:val="clear" w:pos="3600"/>
        <w:tab w:val="clear" w:pos="3958"/>
      </w:tabs>
      <w:jc w:val="right"/>
    </w:pPr>
  </w:style>
  <w:style w:type="character" w:styleId="Emphasis">
    <w:name w:val="Emphasis"/>
    <w:basedOn w:val="DefaultParagraphFont"/>
    <w:qFormat/>
    <w:rsid w:val="008B21EF"/>
    <w:rPr>
      <w:i/>
    </w:rPr>
  </w:style>
  <w:style w:type="paragraph" w:styleId="Caption">
    <w:name w:val="caption"/>
    <w:basedOn w:val="BodyText"/>
    <w:next w:val="Normal"/>
    <w:qFormat/>
    <w:rsid w:val="008B21EF"/>
    <w:pPr>
      <w:framePr w:w="2268" w:hSpace="181" w:vSpace="181" w:wrap="around" w:vAnchor="text" w:hAnchor="page" w:x="1135" w:y="285" w:anchorLock="1"/>
    </w:pPr>
    <w:rPr>
      <w:i/>
    </w:rPr>
  </w:style>
  <w:style w:type="paragraph" w:customStyle="1" w:styleId="MiniTOCTitle">
    <w:name w:val="MiniTOCTitle"/>
    <w:basedOn w:val="Heading4"/>
    <w:rsid w:val="008B21EF"/>
    <w:pPr>
      <w:spacing w:before="240"/>
      <w:outlineLvl w:val="9"/>
    </w:pPr>
    <w:rPr>
      <w:noProof/>
      <w:sz w:val="24"/>
    </w:rPr>
  </w:style>
  <w:style w:type="paragraph" w:customStyle="1" w:styleId="MiniTOCItem">
    <w:name w:val="MiniTOCItem"/>
    <w:basedOn w:val="ListBullet"/>
    <w:rsid w:val="008B21EF"/>
    <w:pPr>
      <w:numPr>
        <w:numId w:val="0"/>
      </w:numPr>
      <w:tabs>
        <w:tab w:val="right" w:leader="dot" w:pos="6521"/>
      </w:tabs>
      <w:spacing w:before="0" w:after="0"/>
    </w:pPr>
  </w:style>
  <w:style w:type="paragraph" w:customStyle="1" w:styleId="TOFTitle">
    <w:name w:val="TOFTitle"/>
    <w:basedOn w:val="TOCTitle"/>
    <w:rsid w:val="008B21EF"/>
  </w:style>
  <w:style w:type="paragraph" w:styleId="TableofFigures">
    <w:name w:val="table of figures"/>
    <w:basedOn w:val="Normal"/>
    <w:next w:val="Normal"/>
    <w:semiHidden/>
    <w:rsid w:val="008B21EF"/>
    <w:pPr>
      <w:tabs>
        <w:tab w:val="right" w:leader="dot" w:pos="9072"/>
      </w:tabs>
      <w:ind w:left="970" w:hanging="403"/>
    </w:pPr>
    <w:rPr>
      <w:rFonts w:ascii="Times New Roman" w:hAnsi="Times New Roman"/>
      <w:b/>
    </w:rPr>
  </w:style>
  <w:style w:type="paragraph" w:styleId="ListNumber">
    <w:name w:val="List Number"/>
    <w:basedOn w:val="List"/>
    <w:rsid w:val="008B21EF"/>
    <w:pPr>
      <w:numPr>
        <w:numId w:val="11"/>
      </w:numPr>
    </w:pPr>
  </w:style>
  <w:style w:type="character" w:customStyle="1" w:styleId="WingdingSymbols">
    <w:name w:val="Wingding Symbols"/>
    <w:rsid w:val="008B21EF"/>
    <w:rPr>
      <w:rFonts w:ascii="Wingdings" w:hAnsi="Wingdings"/>
    </w:rPr>
  </w:style>
  <w:style w:type="paragraph" w:customStyle="1" w:styleId="TableHeading">
    <w:name w:val="Table Heading"/>
    <w:basedOn w:val="HeadingBase"/>
    <w:rsid w:val="008B21EF"/>
    <w:pPr>
      <w:keepLines/>
      <w:pBdr>
        <w:bottom w:val="single" w:sz="6" w:space="1" w:color="918585"/>
      </w:pBdr>
      <w:spacing w:before="240"/>
    </w:pPr>
  </w:style>
  <w:style w:type="character" w:customStyle="1" w:styleId="HotSpot">
    <w:name w:val="HotSpot"/>
    <w:rsid w:val="008B21EF"/>
    <w:rPr>
      <w:color w:val="0033CC"/>
      <w:u w:val="none"/>
    </w:rPr>
  </w:style>
  <w:style w:type="paragraph" w:customStyle="1" w:styleId="BodyTextRight">
    <w:name w:val="Body Text Right"/>
    <w:basedOn w:val="BodyText"/>
    <w:rsid w:val="008B21EF"/>
    <w:pPr>
      <w:spacing w:before="0" w:after="0"/>
      <w:jc w:val="right"/>
    </w:pPr>
  </w:style>
  <w:style w:type="paragraph" w:styleId="Index3">
    <w:name w:val="index 3"/>
    <w:basedOn w:val="ListNumber2"/>
    <w:next w:val="Normal"/>
    <w:semiHidden/>
    <w:rsid w:val="008B21EF"/>
    <w:pPr>
      <w:numPr>
        <w:numId w:val="0"/>
      </w:numPr>
      <w:tabs>
        <w:tab w:val="right" w:leader="dot" w:pos="4176"/>
      </w:tabs>
    </w:pPr>
  </w:style>
  <w:style w:type="paragraph" w:styleId="ListNumber2">
    <w:name w:val="List Number 2"/>
    <w:basedOn w:val="List2"/>
    <w:rsid w:val="008B21EF"/>
    <w:pPr>
      <w:numPr>
        <w:numId w:val="10"/>
      </w:numPr>
      <w:tabs>
        <w:tab w:val="clear" w:pos="1060"/>
      </w:tabs>
    </w:pPr>
  </w:style>
  <w:style w:type="paragraph" w:customStyle="1" w:styleId="MarginNote">
    <w:name w:val="Margin Note"/>
    <w:basedOn w:val="BodyText"/>
    <w:rsid w:val="008B2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1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1EF"/>
    <w:rPr>
      <w:sz w:val="32"/>
    </w:rPr>
  </w:style>
  <w:style w:type="paragraph" w:customStyle="1" w:styleId="HeadingProcedure">
    <w:name w:val="Heading Procedure"/>
    <w:basedOn w:val="HeadingBase"/>
    <w:next w:val="Normal"/>
    <w:rsid w:val="008B21EF"/>
    <w:pPr>
      <w:tabs>
        <w:tab w:val="left" w:pos="0"/>
      </w:tabs>
      <w:spacing w:before="120" w:after="60"/>
    </w:pPr>
    <w:rPr>
      <w:i/>
      <w:color w:val="918585"/>
      <w:sz w:val="22"/>
    </w:rPr>
  </w:style>
  <w:style w:type="paragraph" w:customStyle="1" w:styleId="TableBodyText">
    <w:name w:val="Table Body Text"/>
    <w:basedOn w:val="BodyText"/>
    <w:rsid w:val="008B21EF"/>
    <w:pPr>
      <w:spacing w:before="60" w:after="60"/>
    </w:pPr>
  </w:style>
  <w:style w:type="paragraph" w:styleId="ListContinue">
    <w:name w:val="List Continue"/>
    <w:basedOn w:val="List"/>
    <w:rsid w:val="008B21EF"/>
    <w:pPr>
      <w:ind w:firstLine="0"/>
    </w:pPr>
  </w:style>
  <w:style w:type="paragraph" w:customStyle="1" w:styleId="ListNote">
    <w:name w:val="List Note"/>
    <w:basedOn w:val="List"/>
    <w:rsid w:val="008B21EF"/>
    <w:pPr>
      <w:pBdr>
        <w:top w:val="single" w:sz="6" w:space="2" w:color="918585"/>
        <w:bottom w:val="single" w:sz="6" w:space="2" w:color="918585"/>
      </w:pBdr>
      <w:tabs>
        <w:tab w:val="left" w:pos="1021"/>
      </w:tabs>
      <w:ind w:firstLine="0"/>
    </w:pPr>
  </w:style>
  <w:style w:type="paragraph" w:customStyle="1" w:styleId="Warning">
    <w:name w:val="Warning"/>
    <w:basedOn w:val="BodyText"/>
    <w:rsid w:val="008B21EF"/>
    <w:pPr>
      <w:shd w:val="clear" w:color="auto" w:fill="D9D9D9"/>
      <w:tabs>
        <w:tab w:val="left" w:pos="992"/>
      </w:tabs>
      <w:ind w:left="119" w:right="119"/>
    </w:pPr>
    <w:rPr>
      <w:sz w:val="20"/>
    </w:rPr>
  </w:style>
  <w:style w:type="paragraph" w:customStyle="1" w:styleId="MarginIcons">
    <w:name w:val="Margin Icons"/>
    <w:basedOn w:val="BodyText"/>
    <w:rsid w:val="008B2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1EF"/>
    <w:rPr>
      <w:rFonts w:ascii="Courier New" w:hAnsi="Courier New"/>
    </w:rPr>
  </w:style>
  <w:style w:type="paragraph" w:customStyle="1" w:styleId="NoteBullet">
    <w:name w:val="Note Bullet"/>
    <w:basedOn w:val="Note"/>
    <w:rsid w:val="008B21EF"/>
    <w:pPr>
      <w:tabs>
        <w:tab w:val="clear" w:pos="680"/>
      </w:tabs>
      <w:spacing w:before="60" w:after="60"/>
    </w:pPr>
  </w:style>
  <w:style w:type="paragraph" w:customStyle="1" w:styleId="SubHeading2">
    <w:name w:val="SubHeading2"/>
    <w:basedOn w:val="HeadingBase"/>
    <w:rsid w:val="008B21EF"/>
    <w:pPr>
      <w:spacing w:before="240" w:after="60"/>
    </w:pPr>
    <w:rPr>
      <w:sz w:val="20"/>
    </w:rPr>
  </w:style>
  <w:style w:type="paragraph" w:customStyle="1" w:styleId="SubHeading1">
    <w:name w:val="SubHeading1"/>
    <w:basedOn w:val="HeadingBase"/>
    <w:rsid w:val="008B21EF"/>
    <w:pPr>
      <w:spacing w:before="240" w:after="60"/>
    </w:pPr>
    <w:rPr>
      <w:color w:val="918585"/>
      <w:sz w:val="22"/>
    </w:rPr>
  </w:style>
  <w:style w:type="paragraph" w:customStyle="1" w:styleId="SideHeading">
    <w:name w:val="Side Heading"/>
    <w:basedOn w:val="HeadingBase"/>
    <w:rsid w:val="008B2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1EF"/>
    <w:pPr>
      <w:numPr>
        <w:numId w:val="12"/>
      </w:numPr>
    </w:pPr>
  </w:style>
  <w:style w:type="paragraph" w:styleId="PlainText">
    <w:name w:val="Plain Text"/>
    <w:basedOn w:val="Normal"/>
    <w:link w:val="PlainTextChar"/>
    <w:rsid w:val="008B21EF"/>
    <w:rPr>
      <w:sz w:val="20"/>
    </w:rPr>
  </w:style>
  <w:style w:type="character" w:customStyle="1" w:styleId="PlainTextChar">
    <w:name w:val="Plain Text Char"/>
    <w:basedOn w:val="DefaultParagraphFont"/>
    <w:link w:val="PlainText"/>
    <w:rsid w:val="008B21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1EF"/>
    <w:rPr>
      <w:b/>
      <w:smallCaps/>
    </w:rPr>
  </w:style>
  <w:style w:type="paragraph" w:customStyle="1" w:styleId="TableListNumber">
    <w:name w:val="Table List Number"/>
    <w:basedOn w:val="ListNumber"/>
    <w:rsid w:val="008B21EF"/>
    <w:pPr>
      <w:numPr>
        <w:numId w:val="0"/>
      </w:numPr>
    </w:pPr>
  </w:style>
  <w:style w:type="paragraph" w:styleId="TOC4">
    <w:name w:val="toc 4"/>
    <w:basedOn w:val="TOCBase"/>
    <w:next w:val="Normal"/>
    <w:semiHidden/>
    <w:rsid w:val="008B21EF"/>
    <w:pPr>
      <w:tabs>
        <w:tab w:val="right" w:leader="dot" w:pos="9071"/>
      </w:tabs>
      <w:ind w:left="1701"/>
    </w:pPr>
  </w:style>
  <w:style w:type="paragraph" w:customStyle="1" w:styleId="ListAlpha">
    <w:name w:val="List Alpha"/>
    <w:basedOn w:val="List"/>
    <w:rsid w:val="008B21EF"/>
    <w:pPr>
      <w:numPr>
        <w:numId w:val="9"/>
      </w:numPr>
    </w:pPr>
  </w:style>
  <w:style w:type="paragraph" w:customStyle="1" w:styleId="ListAlpha2">
    <w:name w:val="List Alpha 2"/>
    <w:basedOn w:val="List2"/>
    <w:rsid w:val="008B21EF"/>
    <w:pPr>
      <w:numPr>
        <w:numId w:val="8"/>
      </w:numPr>
    </w:pPr>
  </w:style>
  <w:style w:type="paragraph" w:styleId="List3">
    <w:name w:val="List 3"/>
    <w:basedOn w:val="BodyText"/>
    <w:rsid w:val="008B21EF"/>
    <w:pPr>
      <w:tabs>
        <w:tab w:val="left" w:pos="1021"/>
      </w:tabs>
      <w:spacing w:before="60" w:after="60"/>
      <w:ind w:left="1020" w:hanging="340"/>
    </w:pPr>
  </w:style>
  <w:style w:type="paragraph" w:styleId="List4">
    <w:name w:val="List 4"/>
    <w:basedOn w:val="BodyText"/>
    <w:rsid w:val="008B21EF"/>
    <w:pPr>
      <w:tabs>
        <w:tab w:val="left" w:pos="1361"/>
      </w:tabs>
      <w:spacing w:before="60" w:after="60"/>
      <w:ind w:left="1361" w:hanging="340"/>
    </w:pPr>
  </w:style>
  <w:style w:type="paragraph" w:styleId="List5">
    <w:name w:val="List 5"/>
    <w:basedOn w:val="BodyText"/>
    <w:rsid w:val="008B21EF"/>
    <w:pPr>
      <w:tabs>
        <w:tab w:val="left" w:pos="1701"/>
      </w:tabs>
      <w:spacing w:before="60" w:after="60"/>
      <w:ind w:left="1701" w:hanging="340"/>
    </w:pPr>
  </w:style>
  <w:style w:type="paragraph" w:styleId="ListBullet3">
    <w:name w:val="List Bullet 3"/>
    <w:basedOn w:val="List3"/>
    <w:rsid w:val="008B21EF"/>
    <w:pPr>
      <w:numPr>
        <w:numId w:val="15"/>
      </w:numPr>
      <w:tabs>
        <w:tab w:val="clear" w:pos="1021"/>
      </w:tabs>
      <w:ind w:left="1037" w:hanging="357"/>
    </w:pPr>
  </w:style>
  <w:style w:type="paragraph" w:styleId="ListBullet4">
    <w:name w:val="List Bullet 4"/>
    <w:basedOn w:val="List4"/>
    <w:rsid w:val="008B21EF"/>
    <w:pPr>
      <w:numPr>
        <w:numId w:val="3"/>
      </w:numPr>
    </w:pPr>
  </w:style>
  <w:style w:type="paragraph" w:styleId="ListBullet5">
    <w:name w:val="List Bullet 5"/>
    <w:basedOn w:val="List5"/>
    <w:rsid w:val="008B21EF"/>
    <w:pPr>
      <w:numPr>
        <w:numId w:val="4"/>
      </w:numPr>
    </w:pPr>
  </w:style>
  <w:style w:type="paragraph" w:styleId="ListContinue2">
    <w:name w:val="List Continue 2"/>
    <w:basedOn w:val="List2"/>
    <w:rsid w:val="008B21EF"/>
    <w:pPr>
      <w:ind w:firstLine="0"/>
    </w:pPr>
  </w:style>
  <w:style w:type="paragraph" w:styleId="ListContinue3">
    <w:name w:val="List Continue 3"/>
    <w:basedOn w:val="List3"/>
    <w:rsid w:val="008B21EF"/>
    <w:pPr>
      <w:ind w:left="1021" w:firstLine="0"/>
    </w:pPr>
  </w:style>
  <w:style w:type="paragraph" w:styleId="ListContinue4">
    <w:name w:val="List Continue 4"/>
    <w:basedOn w:val="List4"/>
    <w:rsid w:val="008B21EF"/>
    <w:pPr>
      <w:ind w:firstLine="0"/>
    </w:pPr>
  </w:style>
  <w:style w:type="paragraph" w:styleId="ListContinue5">
    <w:name w:val="List Continue 5"/>
    <w:basedOn w:val="List5"/>
    <w:rsid w:val="008B21EF"/>
    <w:pPr>
      <w:ind w:firstLine="0"/>
    </w:pPr>
  </w:style>
  <w:style w:type="paragraph" w:styleId="ListNumber3">
    <w:name w:val="List Number 3"/>
    <w:basedOn w:val="List3"/>
    <w:rsid w:val="008B21EF"/>
    <w:pPr>
      <w:numPr>
        <w:numId w:val="5"/>
      </w:numPr>
    </w:pPr>
  </w:style>
  <w:style w:type="paragraph" w:styleId="ListNumber4">
    <w:name w:val="List Number 4"/>
    <w:basedOn w:val="List4"/>
    <w:rsid w:val="008B21EF"/>
    <w:pPr>
      <w:numPr>
        <w:numId w:val="6"/>
      </w:numPr>
    </w:pPr>
  </w:style>
  <w:style w:type="paragraph" w:styleId="ListNumber5">
    <w:name w:val="List Number 5"/>
    <w:basedOn w:val="List5"/>
    <w:rsid w:val="008B21EF"/>
    <w:pPr>
      <w:numPr>
        <w:numId w:val="7"/>
      </w:numPr>
    </w:pPr>
  </w:style>
  <w:style w:type="paragraph" w:styleId="BlockText">
    <w:name w:val="Block Text"/>
    <w:basedOn w:val="Normal"/>
    <w:rsid w:val="008B21EF"/>
    <w:pPr>
      <w:spacing w:after="120"/>
      <w:ind w:left="1440" w:right="1440"/>
    </w:pPr>
  </w:style>
  <w:style w:type="character" w:customStyle="1" w:styleId="Subscript">
    <w:name w:val="Subscript"/>
    <w:basedOn w:val="DefaultParagraphFont"/>
    <w:rsid w:val="008B21EF"/>
    <w:rPr>
      <w:sz w:val="16"/>
      <w:vertAlign w:val="subscript"/>
    </w:rPr>
  </w:style>
  <w:style w:type="character" w:customStyle="1" w:styleId="Superscript">
    <w:name w:val="Superscript"/>
    <w:basedOn w:val="DefaultParagraphFont"/>
    <w:rsid w:val="008B21EF"/>
    <w:rPr>
      <w:sz w:val="16"/>
      <w:vertAlign w:val="superscript"/>
    </w:rPr>
  </w:style>
  <w:style w:type="character" w:customStyle="1" w:styleId="Symbols">
    <w:name w:val="Symbols"/>
    <w:basedOn w:val="DefaultParagraphFont"/>
    <w:rsid w:val="008B21EF"/>
    <w:rPr>
      <w:rFonts w:ascii="Symbol" w:hAnsi="Symbol"/>
    </w:rPr>
  </w:style>
  <w:style w:type="character" w:customStyle="1" w:styleId="MenuOptions">
    <w:name w:val="Menu Options"/>
    <w:basedOn w:val="DefaultParagraphFont"/>
    <w:rsid w:val="008B21EF"/>
    <w:rPr>
      <w:rFonts w:ascii="Arial Narrow" w:hAnsi="Arial Narrow"/>
      <w:smallCaps/>
    </w:rPr>
  </w:style>
  <w:style w:type="character" w:customStyle="1" w:styleId="Buttons">
    <w:name w:val="Buttons"/>
    <w:basedOn w:val="DefaultParagraphFont"/>
    <w:rsid w:val="008B21EF"/>
    <w:rPr>
      <w:b/>
    </w:rPr>
  </w:style>
  <w:style w:type="character" w:customStyle="1" w:styleId="Underlined">
    <w:name w:val="Underlined"/>
    <w:basedOn w:val="DefaultParagraphFont"/>
    <w:rsid w:val="008B21EF"/>
    <w:rPr>
      <w:u w:val="single"/>
    </w:rPr>
  </w:style>
  <w:style w:type="paragraph" w:customStyle="1" w:styleId="TableBodyTextRight">
    <w:name w:val="Table Body Text Right"/>
    <w:basedOn w:val="TableBodyText"/>
    <w:rsid w:val="008B21EF"/>
    <w:pPr>
      <w:widowControl w:val="0"/>
      <w:autoSpaceDE w:val="0"/>
      <w:autoSpaceDN w:val="0"/>
      <w:adjustRightInd w:val="0"/>
      <w:jc w:val="right"/>
    </w:pPr>
    <w:rPr>
      <w:rFonts w:cs="Arial"/>
      <w:szCs w:val="18"/>
    </w:rPr>
  </w:style>
  <w:style w:type="paragraph" w:customStyle="1" w:styleId="CopyrightText">
    <w:name w:val="Copyright Text"/>
    <w:basedOn w:val="BodyText"/>
    <w:rsid w:val="008B21EF"/>
    <w:rPr>
      <w:sz w:val="18"/>
    </w:rPr>
  </w:style>
  <w:style w:type="paragraph" w:customStyle="1" w:styleId="BodySmallRight">
    <w:name w:val="Body Small Right"/>
    <w:basedOn w:val="BodyTextRight"/>
    <w:rsid w:val="008B21EF"/>
    <w:rPr>
      <w:sz w:val="18"/>
      <w:szCs w:val="18"/>
    </w:rPr>
  </w:style>
  <w:style w:type="paragraph" w:customStyle="1" w:styleId="MarginEdition">
    <w:name w:val="Margin Edition"/>
    <w:basedOn w:val="MarginNote"/>
    <w:rsid w:val="008B21EF"/>
    <w:pPr>
      <w:spacing w:before="0" w:after="0"/>
    </w:pPr>
    <w:rPr>
      <w:rFonts w:ascii="Times New Roman" w:hAnsi="Times New Roman"/>
      <w:color w:val="999999"/>
    </w:rPr>
  </w:style>
  <w:style w:type="paragraph" w:customStyle="1" w:styleId="Spacer">
    <w:name w:val="Spacer"/>
    <w:basedOn w:val="Normal"/>
    <w:rsid w:val="008B21EF"/>
    <w:rPr>
      <w:sz w:val="2"/>
      <w:szCs w:val="2"/>
    </w:rPr>
  </w:style>
  <w:style w:type="character" w:customStyle="1" w:styleId="Small">
    <w:name w:val="Small"/>
    <w:basedOn w:val="DefaultParagraphFont"/>
    <w:rsid w:val="008B21EF"/>
    <w:rPr>
      <w:sz w:val="16"/>
    </w:rPr>
  </w:style>
  <w:style w:type="paragraph" w:customStyle="1" w:styleId="WideTable">
    <w:name w:val="Wide Table"/>
    <w:basedOn w:val="Normal"/>
    <w:rsid w:val="008B21EF"/>
    <w:pPr>
      <w:ind w:left="-1418"/>
    </w:pPr>
    <w:rPr>
      <w:sz w:val="2"/>
      <w:szCs w:val="2"/>
    </w:rPr>
  </w:style>
  <w:style w:type="character" w:styleId="PageNumber">
    <w:name w:val="page number"/>
    <w:basedOn w:val="DefaultParagraphFont"/>
    <w:rsid w:val="008B21EF"/>
  </w:style>
  <w:style w:type="paragraph" w:styleId="Quote">
    <w:name w:val="Quote"/>
    <w:basedOn w:val="Heading1"/>
    <w:link w:val="QuoteChar"/>
    <w:qFormat/>
    <w:rsid w:val="008B21EF"/>
    <w:rPr>
      <w:b w:val="0"/>
      <w:sz w:val="72"/>
      <w:szCs w:val="72"/>
      <w:lang w:val="en-NZ"/>
    </w:rPr>
  </w:style>
  <w:style w:type="character" w:customStyle="1" w:styleId="QuoteChar">
    <w:name w:val="Quote Char"/>
    <w:basedOn w:val="DefaultParagraphFont"/>
    <w:link w:val="Quote"/>
    <w:rsid w:val="008B2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1EF"/>
    <w:pPr>
      <w:pageBreakBefore/>
    </w:pPr>
  </w:style>
  <w:style w:type="paragraph" w:customStyle="1" w:styleId="Border">
    <w:name w:val="Border"/>
    <w:basedOn w:val="Normal"/>
    <w:qFormat/>
    <w:rsid w:val="008B2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1EF"/>
    <w:rPr>
      <w:b/>
      <w:bCs/>
      <w:i/>
      <w:iCs/>
      <w:color w:val="auto"/>
    </w:rPr>
  </w:style>
  <w:style w:type="paragraph" w:styleId="IntenseQuote">
    <w:name w:val="Intense Quote"/>
    <w:basedOn w:val="Normal"/>
    <w:next w:val="Normal"/>
    <w:link w:val="IntenseQuoteChar"/>
    <w:uiPriority w:val="30"/>
    <w:qFormat/>
    <w:rsid w:val="008B2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1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1EF"/>
    <w:rPr>
      <w:smallCaps/>
      <w:color w:val="auto"/>
      <w:u w:val="single"/>
    </w:rPr>
  </w:style>
  <w:style w:type="character" w:styleId="IntenseReference">
    <w:name w:val="Intense Reference"/>
    <w:basedOn w:val="DefaultParagraphFont"/>
    <w:uiPriority w:val="32"/>
    <w:qFormat/>
    <w:rsid w:val="008B21EF"/>
    <w:rPr>
      <w:b/>
      <w:bCs/>
      <w:smallCaps/>
      <w:color w:val="auto"/>
      <w:spacing w:val="5"/>
      <w:u w:val="single"/>
    </w:rPr>
  </w:style>
  <w:style w:type="paragraph" w:customStyle="1" w:styleId="2ColumnHeading">
    <w:name w:val="2Column Heading"/>
    <w:basedOn w:val="BodyText"/>
    <w:qFormat/>
    <w:rsid w:val="008B21EF"/>
    <w:pPr>
      <w:spacing w:after="60"/>
      <w:ind w:left="-2268"/>
    </w:pPr>
    <w:rPr>
      <w:b/>
    </w:rPr>
  </w:style>
  <w:style w:type="paragraph" w:customStyle="1" w:styleId="Heading1TOC">
    <w:name w:val="Heading1 TOC"/>
    <w:basedOn w:val="Normal"/>
    <w:qFormat/>
    <w:rsid w:val="008B21EF"/>
    <w:pPr>
      <w:spacing w:before="240" w:after="120"/>
    </w:pPr>
    <w:rPr>
      <w:rFonts w:ascii="Times New Roman" w:hAnsi="Times New Roman"/>
      <w:b/>
      <w:sz w:val="32"/>
    </w:rPr>
  </w:style>
  <w:style w:type="paragraph" w:customStyle="1" w:styleId="Heading2TOC">
    <w:name w:val="Heading2 TOC"/>
    <w:basedOn w:val="Normal"/>
    <w:qFormat/>
    <w:rsid w:val="008B21EF"/>
    <w:pPr>
      <w:spacing w:before="240" w:after="60"/>
    </w:pPr>
    <w:rPr>
      <w:rFonts w:ascii="Times New Roman" w:hAnsi="Times New Roman"/>
      <w:b/>
      <w:sz w:val="28"/>
    </w:rPr>
  </w:style>
  <w:style w:type="character" w:customStyle="1" w:styleId="Underline">
    <w:name w:val="Underline"/>
    <w:basedOn w:val="DefaultParagraphFont"/>
    <w:qFormat/>
    <w:rsid w:val="008B21EF"/>
    <w:rPr>
      <w:u w:val="single"/>
    </w:rPr>
  </w:style>
  <w:style w:type="paragraph" w:styleId="BalloonText">
    <w:name w:val="Balloon Text"/>
    <w:basedOn w:val="Normal"/>
    <w:link w:val="BalloonTextChar"/>
    <w:rsid w:val="008B21EF"/>
    <w:rPr>
      <w:rFonts w:ascii="Tahoma" w:hAnsi="Tahoma" w:cs="Tahoma"/>
      <w:sz w:val="16"/>
      <w:szCs w:val="16"/>
    </w:rPr>
  </w:style>
  <w:style w:type="character" w:customStyle="1" w:styleId="BalloonTextChar">
    <w:name w:val="Balloon Text Char"/>
    <w:basedOn w:val="DefaultParagraphFont"/>
    <w:link w:val="BalloonText"/>
    <w:rsid w:val="008B21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1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8425</Characters>
  <Application>Microsoft Office Word</Application>
  <DocSecurity>0</DocSecurity>
  <Lines>325</Lines>
  <Paragraphs>201</Paragraphs>
  <ScaleCrop>false</ScaleCrop>
  <Company>Author-it Software Corporation Ltd.</Company>
  <LinksUpToDate>false</LinksUpToDate>
  <CharactersWithSpaces>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FNSACC610A Develop and implement financial strategies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