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864" w:rsidP="00517864">
      <w:pPr>
        <w:pStyle w:val="Title"/>
      </w:pPr>
      <w:r>
        <w:fldChar w:fldCharType="begin"/>
      </w:r>
      <w:r>
        <w:instrText xml:space="preserve"> TITLE   \* MERGEFORMAT </w:instrText>
      </w:r>
      <w:r>
        <w:fldChar w:fldCharType="separate"/>
      </w:r>
      <w:r>
        <w:t>FNSACC609A Evaluate financial risk</w:t>
      </w:r>
      <w:r>
        <w:fldChar w:fldCharType="end"/>
      </w:r>
    </w:p>
    <w:p w:rsidR="00517864" w:rsidP="00517864">
      <w:pPr>
        <w:pStyle w:val="Version"/>
        <w:sectPr w:rsidSect="00066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63E3" w:rsidP="000663E3">
      <w:pPr>
        <w:pStyle w:val="SuperHeading"/>
      </w:pPr>
      <w:r w:rsidRPr="000663E3">
        <w:t>FNSACC609A Evaluate financial risk</w:t>
      </w:r>
    </w:p>
    <w:p w:rsidR="00000000" w:rsidRPr="000663E3" w:rsidP="000663E3">
      <w:pPr>
        <w:pStyle w:val="SuperHeading"/>
      </w:pPr>
    </w:p>
    <w:p w:rsidR="00000000" w:rsidRPr="000663E3" w:rsidP="000663E3">
      <w:pPr>
        <w:pStyle w:val="Heading1"/>
      </w:pPr>
      <w:bookmarkStart w:id="1" w:name="O_77259"/>
      <w:bookmarkEnd w:id="1"/>
      <w:r w:rsidRPr="000663E3">
        <w:t>Modification History</w:t>
      </w:r>
    </w:p>
    <w:p w:rsidR="00000000" w:rsidRPr="000663E3" w:rsidP="000663E3">
      <w:pPr>
        <w:pStyle w:val="BodyText"/>
      </w:pPr>
      <w:r w:rsidRPr="000663E3">
        <w:t>Not applicable.</w:t>
      </w:r>
    </w:p>
    <w:p w:rsidR="00000000" w:rsidRPr="000663E3" w:rsidP="000663E3">
      <w:pPr>
        <w:pStyle w:val="AllowPageBreak"/>
      </w:pPr>
    </w:p>
    <w:p w:rsidR="00000000" w:rsidRPr="000663E3" w:rsidP="000663E3">
      <w:pPr>
        <w:pStyle w:val="Heading1"/>
      </w:pPr>
      <w:bookmarkStart w:id="2" w:name="O_77260"/>
      <w:bookmarkEnd w:id="2"/>
      <w:r w:rsidRPr="000663E3">
        <w:t>Unit Descriptor</w:t>
      </w:r>
    </w:p>
    <w:tbl>
      <w:tblPr>
        <w:tblW w:w="0" w:type="auto"/>
        <w:tblLayout w:type="fixed"/>
        <w:tblCellMar>
          <w:left w:w="62" w:type="dxa"/>
          <w:right w:w="62" w:type="dxa"/>
        </w:tblCellMar>
        <w:tblLook w:val="0000"/>
      </w:tblPr>
      <w:tblGrid>
        <w:gridCol w:w="2639"/>
        <w:gridCol w:w="5883"/>
      </w:tblGrid>
      <w:tr w:rsidTr="0051786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This unit describes the performance outcomes, skills and knowledge required to assess financial risk and exposure, ana</w:t>
            </w:r>
            <w:r w:rsidRPr="000663E3">
              <w:t>lyse financial histories and establish processes to minimise risks associated with an organisation's cash flow or assets and securities.</w:t>
            </w:r>
          </w:p>
          <w:p w:rsidR="00000000" w:rsidRPr="000663E3" w:rsidP="000663E3">
            <w:pPr>
              <w:pStyle w:val="BodyText"/>
            </w:pPr>
          </w:p>
          <w:p w:rsidR="00000000" w:rsidRPr="000663E3" w:rsidP="000663E3">
            <w:pPr>
              <w:pStyle w:val="BodyText"/>
            </w:pPr>
            <w:r w:rsidRPr="000663E3">
              <w:t>This unit may apply to job roles subject to licensing, legislative, regulatory or certification requirements so Common</w:t>
            </w:r>
            <w:r w:rsidRPr="000663E3">
              <w:t>wealth, State or Territory requirements should be confirmed with the relevant body.</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3" w:name="O_77261"/>
      <w:bookmarkEnd w:id="3"/>
      <w:r w:rsidRPr="000663E3">
        <w:t>Application of the Unit</w:t>
      </w:r>
    </w:p>
    <w:tbl>
      <w:tblPr>
        <w:tblW w:w="0" w:type="auto"/>
        <w:tblLayout w:type="fixed"/>
        <w:tblCellMar>
          <w:left w:w="62" w:type="dxa"/>
          <w:right w:w="62" w:type="dxa"/>
        </w:tblCellMar>
        <w:tblLook w:val="0000"/>
      </w:tblPr>
      <w:tblGrid>
        <w:gridCol w:w="2720"/>
        <w:gridCol w:w="5802"/>
      </w:tblGrid>
      <w:tr w:rsidTr="0051786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The unit has application across all sectors of financial services industry and to job functions such as accountants that have responsibility for determining the organisation's exposure to financial risk.</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4" w:name="O_77262"/>
      <w:bookmarkEnd w:id="4"/>
      <w:r w:rsidRPr="000663E3">
        <w:t>Licensing/Regulatory Information</w:t>
      </w:r>
    </w:p>
    <w:p w:rsidR="00000000" w:rsidRPr="000663E3" w:rsidP="000663E3">
      <w:pPr>
        <w:pStyle w:val="BodyText"/>
      </w:pPr>
      <w:r w:rsidRPr="000663E3">
        <w:t>No</w:t>
      </w:r>
      <w:r w:rsidRPr="000663E3">
        <w:t>t applicable.</w:t>
      </w:r>
    </w:p>
    <w:p w:rsidR="00000000" w:rsidRPr="000663E3" w:rsidP="000663E3">
      <w:pPr>
        <w:pStyle w:val="AllowPageBreak"/>
      </w:pPr>
    </w:p>
    <w:p w:rsidR="00000000" w:rsidRPr="000663E3" w:rsidP="000663E3">
      <w:pPr>
        <w:pStyle w:val="Heading1"/>
      </w:pPr>
      <w:bookmarkStart w:id="5" w:name="O_77264"/>
      <w:bookmarkEnd w:id="5"/>
      <w:r w:rsidRPr="000663E3">
        <w:t>Pre-Requisites</w:t>
      </w:r>
    </w:p>
    <w:tbl>
      <w:tblPr>
        <w:tblW w:w="0" w:type="auto"/>
        <w:tblLayout w:type="fixed"/>
        <w:tblCellMar>
          <w:left w:w="62" w:type="dxa"/>
          <w:right w:w="62" w:type="dxa"/>
        </w:tblCellMar>
        <w:tblLook w:val="0000"/>
      </w:tblPr>
      <w:tblGrid>
        <w:gridCol w:w="2615"/>
        <w:gridCol w:w="2342"/>
        <w:gridCol w:w="3565"/>
      </w:tblGrid>
      <w:tr w:rsidTr="0051786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Prerequisite units</w:t>
            </w:r>
          </w:p>
        </w:tc>
        <w:tc>
          <w:tcPr>
            <w:tcW w:w="59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p>
        </w:tc>
      </w:tr>
      <w:tr w:rsidTr="00517864">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FNSACC503A</w:t>
            </w: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Manage budgets and forecasts</w:t>
            </w:r>
          </w:p>
        </w:tc>
      </w:tr>
      <w:tr w:rsidTr="00517864">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6" w:name="O_77263"/>
      <w:bookmarkEnd w:id="6"/>
      <w:r w:rsidRPr="000663E3">
        <w:t>Employability Skills Information</w:t>
      </w:r>
    </w:p>
    <w:tbl>
      <w:tblPr>
        <w:tblW w:w="0" w:type="auto"/>
        <w:tblLayout w:type="fixed"/>
        <w:tblCellMar>
          <w:left w:w="62" w:type="dxa"/>
          <w:right w:w="62" w:type="dxa"/>
        </w:tblCellMar>
        <w:tblLook w:val="0000"/>
      </w:tblPr>
      <w:tblGrid>
        <w:gridCol w:w="2762"/>
        <w:gridCol w:w="5760"/>
      </w:tblGrid>
      <w:tr w:rsidTr="0051786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This unit contains employability skills.</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7" w:name="O_77265"/>
      <w:bookmarkEnd w:id="7"/>
      <w:r w:rsidRPr="000663E3">
        <w:t>Elements and Performance Criteria Pre-Content</w:t>
      </w:r>
    </w:p>
    <w:tbl>
      <w:tblPr>
        <w:tblW w:w="0" w:type="auto"/>
        <w:tblLayout w:type="fixed"/>
        <w:tblCellMar>
          <w:left w:w="62" w:type="dxa"/>
          <w:right w:w="62" w:type="dxa"/>
        </w:tblCellMar>
        <w:tblLook w:val="0000"/>
      </w:tblPr>
      <w:tblGrid>
        <w:gridCol w:w="2560"/>
        <w:gridCol w:w="5962"/>
      </w:tblGrid>
      <w:tr w:rsidTr="0051786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Performance criteria describe the performance needed to demonstrate achievement of the element. Where bold italicised text is used, further info</w:t>
            </w:r>
            <w:r w:rsidRPr="000663E3">
              <w:t>rmation is detailed in the required skills and knowledge section and the range statement. Assessment of performance is to be consistent with the evidence guide.</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8" w:name="O_77266"/>
      <w:bookmarkEnd w:id="8"/>
      <w:r w:rsidRPr="000663E3">
        <w:t>Elements and Performance Criteria</w:t>
      </w:r>
    </w:p>
    <w:tbl>
      <w:tblPr>
        <w:tblW w:w="0" w:type="auto"/>
        <w:tblLayout w:type="fixed"/>
        <w:tblCellMar>
          <w:left w:w="62" w:type="dxa"/>
          <w:right w:w="62" w:type="dxa"/>
        </w:tblCellMar>
        <w:tblLook w:val="0000"/>
      </w:tblPr>
      <w:tblGrid>
        <w:gridCol w:w="2560"/>
        <w:gridCol w:w="5962"/>
      </w:tblGrid>
      <w:tr w:rsidTr="0051786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PERFORMANCE CRITERIA</w:t>
            </w:r>
          </w:p>
        </w:tc>
      </w:tr>
      <w:tr w:rsidTr="0051786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List"/>
              <w:rPr>
                <w:lang w:val="en-NZ"/>
              </w:rPr>
            </w:pPr>
            <w:r w:rsidRPr="000663E3">
              <w:t>1.</w:t>
            </w:r>
            <w:r w:rsidRPr="000663E3">
              <w:tab/>
            </w:r>
            <w:r w:rsidRPr="000663E3">
              <w:t>Assess financial risk exposure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2"/>
            </w:pPr>
            <w:r w:rsidRPr="000663E3">
              <w:t>1.1.</w:t>
            </w:r>
            <w:r w:rsidRPr="000663E3">
              <w:tab/>
              <w:t xml:space="preserve">Magnitude and volatility of organisational risks are measured to determine the extent of </w:t>
            </w:r>
            <w:r w:rsidRPr="000663E3">
              <w:rPr>
                <w:rStyle w:val="BoldandItalics"/>
              </w:rPr>
              <w:t>risk exposure</w:t>
            </w:r>
            <w:r w:rsidRPr="000663E3">
              <w:t xml:space="preserve"> and the implications for financial strategies</w:t>
            </w:r>
          </w:p>
          <w:p w:rsidR="00000000" w:rsidRPr="000663E3" w:rsidP="000663E3">
            <w:pPr>
              <w:pStyle w:val="List2"/>
            </w:pPr>
            <w:r w:rsidRPr="000663E3">
              <w:t>1.2.</w:t>
            </w:r>
            <w:r w:rsidRPr="000663E3">
              <w:tab/>
              <w:t xml:space="preserve">Key </w:t>
            </w:r>
            <w:r w:rsidRPr="000663E3">
              <w:rPr>
                <w:rStyle w:val="BoldandItalics"/>
              </w:rPr>
              <w:t>factors supporting or driving risk</w:t>
            </w:r>
            <w:r w:rsidRPr="000663E3">
              <w:t xml:space="preserve"> exposure are identified and</w:t>
            </w:r>
            <w:r w:rsidRPr="000663E3">
              <w:t xml:space="preserve"> timeframes established to monitor and improve performance</w:t>
            </w:r>
          </w:p>
          <w:p w:rsidR="00000000" w:rsidP="000663E3">
            <w:pPr>
              <w:pStyle w:val="List2"/>
              <w:rPr>
                <w:lang w:val="en-NZ"/>
              </w:rPr>
            </w:pPr>
            <w:r w:rsidRPr="000663E3">
              <w:t>1.3.</w:t>
            </w:r>
            <w:r w:rsidRPr="000663E3">
              <w:tab/>
              <w:t xml:space="preserve">Short-term and long-term financial outcomes and projections are compared with actual cash flows using </w:t>
            </w:r>
            <w:r w:rsidRPr="000663E3">
              <w:rPr>
                <w:rStyle w:val="BoldandItalics"/>
              </w:rPr>
              <w:t>standard financial analysis techniques</w:t>
            </w:r>
            <w:r w:rsidRPr="000663E3">
              <w:t xml:space="preserve"> to determine effects on liquidity and budget adjust</w:t>
            </w:r>
            <w:r w:rsidRPr="000663E3">
              <w:t>ments</w:t>
            </w:r>
          </w:p>
        </w:tc>
      </w:tr>
      <w:tr w:rsidTr="0051786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List"/>
              <w:rPr>
                <w:lang w:val="en-NZ"/>
              </w:rPr>
            </w:pPr>
            <w:r w:rsidRPr="000663E3">
              <w:t>2.</w:t>
            </w:r>
            <w:r w:rsidRPr="000663E3">
              <w:tab/>
              <w:t>Develop risk management processes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2"/>
            </w:pPr>
            <w:r w:rsidRPr="000663E3">
              <w:t>2.1.</w:t>
            </w:r>
            <w:r w:rsidRPr="000663E3">
              <w:tab/>
            </w:r>
            <w:r w:rsidRPr="000663E3">
              <w:rPr>
                <w:rStyle w:val="BoldandItalics"/>
              </w:rPr>
              <w:t>Risk management options</w:t>
            </w:r>
            <w:r w:rsidRPr="000663E3">
              <w:t xml:space="preserve"> include assessments of alternatives, criteria for success, and estimates of long-term and short-term effects</w:t>
            </w:r>
          </w:p>
          <w:p w:rsidR="00000000" w:rsidRPr="000663E3" w:rsidP="000663E3">
            <w:pPr>
              <w:pStyle w:val="List2"/>
            </w:pPr>
            <w:r w:rsidRPr="000663E3">
              <w:t>2.2.</w:t>
            </w:r>
            <w:r w:rsidRPr="000663E3">
              <w:tab/>
              <w:t>Strategies are developed using standard financial analysis techniques</w:t>
            </w:r>
            <w:r w:rsidRPr="000663E3">
              <w:t xml:space="preserve"> to identify financial flows, trends in returns and adjustments in asset values</w:t>
            </w:r>
          </w:p>
          <w:p w:rsidR="00000000" w:rsidRPr="000663E3" w:rsidP="000663E3">
            <w:pPr>
              <w:pStyle w:val="List2"/>
            </w:pPr>
            <w:r w:rsidRPr="000663E3">
              <w:t>2.3.</w:t>
            </w:r>
            <w:r w:rsidRPr="000663E3">
              <w:tab/>
            </w:r>
            <w:r w:rsidRPr="000663E3">
              <w:rPr>
                <w:rStyle w:val="BoldandItalics"/>
              </w:rPr>
              <w:t>Financial recording systems</w:t>
            </w:r>
            <w:r w:rsidRPr="000663E3">
              <w:t xml:space="preserve"> are established to monitor and evaluate changes in market conditions and business needs using a range of </w:t>
            </w:r>
            <w:r w:rsidRPr="000663E3">
              <w:rPr>
                <w:rStyle w:val="BoldandItalics"/>
              </w:rPr>
              <w:t>data sources</w:t>
            </w:r>
          </w:p>
          <w:p w:rsidR="00000000" w:rsidP="000663E3">
            <w:pPr>
              <w:pStyle w:val="List2"/>
              <w:rPr>
                <w:lang w:val="en-NZ"/>
              </w:rPr>
            </w:pPr>
            <w:r w:rsidRPr="000663E3">
              <w:t>2.4.</w:t>
            </w:r>
            <w:r w:rsidRPr="000663E3">
              <w:tab/>
              <w:t>Risk management stra</w:t>
            </w:r>
            <w:r w:rsidRPr="000663E3">
              <w:t xml:space="preserve">tegies are developed that optimise the mix of </w:t>
            </w:r>
            <w:r w:rsidRPr="000663E3">
              <w:rPr>
                <w:rStyle w:val="BoldandItalics"/>
              </w:rPr>
              <w:t>asset structures and liabilities</w:t>
            </w:r>
            <w:r w:rsidRPr="000663E3">
              <w:t xml:space="preserve"> in operations and ensures flexibility to meet changing environments</w:t>
            </w:r>
          </w:p>
        </w:tc>
      </w:tr>
      <w:tr w:rsidTr="0051786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List"/>
              <w:rPr>
                <w:lang w:val="en-NZ"/>
              </w:rPr>
            </w:pPr>
            <w:r w:rsidRPr="000663E3">
              <w:t>3.</w:t>
            </w:r>
            <w:r w:rsidRPr="000663E3">
              <w:tab/>
              <w:t>Analyse financial histories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2"/>
            </w:pPr>
            <w:r w:rsidRPr="000663E3">
              <w:t>3.1.</w:t>
            </w:r>
            <w:r w:rsidRPr="000663E3">
              <w:tab/>
              <w:t>Financial performance is evaluated using trends and patterns that identi</w:t>
            </w:r>
            <w:r w:rsidRPr="000663E3">
              <w:t>fy the magnitude and volatility of financial exposures</w:t>
            </w:r>
          </w:p>
          <w:p w:rsidR="00000000" w:rsidRPr="000663E3" w:rsidP="000663E3">
            <w:pPr>
              <w:pStyle w:val="List2"/>
            </w:pPr>
            <w:r w:rsidRPr="000663E3">
              <w:t>3.2.</w:t>
            </w:r>
            <w:r w:rsidRPr="000663E3">
              <w:tab/>
              <w:t xml:space="preserve">Long and short-term financial outcomes are compared with forecast outcomes to assess </w:t>
            </w:r>
            <w:r w:rsidRPr="000663E3">
              <w:rPr>
                <w:rStyle w:val="BoldandItalics"/>
              </w:rPr>
              <w:t>variances and parameters</w:t>
            </w:r>
            <w:r w:rsidRPr="000663E3">
              <w:t xml:space="preserve"> in performance and the reliability of financial advice</w:t>
            </w:r>
          </w:p>
          <w:p w:rsidR="00000000" w:rsidP="000663E3">
            <w:pPr>
              <w:pStyle w:val="List2"/>
              <w:rPr>
                <w:lang w:val="en-NZ"/>
              </w:rPr>
            </w:pPr>
            <w:r w:rsidRPr="000663E3">
              <w:t>3.3.</w:t>
            </w:r>
            <w:r w:rsidRPr="000663E3">
              <w:tab/>
            </w:r>
            <w:r w:rsidRPr="000663E3">
              <w:t>Incidents and factors increasing or diminishing financial performance are identified and analysed using standard financial analysis techniques</w:t>
            </w:r>
          </w:p>
        </w:tc>
      </w:tr>
      <w:tr w:rsidTr="0051786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List"/>
              <w:rPr>
                <w:lang w:val="en-NZ"/>
              </w:rPr>
            </w:pPr>
            <w:r w:rsidRPr="000663E3">
              <w:t>4.</w:t>
            </w:r>
            <w:r w:rsidRPr="000663E3">
              <w:tab/>
              <w:t>Establish processes to minimise risks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2"/>
            </w:pPr>
            <w:r w:rsidRPr="000663E3">
              <w:t>4.1.</w:t>
            </w:r>
            <w:r w:rsidRPr="000663E3">
              <w:tab/>
              <w:t xml:space="preserve">Recording systems to monitor financial outcomes are developed and </w:t>
            </w:r>
            <w:r w:rsidRPr="000663E3">
              <w:t>reviewed to guide and document decision making</w:t>
            </w:r>
          </w:p>
          <w:p w:rsidR="00000000" w:rsidRPr="000663E3" w:rsidP="000663E3">
            <w:pPr>
              <w:pStyle w:val="List2"/>
            </w:pPr>
            <w:r w:rsidRPr="000663E3">
              <w:t>4.2.</w:t>
            </w:r>
            <w:r w:rsidRPr="000663E3">
              <w:tab/>
            </w:r>
            <w:r w:rsidRPr="000663E3">
              <w:rPr>
                <w:rStyle w:val="BoldandItalics"/>
              </w:rPr>
              <w:t>Inventories</w:t>
            </w:r>
            <w:r w:rsidRPr="000663E3">
              <w:t xml:space="preserve"> are maintained and established to ensure up-to-date records on the value of assets and liabilities</w:t>
            </w:r>
          </w:p>
          <w:p w:rsidR="00000000" w:rsidRPr="000663E3" w:rsidP="000663E3">
            <w:pPr>
              <w:pStyle w:val="List2"/>
            </w:pPr>
            <w:r w:rsidRPr="000663E3">
              <w:t>4.3.</w:t>
            </w:r>
            <w:r w:rsidRPr="000663E3">
              <w:tab/>
              <w:t xml:space="preserve">The contribution of </w:t>
            </w:r>
            <w:r w:rsidRPr="000663E3">
              <w:rPr>
                <w:rStyle w:val="BoldandItalics"/>
              </w:rPr>
              <w:t>organisational attitudes</w:t>
            </w:r>
            <w:r w:rsidRPr="000663E3">
              <w:t xml:space="preserve"> to risk </w:t>
            </w:r>
            <w:r w:rsidRPr="000663E3">
              <w:t>taking is assessed and incorporated</w:t>
            </w:r>
            <w:r w:rsidRPr="000663E3">
              <w:t xml:space="preserve"> in the risk analysis process</w:t>
            </w:r>
          </w:p>
          <w:p w:rsidR="00000000" w:rsidRPr="000663E3" w:rsidP="000663E3">
            <w:pPr>
              <w:pStyle w:val="List2"/>
            </w:pPr>
            <w:r w:rsidRPr="000663E3">
              <w:t>4.4.</w:t>
            </w:r>
            <w:r w:rsidRPr="000663E3">
              <w:tab/>
              <w:t>Parameters for variances in financial outcomes are developed, reviewed and communicated to support financial decision making</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9" w:name="O_77267"/>
      <w:bookmarkEnd w:id="9"/>
      <w:r w:rsidRPr="000663E3">
        <w:t>Required Skills and Knowledge</w:t>
      </w:r>
    </w:p>
    <w:tbl>
      <w:tblPr>
        <w:tblW w:w="0" w:type="auto"/>
        <w:tblLayout w:type="fixed"/>
        <w:tblCellMar>
          <w:left w:w="62" w:type="dxa"/>
          <w:right w:w="62" w:type="dxa"/>
        </w:tblCellMar>
        <w:tblLook w:val="0000"/>
      </w:tblPr>
      <w:tblGrid>
        <w:gridCol w:w="8522"/>
      </w:tblGrid>
      <w:tr w:rsidTr="005178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REQUIRED SKILLS AND KNOWLEDGE</w:t>
            </w:r>
          </w:p>
        </w:tc>
      </w:tr>
      <w:tr w:rsidTr="005178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This section describes the skills and knowledge required for this unit.</w:t>
            </w:r>
          </w:p>
        </w:tc>
      </w:tr>
      <w:tr w:rsidTr="00517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Required skills</w:t>
            </w:r>
          </w:p>
        </w:tc>
      </w:tr>
      <w:tr w:rsidTr="00517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well-developed communication skills to:</w:t>
            </w:r>
          </w:p>
          <w:p w:rsidR="00000000" w:rsidRPr="000663E3" w:rsidP="000663E3">
            <w:pPr>
              <w:pStyle w:val="ListBullet2"/>
            </w:pPr>
            <w:r w:rsidRPr="000663E3">
              <w:t>evaluate an organisation's financial performance risks, using questioning of personnel and management for confirmation</w:t>
            </w:r>
          </w:p>
          <w:p w:rsidR="00000000" w:rsidRPr="000663E3" w:rsidP="000663E3">
            <w:pPr>
              <w:pStyle w:val="ListBullet2"/>
            </w:pPr>
            <w:r w:rsidRPr="000663E3">
              <w:t>liaise with others, share information, listen and understand</w:t>
            </w:r>
          </w:p>
          <w:p w:rsidR="00000000" w:rsidRPr="000663E3" w:rsidP="000663E3">
            <w:pPr>
              <w:pStyle w:val="ListBullet2"/>
            </w:pPr>
            <w:r w:rsidRPr="000663E3">
              <w:t>use language and concepts appropriate to cultural differences</w:t>
            </w:r>
          </w:p>
          <w:p w:rsidR="00000000" w:rsidRPr="000663E3" w:rsidP="000663E3">
            <w:pPr>
              <w:pStyle w:val="ListBullet"/>
            </w:pPr>
            <w:r w:rsidRPr="000663E3">
              <w:t>highly developed research skills for accessing and managing financial services information</w:t>
            </w:r>
          </w:p>
          <w:p w:rsidR="00000000" w:rsidRPr="000663E3" w:rsidP="000663E3">
            <w:pPr>
              <w:pStyle w:val="ListBullet"/>
            </w:pPr>
            <w:r w:rsidRPr="000663E3">
              <w:t>well-developed literacy skills for analys</w:t>
            </w:r>
            <w:r w:rsidRPr="000663E3">
              <w:t>ingfinancial information and risk factors and preparing forecasts, risk management options and clear written advice</w:t>
            </w:r>
          </w:p>
          <w:p w:rsidR="00000000" w:rsidRPr="000663E3" w:rsidP="000663E3">
            <w:pPr>
              <w:pStyle w:val="ListBullet"/>
            </w:pPr>
            <w:r w:rsidRPr="000663E3">
              <w:t>numeracy skills for financial calculations and analysis, estimating and forecasting</w:t>
            </w:r>
          </w:p>
          <w:p w:rsidR="00000000" w:rsidRPr="000663E3" w:rsidP="000663E3">
            <w:pPr>
              <w:pStyle w:val="ListBullet"/>
            </w:pPr>
            <w:r w:rsidRPr="000663E3">
              <w:t xml:space="preserve">IT skills for developing and using integrated financial </w:t>
            </w:r>
            <w:r w:rsidRPr="000663E3">
              <w:t>systems, spreadsheets and databases and internet information</w:t>
            </w:r>
          </w:p>
          <w:p w:rsidR="00000000" w:rsidRPr="000663E3" w:rsidP="000663E3">
            <w:pPr>
              <w:pStyle w:val="ListBullet"/>
            </w:pPr>
            <w:r w:rsidRPr="000663E3">
              <w:t>learning skills to maintain knowledge of risk management principles, processes and procedures</w:t>
            </w:r>
          </w:p>
          <w:p w:rsidR="00000000" w:rsidRPr="000663E3" w:rsidP="000663E3">
            <w:pPr>
              <w:pStyle w:val="ListBullet"/>
            </w:pPr>
            <w:r w:rsidRPr="000663E3">
              <w:t>high level problem solving skills to identify risk factors that have the potential to impact on organ</w:t>
            </w:r>
            <w:r w:rsidRPr="000663E3">
              <w:t>isations and to develop options to resolve these issues when they arise</w:t>
            </w:r>
          </w:p>
          <w:p w:rsidR="00000000" w:rsidP="000663E3">
            <w:pPr>
              <w:pStyle w:val="ListBullet"/>
              <w:rPr>
                <w:lang w:val="en-NZ"/>
              </w:rPr>
            </w:pPr>
            <w:r w:rsidRPr="000663E3">
              <w:t>organisational skills, including the ability to plan and sequence work and correctly schedule risk and financial performance monitoring and reporting</w:t>
            </w:r>
          </w:p>
        </w:tc>
      </w:tr>
      <w:tr w:rsidTr="00517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Required knowledge</w:t>
            </w:r>
          </w:p>
        </w:tc>
      </w:tr>
      <w:tr w:rsidTr="00517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ethical considerations for compliance</w:t>
            </w:r>
          </w:p>
          <w:p w:rsidR="00000000" w:rsidRPr="000663E3" w:rsidP="000663E3">
            <w:pPr>
              <w:pStyle w:val="ListBullet"/>
            </w:pPr>
            <w:r w:rsidRPr="000663E3">
              <w:t>financial legislation such as:</w:t>
            </w:r>
          </w:p>
          <w:p w:rsidR="00000000" w:rsidRPr="000663E3" w:rsidP="000663E3">
            <w:pPr>
              <w:pStyle w:val="ListBullet2"/>
            </w:pPr>
            <w:r w:rsidRPr="000663E3">
              <w:t>taxable transactions</w:t>
            </w:r>
          </w:p>
          <w:p w:rsidR="00000000" w:rsidRPr="000663E3" w:rsidP="000663E3">
            <w:pPr>
              <w:pStyle w:val="ListBullet2"/>
            </w:pPr>
            <w:r w:rsidRPr="000663E3">
              <w:t>reporting requirements</w:t>
            </w:r>
          </w:p>
          <w:p w:rsidR="00000000" w:rsidRPr="000663E3" w:rsidP="000663E3">
            <w:pPr>
              <w:pStyle w:val="ListBullet"/>
            </w:pPr>
            <w:r w:rsidRPr="000663E3">
              <w:t>methods of storing, recording and updating financial information</w:t>
            </w:r>
          </w:p>
          <w:p w:rsidR="00000000" w:rsidRPr="000663E3" w:rsidP="000663E3">
            <w:pPr>
              <w:pStyle w:val="ListBullet"/>
            </w:pPr>
            <w:r w:rsidRPr="000663E3">
              <w:t>principles of internal control including statutory reporting</w:t>
            </w:r>
          </w:p>
          <w:p w:rsidR="00000000" w:rsidRPr="000663E3" w:rsidP="000663E3">
            <w:pPr>
              <w:pStyle w:val="ListBullet"/>
            </w:pPr>
            <w:r w:rsidRPr="000663E3">
              <w:t>principles of risk management and budgetary control</w:t>
            </w:r>
          </w:p>
          <w:p w:rsidR="00000000" w:rsidRPr="000663E3" w:rsidP="000663E3">
            <w:pPr>
              <w:pStyle w:val="ListBullet"/>
            </w:pPr>
            <w:r w:rsidRPr="000663E3">
              <w:t>understanding of organisational structures and lines of management authority</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10" w:name="O_77268"/>
      <w:bookmarkEnd w:id="10"/>
      <w:r w:rsidRPr="000663E3">
        <w:t>Evidence Guide</w:t>
      </w:r>
    </w:p>
    <w:tbl>
      <w:tblPr>
        <w:tblW w:w="9570" w:type="dxa"/>
        <w:tblLayout w:type="fixed"/>
        <w:tblCellMar>
          <w:left w:w="62" w:type="dxa"/>
          <w:right w:w="62" w:type="dxa"/>
        </w:tblCellMar>
        <w:tblLook w:val="0000"/>
      </w:tblPr>
      <w:tblGrid>
        <w:gridCol w:w="2808"/>
        <w:gridCol w:w="6762"/>
      </w:tblGrid>
      <w:tr w:rsidTr="005178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EVIDENCE GUIDE</w:t>
            </w:r>
          </w:p>
        </w:tc>
      </w:tr>
      <w:tr w:rsidTr="005178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The Evidence Guide provides advice on assessment and must be read in conjunction with the performance criteria, required skills and knowledge, range statement and the Assessment Guidelines for the Training Package.</w:t>
            </w:r>
          </w:p>
        </w:tc>
      </w:tr>
      <w:tr w:rsidTr="005178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p>
        </w:tc>
      </w:tr>
      <w:tr w:rsidTr="005178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Critical aspec</w:t>
            </w:r>
            <w:r w:rsidRPr="000663E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Evidence of the ability to:</w:t>
            </w:r>
          </w:p>
          <w:p w:rsidR="00000000" w:rsidRPr="000663E3" w:rsidP="000663E3">
            <w:pPr>
              <w:pStyle w:val="ListBullet"/>
            </w:pPr>
            <w:r w:rsidRPr="000663E3">
              <w:t>apply standard financial analysis techniques and knowledge of an organisation's attitude to risk to identify financial risk</w:t>
            </w:r>
          </w:p>
          <w:p w:rsidR="00000000" w:rsidRPr="000663E3" w:rsidP="000663E3">
            <w:pPr>
              <w:pStyle w:val="ListBullet"/>
            </w:pPr>
            <w:r w:rsidRPr="000663E3">
              <w:t>develop risk management processes</w:t>
            </w:r>
          </w:p>
          <w:p w:rsidR="00000000" w:rsidP="000663E3">
            <w:pPr>
              <w:pStyle w:val="ListBullet"/>
              <w:rPr>
                <w:lang w:val="en-NZ"/>
              </w:rPr>
            </w:pPr>
            <w:r w:rsidRPr="000663E3">
              <w:t>analyse financial histories and establish processes to minimise risks.</w:t>
            </w:r>
          </w:p>
        </w:tc>
      </w:tr>
      <w:tr w:rsidTr="005178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Assessment must ensure:</w:t>
            </w:r>
          </w:p>
          <w:p w:rsidR="00000000" w:rsidRPr="000663E3" w:rsidP="000663E3">
            <w:pPr>
              <w:pStyle w:val="ListBullet"/>
            </w:pPr>
            <w:r w:rsidRPr="000663E3">
              <w:t>competency is demonstrated in the context of the financial services work env</w:t>
            </w:r>
            <w:r w:rsidRPr="000663E3">
              <w:t>ironment and conditions specified in the range statement either in a relevant workplace or a closely simulated work environment</w:t>
            </w:r>
          </w:p>
          <w:p w:rsidR="00000000" w:rsidRPr="000663E3" w:rsidP="000663E3">
            <w:pPr>
              <w:pStyle w:val="ListBullet"/>
            </w:pPr>
            <w:r w:rsidRPr="000663E3">
              <w:t>access to and the use of a range of common office equipment, technology, software and consumables</w:t>
            </w:r>
          </w:p>
          <w:p w:rsidR="00000000" w:rsidP="000663E3">
            <w:pPr>
              <w:pStyle w:val="ListBullet"/>
              <w:rPr>
                <w:lang w:val="en-NZ"/>
              </w:rPr>
            </w:pPr>
            <w:r w:rsidRPr="000663E3">
              <w:t>access to an integrated financ</w:t>
            </w:r>
            <w:r w:rsidRPr="000663E3">
              <w:t>ial software system and data.</w:t>
            </w:r>
          </w:p>
        </w:tc>
      </w:tr>
      <w:tr w:rsidTr="005178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A range of assessment methods should be used to assess practical skills and knowledge. The following examples, in combination, are appropriate for this unit:</w:t>
            </w:r>
          </w:p>
          <w:p w:rsidR="00000000" w:rsidRPr="000663E3" w:rsidP="000663E3">
            <w:pPr>
              <w:pStyle w:val="ListBullet"/>
            </w:pPr>
            <w:r w:rsidRPr="000663E3">
              <w:t>evaluating an integrated activity which combi</w:t>
            </w:r>
            <w:r w:rsidRPr="000663E3">
              <w:t>nes the elements of competency for the unit or a cluster of related units of competency</w:t>
            </w:r>
          </w:p>
          <w:p w:rsidR="00000000" w:rsidRPr="000663E3" w:rsidP="000663E3">
            <w:pPr>
              <w:pStyle w:val="ListBullet"/>
            </w:pPr>
            <w:r w:rsidRPr="000663E3">
              <w:t>verbal or written questioning on underpinning knowledge and skills which may include formal examinations</w:t>
            </w:r>
          </w:p>
          <w:p w:rsidR="00000000" w:rsidRPr="000663E3" w:rsidP="000663E3">
            <w:pPr>
              <w:pStyle w:val="ListBullet"/>
            </w:pPr>
            <w:r w:rsidRPr="000663E3">
              <w:t>setting and reviewing workplace projects and business simulatio</w:t>
            </w:r>
            <w:r w:rsidRPr="000663E3">
              <w:t>ns or scenarios</w:t>
            </w:r>
          </w:p>
          <w:p w:rsidR="00000000" w:rsidRPr="000663E3" w:rsidP="000663E3">
            <w:pPr>
              <w:pStyle w:val="ListBullet"/>
            </w:pPr>
            <w:r w:rsidRPr="000663E3">
              <w:t>evaluating samples of work</w:t>
            </w:r>
          </w:p>
          <w:p w:rsidR="00000000" w:rsidP="000663E3">
            <w:pPr>
              <w:pStyle w:val="ListBullet"/>
              <w:rPr>
                <w:lang w:val="en-NZ"/>
              </w:rPr>
            </w:pPr>
            <w:r w:rsidRPr="000663E3">
              <w:t>accessing and validating third party reports.</w:t>
            </w:r>
          </w:p>
        </w:tc>
      </w:tr>
      <w:tr w:rsidTr="0051786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11" w:name="O_77269"/>
      <w:bookmarkEnd w:id="11"/>
      <w:r w:rsidRPr="000663E3">
        <w:t>Range Statement</w:t>
      </w:r>
    </w:p>
    <w:tbl>
      <w:tblPr>
        <w:tblW w:w="0" w:type="auto"/>
        <w:tblLayout w:type="fixed"/>
        <w:tblCellMar>
          <w:left w:w="62" w:type="dxa"/>
          <w:right w:w="62" w:type="dxa"/>
        </w:tblCellMar>
        <w:tblLook w:val="0000"/>
      </w:tblPr>
      <w:tblGrid>
        <w:gridCol w:w="2538"/>
        <w:gridCol w:w="5984"/>
      </w:tblGrid>
      <w:tr w:rsidTr="005178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RANGE STATEMENT</w:t>
            </w:r>
          </w:p>
        </w:tc>
      </w:tr>
      <w:tr w:rsidTr="00517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t>The range statement relates to the unit of competency as a whole. It allows for different work environments and situations that may affect performance. Bold italicised wording, if used in the performance criteria, is detailed below. Essential operating con</w:t>
            </w:r>
            <w:r w:rsidRPr="000663E3">
              <w:t>ditions that may be present with training and assessment (depending on the work situation, needs of the candidate, accessibility of the item, and local industry and regional contexts) may also be included.</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Risk exposure</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contractual risks</w:t>
            </w:r>
          </w:p>
          <w:p w:rsidR="00000000" w:rsidRPr="000663E3" w:rsidP="000663E3">
            <w:pPr>
              <w:pStyle w:val="ListBullet"/>
            </w:pPr>
            <w:r w:rsidRPr="000663E3">
              <w:t>cr</w:t>
            </w:r>
            <w:r w:rsidRPr="000663E3">
              <w:t>edit risks</w:t>
            </w:r>
          </w:p>
          <w:p w:rsidR="00000000" w:rsidRPr="000663E3" w:rsidP="000663E3">
            <w:pPr>
              <w:pStyle w:val="ListBullet"/>
            </w:pPr>
            <w:r w:rsidRPr="000663E3">
              <w:t>currency risks</w:t>
            </w:r>
          </w:p>
          <w:p w:rsidR="00000000" w:rsidRPr="000663E3" w:rsidP="000663E3">
            <w:pPr>
              <w:pStyle w:val="ListBullet"/>
            </w:pPr>
            <w:r w:rsidRPr="000663E3">
              <w:t>environmental and operational risks</w:t>
            </w:r>
          </w:p>
          <w:p w:rsidR="00000000" w:rsidP="000663E3">
            <w:pPr>
              <w:pStyle w:val="ListBullet"/>
              <w:rPr>
                <w:lang w:val="en-NZ"/>
              </w:rPr>
            </w:pPr>
            <w:r w:rsidRPr="000663E3">
              <w:t>interest rate risks.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Factors supporting or driving risk</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employment costs</w:t>
            </w:r>
          </w:p>
          <w:p w:rsidR="00000000" w:rsidRPr="000663E3" w:rsidP="000663E3">
            <w:pPr>
              <w:pStyle w:val="ListBullet"/>
            </w:pPr>
            <w:r w:rsidRPr="000663E3">
              <w:t xml:space="preserve">lending and borrowing environments </w:t>
            </w:r>
          </w:p>
          <w:p w:rsidR="00000000" w:rsidRPr="000663E3" w:rsidP="000663E3">
            <w:pPr>
              <w:pStyle w:val="ListBullet"/>
            </w:pPr>
            <w:r w:rsidRPr="000663E3">
              <w:t>lending and repayment criteria</w:t>
            </w:r>
          </w:p>
          <w:p w:rsidR="00000000" w:rsidRPr="000663E3" w:rsidP="000663E3">
            <w:pPr>
              <w:pStyle w:val="ListBullet"/>
            </w:pPr>
            <w:r w:rsidRPr="000663E3">
              <w:t>organisational program costs</w:t>
            </w:r>
          </w:p>
          <w:p w:rsidR="00000000" w:rsidP="000663E3">
            <w:pPr>
              <w:pStyle w:val="ListBullet"/>
              <w:rPr>
                <w:lang w:val="en-NZ"/>
              </w:rPr>
            </w:pPr>
            <w:r w:rsidRPr="000663E3">
              <w:t>payment and billing schedules.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Standard financial analysis techniques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'what if' analysis</w:t>
            </w:r>
          </w:p>
          <w:p w:rsidR="00000000" w:rsidRPr="000663E3" w:rsidP="000663E3">
            <w:pPr>
              <w:pStyle w:val="ListBullet"/>
            </w:pPr>
            <w:r w:rsidRPr="000663E3">
              <w:t>bivariate and multivariate analyses</w:t>
            </w:r>
          </w:p>
          <w:p w:rsidR="00000000" w:rsidRPr="000663E3" w:rsidP="000663E3">
            <w:pPr>
              <w:pStyle w:val="ListBullet"/>
            </w:pPr>
            <w:r w:rsidRPr="000663E3">
              <w:t>capital budgeting</w:t>
            </w:r>
          </w:p>
          <w:p w:rsidR="00000000" w:rsidRPr="000663E3" w:rsidP="000663E3">
            <w:pPr>
              <w:pStyle w:val="ListBullet"/>
            </w:pPr>
            <w:r w:rsidRPr="000663E3">
              <w:t>cost-benefit analysis</w:t>
            </w:r>
          </w:p>
          <w:p w:rsidR="00000000" w:rsidP="000663E3">
            <w:pPr>
              <w:pStyle w:val="ListBullet"/>
              <w:rPr>
                <w:lang w:val="en-NZ"/>
              </w:rPr>
            </w:pPr>
            <w:r w:rsidRPr="000663E3">
              <w:t>time series.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Risk management options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comparative analysis</w:t>
            </w:r>
          </w:p>
          <w:p w:rsidR="00000000" w:rsidRPr="000663E3" w:rsidP="000663E3">
            <w:pPr>
              <w:pStyle w:val="ListBullet"/>
            </w:pPr>
            <w:r w:rsidRPr="000663E3">
              <w:t>decision making authorities</w:t>
            </w:r>
          </w:p>
          <w:p w:rsidR="00000000" w:rsidRPr="000663E3" w:rsidP="000663E3">
            <w:pPr>
              <w:pStyle w:val="ListBullet"/>
            </w:pPr>
            <w:r w:rsidRPr="000663E3">
              <w:t>forecasting</w:t>
            </w:r>
          </w:p>
          <w:p w:rsidR="00000000" w:rsidRPr="000663E3" w:rsidP="000663E3">
            <w:pPr>
              <w:pStyle w:val="ListBullet"/>
            </w:pPr>
            <w:r w:rsidRPr="000663E3">
              <w:t>periodic reporting</w:t>
            </w:r>
          </w:p>
          <w:p w:rsidR="00000000" w:rsidRPr="000663E3" w:rsidP="000663E3">
            <w:pPr>
              <w:pStyle w:val="ListBullet"/>
            </w:pPr>
            <w:r w:rsidRPr="000663E3">
              <w:t>policy statements</w:t>
            </w:r>
          </w:p>
          <w:p w:rsidR="00000000" w:rsidP="000663E3">
            <w:pPr>
              <w:pStyle w:val="ListBullet"/>
              <w:rPr>
                <w:lang w:val="en-NZ"/>
              </w:rPr>
            </w:pPr>
            <w:r w:rsidRPr="000663E3">
              <w:t>quantification of risks.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Financial recording systems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accrual accounting reporting</w:t>
            </w:r>
          </w:p>
          <w:p w:rsidR="00000000" w:rsidRPr="000663E3" w:rsidP="000663E3">
            <w:pPr>
              <w:pStyle w:val="ListBullet"/>
            </w:pPr>
            <w:r w:rsidRPr="000663E3">
              <w:t>budget reviews</w:t>
            </w:r>
          </w:p>
          <w:p w:rsidR="00000000" w:rsidRPr="000663E3" w:rsidP="000663E3">
            <w:pPr>
              <w:pStyle w:val="ListBullet"/>
            </w:pPr>
            <w:r w:rsidRPr="000663E3">
              <w:t>comparative costings</w:t>
            </w:r>
          </w:p>
          <w:p w:rsidR="00000000" w:rsidRPr="000663E3" w:rsidP="000663E3">
            <w:pPr>
              <w:pStyle w:val="ListBullet"/>
            </w:pPr>
            <w:r w:rsidRPr="000663E3">
              <w:t>operating procedures and manuals</w:t>
            </w:r>
          </w:p>
          <w:p w:rsidR="00000000" w:rsidRPr="000663E3" w:rsidP="000663E3">
            <w:pPr>
              <w:pStyle w:val="ListBullet"/>
            </w:pPr>
            <w:r w:rsidRPr="000663E3">
              <w:t>organisationa</w:t>
            </w:r>
            <w:r w:rsidRPr="000663E3">
              <w:t>l communication processes</w:t>
            </w:r>
          </w:p>
          <w:p w:rsidR="00000000" w:rsidP="000663E3">
            <w:pPr>
              <w:pStyle w:val="ListBullet"/>
              <w:rPr>
                <w:lang w:val="en-NZ"/>
              </w:rPr>
            </w:pPr>
            <w:r w:rsidRPr="000663E3">
              <w:t>transaction recording.</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Data sources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Australian Bureau of Statistics (ABS) economic data</w:t>
            </w:r>
          </w:p>
          <w:p w:rsidR="00000000" w:rsidRPr="000663E3" w:rsidP="000663E3">
            <w:pPr>
              <w:pStyle w:val="ListBullet"/>
            </w:pPr>
            <w:r w:rsidRPr="000663E3">
              <w:t>budgets and forecasts</w:t>
            </w:r>
          </w:p>
          <w:p w:rsidR="00000000" w:rsidRPr="000663E3" w:rsidP="000663E3">
            <w:pPr>
              <w:pStyle w:val="ListBullet"/>
            </w:pPr>
            <w:r w:rsidRPr="000663E3">
              <w:t>credit ratings</w:t>
            </w:r>
          </w:p>
          <w:p w:rsidR="00000000" w:rsidRPr="000663E3" w:rsidP="000663E3">
            <w:pPr>
              <w:pStyle w:val="ListBullet"/>
            </w:pPr>
            <w:r w:rsidRPr="000663E3">
              <w:t xml:space="preserve">financial markets monitoring services </w:t>
            </w:r>
          </w:p>
          <w:p w:rsidR="00000000" w:rsidRPr="000663E3" w:rsidP="000663E3">
            <w:pPr>
              <w:pStyle w:val="ListBullet"/>
            </w:pPr>
            <w:r w:rsidRPr="000663E3">
              <w:t>financial statements and reports</w:t>
            </w:r>
          </w:p>
          <w:p w:rsidR="00000000" w:rsidP="000663E3">
            <w:pPr>
              <w:pStyle w:val="ListBullet"/>
              <w:rPr>
                <w:lang w:val="en-NZ"/>
              </w:rPr>
            </w:pPr>
            <w:r w:rsidRPr="000663E3">
              <w:t>market valuations.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Asset structures and liabilities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cash accounts</w:t>
            </w:r>
          </w:p>
          <w:p w:rsidR="00000000" w:rsidRPr="000663E3" w:rsidP="000663E3">
            <w:pPr>
              <w:pStyle w:val="ListBullet"/>
            </w:pPr>
            <w:r w:rsidRPr="000663E3">
              <w:t>loans, leases and debts</w:t>
            </w:r>
          </w:p>
          <w:p w:rsidR="00000000" w:rsidRPr="000663E3" w:rsidP="000663E3">
            <w:pPr>
              <w:pStyle w:val="ListBullet"/>
            </w:pPr>
            <w:r w:rsidRPr="000663E3">
              <w:t>personnel</w:t>
            </w:r>
          </w:p>
          <w:p w:rsidR="00000000" w:rsidRPr="000663E3" w:rsidP="000663E3">
            <w:pPr>
              <w:pStyle w:val="ListBullet"/>
            </w:pPr>
            <w:r w:rsidRPr="000663E3">
              <w:t>plant and equipment</w:t>
            </w:r>
          </w:p>
          <w:p w:rsidR="00000000" w:rsidRPr="000663E3" w:rsidP="000663E3">
            <w:pPr>
              <w:pStyle w:val="ListBullet"/>
            </w:pPr>
            <w:r w:rsidRPr="000663E3">
              <w:t>property investments</w:t>
            </w:r>
          </w:p>
          <w:p w:rsidR="00000000" w:rsidP="000663E3">
            <w:pPr>
              <w:pStyle w:val="ListBullet"/>
              <w:rPr>
                <w:lang w:val="en-NZ"/>
              </w:rPr>
            </w:pPr>
            <w:r w:rsidRPr="000663E3">
              <w:t>shares, bonds and securities.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Variances and parameters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budget expenditures</w:t>
            </w:r>
          </w:p>
          <w:p w:rsidR="00000000" w:rsidRPr="000663E3" w:rsidP="000663E3">
            <w:pPr>
              <w:pStyle w:val="ListBullet"/>
            </w:pPr>
            <w:r w:rsidRPr="000663E3">
              <w:t>profits and losses</w:t>
            </w:r>
          </w:p>
          <w:p w:rsidR="00000000" w:rsidRPr="000663E3" w:rsidP="000663E3">
            <w:pPr>
              <w:pStyle w:val="ListBullet"/>
            </w:pPr>
            <w:r w:rsidRPr="000663E3">
              <w:t>rate of investment returns</w:t>
            </w:r>
          </w:p>
          <w:p w:rsidR="00000000" w:rsidP="000663E3">
            <w:pPr>
              <w:pStyle w:val="ListBullet"/>
              <w:rPr>
                <w:lang w:val="en-NZ"/>
              </w:rPr>
            </w:pPr>
            <w:r w:rsidRPr="000663E3">
              <w:t>unit costs.</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Inventories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assets and liabilities</w:t>
            </w:r>
          </w:p>
          <w:p w:rsidR="00000000" w:rsidRPr="000663E3" w:rsidP="000663E3">
            <w:pPr>
              <w:pStyle w:val="ListBullet"/>
            </w:pPr>
            <w:r w:rsidRPr="000663E3">
              <w:t>compliance and completion timetables</w:t>
            </w:r>
          </w:p>
          <w:p w:rsidR="00000000" w:rsidRPr="000663E3" w:rsidP="000663E3">
            <w:pPr>
              <w:pStyle w:val="ListBullet"/>
            </w:pPr>
            <w:r w:rsidRPr="000663E3">
              <w:t>cost structures</w:t>
            </w:r>
          </w:p>
          <w:p w:rsidR="00000000" w:rsidRPr="000663E3" w:rsidP="000663E3">
            <w:pPr>
              <w:pStyle w:val="ListBullet"/>
            </w:pPr>
            <w:r w:rsidRPr="000663E3">
              <w:t>repayment and payment schedules</w:t>
            </w:r>
          </w:p>
          <w:p w:rsidR="00000000" w:rsidP="000663E3">
            <w:pPr>
              <w:pStyle w:val="ListBullet"/>
              <w:rPr>
                <w:lang w:val="en-NZ"/>
              </w:rPr>
            </w:pPr>
            <w:r w:rsidRPr="000663E3">
              <w:t>returns and performance over time.</w:t>
            </w:r>
          </w:p>
        </w:tc>
      </w:tr>
      <w:tr w:rsidTr="0051786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BoldandItalics"/>
              </w:rPr>
              <w:t>Organisational attitudes</w:t>
            </w:r>
            <w:r w:rsidRPr="000663E3">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ListBullet"/>
            </w:pPr>
            <w:r w:rsidRPr="000663E3">
              <w:t>proportional risk management</w:t>
            </w:r>
          </w:p>
          <w:p w:rsidR="00000000" w:rsidRPr="000663E3" w:rsidP="000663E3">
            <w:pPr>
              <w:pStyle w:val="ListBullet"/>
            </w:pPr>
            <w:r w:rsidRPr="000663E3">
              <w:t>risk aversion</w:t>
            </w:r>
          </w:p>
          <w:p w:rsidR="00000000" w:rsidRPr="000663E3" w:rsidP="000663E3">
            <w:pPr>
              <w:pStyle w:val="ListBullet"/>
            </w:pPr>
            <w:r w:rsidRPr="000663E3">
              <w:t>risk minimisation</w:t>
            </w:r>
          </w:p>
          <w:p w:rsidR="00000000" w:rsidRPr="000663E3" w:rsidP="000663E3">
            <w:pPr>
              <w:pStyle w:val="ListBullet"/>
            </w:pPr>
            <w:r w:rsidRPr="000663E3">
              <w:t>risk taking.</w:t>
            </w:r>
          </w:p>
        </w:tc>
      </w:tr>
    </w:tbl>
    <w:p w:rsidR="00517864" w:rsidP="000663E3">
      <w:pPr>
        <w:pStyle w:val="BodyText"/>
      </w:pPr>
    </w:p>
    <w:p w:rsidR="00517864" w:rsidP="000663E3">
      <w:pPr>
        <w:pStyle w:val="BodyText"/>
      </w:pPr>
    </w:p>
    <w:p w:rsidR="00000000" w:rsidRPr="000663E3" w:rsidP="000663E3">
      <w:pPr>
        <w:pStyle w:val="Heading1"/>
      </w:pPr>
      <w:bookmarkStart w:id="12" w:name="O_77270"/>
      <w:bookmarkEnd w:id="12"/>
      <w:r w:rsidRPr="000663E3">
        <w:t>Unit Sector(s)</w:t>
      </w:r>
    </w:p>
    <w:tbl>
      <w:tblPr>
        <w:tblW w:w="0" w:type="auto"/>
        <w:tblLayout w:type="fixed"/>
        <w:tblCellMar>
          <w:left w:w="62" w:type="dxa"/>
          <w:right w:w="62" w:type="dxa"/>
        </w:tblCellMar>
        <w:tblLook w:val="0000"/>
      </w:tblPr>
      <w:tblGrid>
        <w:gridCol w:w="2590"/>
        <w:gridCol w:w="5932"/>
      </w:tblGrid>
      <w:tr w:rsidTr="0051786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r w:rsidRPr="000663E3">
              <w:t>Accounting</w:t>
            </w: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13" w:name="O_156117"/>
      <w:bookmarkEnd w:id="13"/>
      <w:r w:rsidRPr="000663E3">
        <w:t>Competency field</w:t>
      </w:r>
    </w:p>
    <w:tbl>
      <w:tblPr>
        <w:tblW w:w="0" w:type="auto"/>
        <w:tblLayout w:type="fixed"/>
        <w:tblCellMar>
          <w:left w:w="62" w:type="dxa"/>
          <w:right w:w="62" w:type="dxa"/>
        </w:tblCellMar>
        <w:tblLook w:val="0000"/>
      </w:tblPr>
      <w:tblGrid>
        <w:gridCol w:w="2754"/>
        <w:gridCol w:w="5768"/>
      </w:tblGrid>
      <w:tr w:rsidTr="0051786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p>
        </w:tc>
      </w:tr>
    </w:tbl>
    <w:p w:rsidR="00000000" w:rsidRPr="000663E3" w:rsidP="000663E3">
      <w:pPr>
        <w:pStyle w:val="BodyText"/>
      </w:pPr>
    </w:p>
    <w:p w:rsidR="00000000" w:rsidRPr="000663E3" w:rsidP="000663E3">
      <w:pPr>
        <w:pStyle w:val="AllowPageBreak"/>
      </w:pPr>
    </w:p>
    <w:p w:rsidR="00000000" w:rsidRPr="000663E3" w:rsidP="000663E3">
      <w:pPr>
        <w:pStyle w:val="Heading1"/>
      </w:pPr>
      <w:bookmarkStart w:id="14" w:name="O_156116"/>
      <w:bookmarkEnd w:id="14"/>
      <w:r w:rsidRPr="000663E3">
        <w:t>Co-requisite units</w:t>
      </w:r>
    </w:p>
    <w:tbl>
      <w:tblPr>
        <w:tblW w:w="0" w:type="auto"/>
        <w:tblLayout w:type="fixed"/>
        <w:tblCellMar>
          <w:left w:w="62" w:type="dxa"/>
          <w:right w:w="62" w:type="dxa"/>
        </w:tblCellMar>
        <w:tblLook w:val="0000"/>
      </w:tblPr>
      <w:tblGrid>
        <w:gridCol w:w="2629"/>
        <w:gridCol w:w="1324"/>
        <w:gridCol w:w="4569"/>
      </w:tblGrid>
      <w:tr w:rsidTr="0051786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r w:rsidRPr="000663E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3E3">
            <w:pPr>
              <w:pStyle w:val="BodyText"/>
              <w:rPr>
                <w:lang w:val="en-NZ"/>
              </w:rPr>
            </w:pPr>
          </w:p>
        </w:tc>
      </w:tr>
      <w:tr w:rsidTr="0051786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3E3" w:rsidP="000663E3">
            <w:pPr>
              <w:pStyle w:val="BodyText"/>
            </w:pPr>
          </w:p>
        </w:tc>
      </w:tr>
    </w:tbl>
    <w:p w:rsidR="00000000" w:rsidRPr="000663E3" w:rsidP="000663E3">
      <w:pPr>
        <w:pStyle w:val="BodyText"/>
      </w:pPr>
    </w:p>
    <w:p w:rsidR="00000000" w:rsidRPr="000663E3" w:rsidP="000663E3"/>
    <w:sectPr w:rsidSect="00066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864" w:rsidP="00517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64" w:rsidP="00066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7864" w:rsidP="00066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7864" w:rsidP="00066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864" w:rsidP="005178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64" w:rsidP="000663E3">
    <w:pPr>
      <w:pStyle w:val="Header"/>
      <w:framePr w:wrap="around"/>
    </w:pPr>
    <w:r>
      <w:fldChar w:fldCharType="begin"/>
    </w:r>
    <w:r>
      <w:instrText xml:space="preserve"> TITLE   \* MERGEFORMAT </w:instrText>
    </w:r>
    <w:r>
      <w:fldChar w:fldCharType="separate"/>
    </w:r>
    <w:r>
      <w:t>FNSACC609A Evaluate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7864" w:rsidP="000663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63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CD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8A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3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63E3"/>
    <w:pPr>
      <w:spacing w:before="360" w:after="60"/>
      <w:outlineLvl w:val="0"/>
    </w:pPr>
    <w:rPr>
      <w:sz w:val="32"/>
    </w:rPr>
  </w:style>
  <w:style w:type="paragraph" w:styleId="Heading2">
    <w:name w:val="heading 2"/>
    <w:basedOn w:val="HeadingBase"/>
    <w:next w:val="BodyText"/>
    <w:link w:val="Heading2Char"/>
    <w:qFormat/>
    <w:rsid w:val="000663E3"/>
    <w:pPr>
      <w:keepLines/>
      <w:spacing w:before="240" w:after="120"/>
      <w:outlineLvl w:val="1"/>
    </w:pPr>
    <w:rPr>
      <w:sz w:val="28"/>
      <w:szCs w:val="40"/>
    </w:rPr>
  </w:style>
  <w:style w:type="paragraph" w:styleId="Heading3">
    <w:name w:val="heading 3"/>
    <w:basedOn w:val="HeadingBase"/>
    <w:next w:val="BodyText"/>
    <w:link w:val="Heading3Char"/>
    <w:qFormat/>
    <w:rsid w:val="000663E3"/>
    <w:pPr>
      <w:spacing w:before="180" w:after="120"/>
      <w:outlineLvl w:val="2"/>
    </w:pPr>
    <w:rPr>
      <w:spacing w:val="-10"/>
      <w:kern w:val="32"/>
    </w:rPr>
  </w:style>
  <w:style w:type="paragraph" w:styleId="Heading4">
    <w:name w:val="heading 4"/>
    <w:basedOn w:val="HeadingBase"/>
    <w:next w:val="BodyText"/>
    <w:link w:val="Heading4Char"/>
    <w:qFormat/>
    <w:rsid w:val="000663E3"/>
    <w:pPr>
      <w:spacing w:before="160" w:after="120"/>
      <w:outlineLvl w:val="3"/>
    </w:pPr>
    <w:rPr>
      <w:sz w:val="22"/>
    </w:rPr>
  </w:style>
  <w:style w:type="paragraph" w:styleId="Heading5">
    <w:name w:val="heading 5"/>
    <w:basedOn w:val="HeadingBase"/>
    <w:next w:val="Normal"/>
    <w:link w:val="Heading5Char"/>
    <w:qFormat/>
    <w:rsid w:val="000663E3"/>
    <w:pPr>
      <w:spacing w:before="80"/>
      <w:outlineLvl w:val="4"/>
    </w:pPr>
    <w:rPr>
      <w:color w:val="918585"/>
      <w:sz w:val="20"/>
    </w:rPr>
  </w:style>
  <w:style w:type="paragraph" w:styleId="Heading6">
    <w:name w:val="heading 6"/>
    <w:basedOn w:val="HeadingBase"/>
    <w:next w:val="Normal"/>
    <w:link w:val="Heading6Char"/>
    <w:qFormat/>
    <w:rsid w:val="000663E3"/>
    <w:pPr>
      <w:spacing w:before="60"/>
      <w:outlineLvl w:val="5"/>
    </w:pPr>
    <w:rPr>
      <w:color w:val="918585"/>
      <w:sz w:val="20"/>
    </w:rPr>
  </w:style>
  <w:style w:type="paragraph" w:styleId="Heading7">
    <w:name w:val="heading 7"/>
    <w:basedOn w:val="Normal"/>
    <w:next w:val="Normal"/>
    <w:link w:val="Heading7Char"/>
    <w:qFormat/>
    <w:rsid w:val="000663E3"/>
    <w:pPr>
      <w:ind w:left="720"/>
      <w:outlineLvl w:val="6"/>
    </w:pPr>
    <w:rPr>
      <w:i/>
    </w:rPr>
  </w:style>
  <w:style w:type="paragraph" w:styleId="Heading8">
    <w:name w:val="heading 8"/>
    <w:basedOn w:val="Normal"/>
    <w:next w:val="Normal"/>
    <w:link w:val="Heading8Char"/>
    <w:qFormat/>
    <w:rsid w:val="000663E3"/>
    <w:pPr>
      <w:ind w:left="720"/>
      <w:outlineLvl w:val="7"/>
    </w:pPr>
    <w:rPr>
      <w:i/>
    </w:rPr>
  </w:style>
  <w:style w:type="paragraph" w:styleId="Heading9">
    <w:name w:val="heading 9"/>
    <w:basedOn w:val="Normal"/>
    <w:next w:val="Normal"/>
    <w:link w:val="Heading9Char"/>
    <w:qFormat/>
    <w:rsid w:val="000663E3"/>
    <w:pPr>
      <w:ind w:left="720"/>
      <w:outlineLvl w:val="8"/>
    </w:pPr>
    <w:rPr>
      <w:i/>
    </w:rPr>
  </w:style>
  <w:style w:type="character" w:default="1" w:styleId="DefaultParagraphFont">
    <w:name w:val="Default Paragraph Font"/>
    <w:uiPriority w:val="1"/>
    <w:unhideWhenUsed/>
    <w:rsid w:val="00066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3E3"/>
  </w:style>
  <w:style w:type="character" w:customStyle="1" w:styleId="Heading1Char">
    <w:name w:val="Heading 1 Char"/>
    <w:basedOn w:val="DefaultParagraphFont"/>
    <w:link w:val="Heading1"/>
    <w:rsid w:val="000663E3"/>
    <w:rPr>
      <w:rFonts w:ascii="Times New Roman" w:eastAsia="Times New Roman" w:hAnsi="Times New Roman" w:cs="Times New Roman"/>
      <w:b/>
      <w:sz w:val="32"/>
      <w:szCs w:val="20"/>
      <w:lang w:eastAsia="en-US"/>
    </w:rPr>
  </w:style>
  <w:style w:type="paragraph" w:styleId="BodyText">
    <w:name w:val="Body Text"/>
    <w:basedOn w:val="Normal"/>
    <w:link w:val="BodyTextChar"/>
    <w:rsid w:val="00066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3E3"/>
    <w:rPr>
      <w:rFonts w:ascii="Times New Roman" w:eastAsia="Times New Roman" w:hAnsi="Times New Roman" w:cs="Times New Roman"/>
      <w:sz w:val="24"/>
      <w:lang w:val="en-US" w:eastAsia="en-US"/>
    </w:rPr>
  </w:style>
  <w:style w:type="paragraph" w:styleId="Footer">
    <w:name w:val="footer"/>
    <w:basedOn w:val="Normal"/>
    <w:link w:val="FooterChar"/>
    <w:rsid w:val="00066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3E3"/>
    <w:rPr>
      <w:rFonts w:ascii="Times New Roman" w:eastAsia="Times New Roman" w:hAnsi="Times New Roman" w:cs="Times New Roman"/>
      <w:sz w:val="16"/>
      <w:lang w:val="en-US" w:eastAsia="en-US"/>
    </w:rPr>
  </w:style>
  <w:style w:type="paragraph" w:styleId="List">
    <w:name w:val="List"/>
    <w:basedOn w:val="BodyText"/>
    <w:next w:val="BodyText"/>
    <w:rsid w:val="000663E3"/>
    <w:pPr>
      <w:tabs>
        <w:tab w:val="left" w:pos="340"/>
      </w:tabs>
      <w:spacing w:before="60" w:after="60"/>
      <w:ind w:left="340" w:hanging="340"/>
    </w:pPr>
  </w:style>
  <w:style w:type="paragraph" w:styleId="ListBullet">
    <w:name w:val="List Bullet"/>
    <w:basedOn w:val="List"/>
    <w:rsid w:val="000663E3"/>
    <w:pPr>
      <w:numPr>
        <w:numId w:val="13"/>
      </w:numPr>
      <w:tabs>
        <w:tab w:val="clear" w:pos="340"/>
      </w:tabs>
      <w:spacing w:before="40" w:after="40"/>
    </w:pPr>
  </w:style>
  <w:style w:type="character" w:customStyle="1" w:styleId="SpecialBold">
    <w:name w:val="Special Bold"/>
    <w:basedOn w:val="DefaultParagraphFont"/>
    <w:rsid w:val="000663E3"/>
    <w:rPr>
      <w:b/>
      <w:spacing w:val="0"/>
    </w:rPr>
  </w:style>
  <w:style w:type="paragraph" w:styleId="ListBullet2">
    <w:name w:val="List Bullet 2"/>
    <w:basedOn w:val="List2"/>
    <w:rsid w:val="000663E3"/>
    <w:pPr>
      <w:numPr>
        <w:numId w:val="14"/>
      </w:numPr>
      <w:tabs>
        <w:tab w:val="clear" w:pos="680"/>
      </w:tabs>
    </w:pPr>
  </w:style>
  <w:style w:type="paragraph" w:styleId="Header">
    <w:name w:val="header"/>
    <w:basedOn w:val="Normal"/>
    <w:link w:val="HeaderChar"/>
    <w:rsid w:val="00066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3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63E3"/>
    <w:pPr>
      <w:spacing w:before="240" w:after="120"/>
      <w:outlineLvl w:val="0"/>
    </w:pPr>
    <w:rPr>
      <w:rFonts w:ascii="Times New Roman" w:hAnsi="Times New Roman"/>
      <w:b/>
      <w:sz w:val="28"/>
    </w:rPr>
  </w:style>
  <w:style w:type="paragraph" w:customStyle="1" w:styleId="AllowPageBreak">
    <w:name w:val="AllowPageBreak"/>
    <w:rsid w:val="000663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63E3"/>
    <w:pPr>
      <w:tabs>
        <w:tab w:val="left" w:pos="680"/>
      </w:tabs>
      <w:spacing w:before="60" w:after="60"/>
      <w:ind w:left="680" w:hanging="340"/>
    </w:pPr>
  </w:style>
  <w:style w:type="character" w:customStyle="1" w:styleId="BoldandItalics">
    <w:name w:val="Bold and Italics"/>
    <w:qFormat/>
    <w:rsid w:val="000663E3"/>
    <w:rPr>
      <w:b/>
      <w:i/>
      <w:u w:val="none"/>
    </w:rPr>
  </w:style>
  <w:style w:type="character" w:customStyle="1" w:styleId="Heading2Char">
    <w:name w:val="Heading 2 Char"/>
    <w:basedOn w:val="DefaultParagraphFont"/>
    <w:link w:val="Heading2"/>
    <w:rsid w:val="00066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3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63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63E3"/>
    <w:rPr>
      <w:rFonts w:ascii="Courier New" w:eastAsia="Times New Roman" w:hAnsi="Courier New" w:cs="Times New Roman"/>
      <w:i/>
      <w:szCs w:val="20"/>
      <w:lang w:val="en-US" w:eastAsia="en-US"/>
    </w:rPr>
  </w:style>
  <w:style w:type="paragraph" w:customStyle="1" w:styleId="HeadingBase">
    <w:name w:val="Heading Base"/>
    <w:rsid w:val="00066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3E3"/>
    <w:pPr>
      <w:tabs>
        <w:tab w:val="right" w:leader="dot" w:pos="9072"/>
      </w:tabs>
      <w:ind w:left="567"/>
    </w:pPr>
    <w:rPr>
      <w:szCs w:val="22"/>
    </w:rPr>
  </w:style>
  <w:style w:type="paragraph" w:customStyle="1" w:styleId="TOCBase">
    <w:name w:val="TOC Base"/>
    <w:rsid w:val="00066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3E3"/>
    <w:pPr>
      <w:tabs>
        <w:tab w:val="right" w:leader="dot" w:pos="9072"/>
      </w:tabs>
      <w:spacing w:before="40" w:after="40"/>
      <w:ind w:left="284"/>
    </w:pPr>
    <w:rPr>
      <w:rFonts w:ascii="Times New Roman" w:hAnsi="Times New Roman"/>
    </w:rPr>
  </w:style>
  <w:style w:type="paragraph" w:styleId="TOC1">
    <w:name w:val="toc 1"/>
    <w:basedOn w:val="TOCBase"/>
    <w:next w:val="Normal"/>
    <w:rsid w:val="00066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63E3"/>
    <w:pPr>
      <w:spacing w:before="5040"/>
      <w:jc w:val="center"/>
    </w:pPr>
    <w:rPr>
      <w:sz w:val="48"/>
      <w:szCs w:val="72"/>
      <w:lang w:val="en-US"/>
    </w:rPr>
  </w:style>
  <w:style w:type="character" w:customStyle="1" w:styleId="TitleChar">
    <w:name w:val="Title Char"/>
    <w:basedOn w:val="DefaultParagraphFont"/>
    <w:link w:val="Title"/>
    <w:rsid w:val="00066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3E3"/>
    <w:pPr>
      <w:tabs>
        <w:tab w:val="left" w:pos="3600"/>
        <w:tab w:val="left" w:pos="3958"/>
      </w:tabs>
    </w:pPr>
  </w:style>
  <w:style w:type="paragraph" w:customStyle="1" w:styleId="Note">
    <w:name w:val="Note"/>
    <w:basedOn w:val="BodyText"/>
    <w:rsid w:val="00066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3E3"/>
    <w:pPr>
      <w:framePr w:wrap="auto" w:hAnchor="text" w:y="6049"/>
    </w:pPr>
    <w:rPr>
      <w:color w:val="000000"/>
      <w:sz w:val="40"/>
    </w:rPr>
  </w:style>
  <w:style w:type="paragraph" w:customStyle="1" w:styleId="TOCTitle">
    <w:name w:val="TOCTitle"/>
    <w:basedOn w:val="Heading1"/>
    <w:rsid w:val="000663E3"/>
    <w:pPr>
      <w:spacing w:after="240"/>
      <w:jc w:val="center"/>
      <w:outlineLvl w:val="9"/>
    </w:pPr>
    <w:rPr>
      <w:caps/>
    </w:rPr>
  </w:style>
  <w:style w:type="paragraph" w:customStyle="1" w:styleId="Version">
    <w:name w:val="Version"/>
    <w:rsid w:val="00066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3E3"/>
    <w:pPr>
      <w:keepNext w:val="0"/>
      <w:tabs>
        <w:tab w:val="right" w:pos="4176"/>
      </w:tabs>
      <w:ind w:left="198" w:hanging="198"/>
    </w:pPr>
    <w:rPr>
      <w:rFonts w:ascii="Garamond" w:hAnsi="Garamond"/>
    </w:rPr>
  </w:style>
  <w:style w:type="paragraph" w:styleId="IndexHeading">
    <w:name w:val="index heading"/>
    <w:basedOn w:val="Normal"/>
    <w:next w:val="Index1"/>
    <w:semiHidden/>
    <w:rsid w:val="000663E3"/>
    <w:pPr>
      <w:spacing w:before="120" w:after="120"/>
    </w:pPr>
    <w:rPr>
      <w:rFonts w:ascii="Arial" w:hAnsi="Arial"/>
      <w:b/>
      <w:color w:val="918585"/>
      <w:sz w:val="24"/>
    </w:rPr>
  </w:style>
  <w:style w:type="paragraph" w:customStyle="1" w:styleId="Chapter">
    <w:name w:val="Chapter"/>
    <w:basedOn w:val="Normal"/>
    <w:rsid w:val="000663E3"/>
    <w:pPr>
      <w:spacing w:before="240"/>
    </w:pPr>
    <w:rPr>
      <w:rFonts w:ascii="Times New Roman" w:hAnsi="Times New Roman"/>
      <w:smallCaps/>
      <w:spacing w:val="80"/>
      <w:sz w:val="28"/>
    </w:rPr>
  </w:style>
  <w:style w:type="paragraph" w:customStyle="1" w:styleId="InChapter">
    <w:name w:val="InChapter"/>
    <w:basedOn w:val="Heading3"/>
    <w:rsid w:val="000663E3"/>
    <w:pPr>
      <w:spacing w:after="240"/>
      <w:outlineLvl w:val="9"/>
    </w:pPr>
    <w:rPr>
      <w:noProof/>
    </w:rPr>
  </w:style>
  <w:style w:type="paragraph" w:styleId="Index2">
    <w:name w:val="index 2"/>
    <w:basedOn w:val="Normal"/>
    <w:next w:val="Normal"/>
    <w:semiHidden/>
    <w:rsid w:val="000663E3"/>
    <w:pPr>
      <w:tabs>
        <w:tab w:val="right" w:pos="4176"/>
      </w:tabs>
      <w:ind w:left="568" w:hanging="284"/>
    </w:pPr>
    <w:rPr>
      <w:rFonts w:ascii="Garamond" w:hAnsi="Garamond"/>
    </w:rPr>
  </w:style>
  <w:style w:type="paragraph" w:customStyle="1" w:styleId="Byline">
    <w:name w:val="Byline"/>
    <w:rsid w:val="00066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3E3"/>
    <w:pPr>
      <w:tabs>
        <w:tab w:val="clear" w:pos="3600"/>
        <w:tab w:val="clear" w:pos="3958"/>
      </w:tabs>
      <w:jc w:val="right"/>
    </w:pPr>
  </w:style>
  <w:style w:type="character" w:styleId="Emphasis">
    <w:name w:val="Emphasis"/>
    <w:basedOn w:val="DefaultParagraphFont"/>
    <w:qFormat/>
    <w:rsid w:val="000663E3"/>
    <w:rPr>
      <w:i/>
    </w:rPr>
  </w:style>
  <w:style w:type="paragraph" w:styleId="Caption">
    <w:name w:val="caption"/>
    <w:basedOn w:val="BodyText"/>
    <w:next w:val="Normal"/>
    <w:qFormat/>
    <w:rsid w:val="000663E3"/>
    <w:pPr>
      <w:framePr w:w="2268" w:hSpace="181" w:vSpace="181" w:wrap="around" w:vAnchor="text" w:hAnchor="page" w:x="1135" w:y="285" w:anchorLock="1"/>
    </w:pPr>
    <w:rPr>
      <w:i/>
    </w:rPr>
  </w:style>
  <w:style w:type="paragraph" w:customStyle="1" w:styleId="MiniTOCTitle">
    <w:name w:val="MiniTOCTitle"/>
    <w:basedOn w:val="Heading4"/>
    <w:rsid w:val="000663E3"/>
    <w:pPr>
      <w:spacing w:before="240"/>
      <w:outlineLvl w:val="9"/>
    </w:pPr>
    <w:rPr>
      <w:noProof/>
      <w:sz w:val="24"/>
    </w:rPr>
  </w:style>
  <w:style w:type="paragraph" w:customStyle="1" w:styleId="MiniTOCItem">
    <w:name w:val="MiniTOCItem"/>
    <w:basedOn w:val="ListBullet"/>
    <w:rsid w:val="000663E3"/>
    <w:pPr>
      <w:numPr>
        <w:numId w:val="0"/>
      </w:numPr>
      <w:tabs>
        <w:tab w:val="right" w:leader="dot" w:pos="6521"/>
      </w:tabs>
      <w:spacing w:before="0" w:after="0"/>
    </w:pPr>
  </w:style>
  <w:style w:type="paragraph" w:customStyle="1" w:styleId="TOFTitle">
    <w:name w:val="TOFTitle"/>
    <w:basedOn w:val="TOCTitle"/>
    <w:rsid w:val="000663E3"/>
  </w:style>
  <w:style w:type="paragraph" w:styleId="TableofFigures">
    <w:name w:val="table of figures"/>
    <w:basedOn w:val="Normal"/>
    <w:next w:val="Normal"/>
    <w:semiHidden/>
    <w:rsid w:val="000663E3"/>
    <w:pPr>
      <w:tabs>
        <w:tab w:val="right" w:leader="dot" w:pos="9072"/>
      </w:tabs>
      <w:ind w:left="970" w:hanging="403"/>
    </w:pPr>
    <w:rPr>
      <w:rFonts w:ascii="Times New Roman" w:hAnsi="Times New Roman"/>
      <w:b/>
    </w:rPr>
  </w:style>
  <w:style w:type="paragraph" w:styleId="ListNumber">
    <w:name w:val="List Number"/>
    <w:basedOn w:val="List"/>
    <w:rsid w:val="000663E3"/>
    <w:pPr>
      <w:numPr>
        <w:numId w:val="11"/>
      </w:numPr>
    </w:pPr>
  </w:style>
  <w:style w:type="character" w:customStyle="1" w:styleId="WingdingSymbols">
    <w:name w:val="Wingding Symbols"/>
    <w:rsid w:val="000663E3"/>
    <w:rPr>
      <w:rFonts w:ascii="Wingdings" w:hAnsi="Wingdings"/>
    </w:rPr>
  </w:style>
  <w:style w:type="paragraph" w:customStyle="1" w:styleId="TableHeading">
    <w:name w:val="Table Heading"/>
    <w:basedOn w:val="HeadingBase"/>
    <w:rsid w:val="000663E3"/>
    <w:pPr>
      <w:keepLines/>
      <w:pBdr>
        <w:bottom w:val="single" w:sz="6" w:space="1" w:color="918585"/>
      </w:pBdr>
      <w:spacing w:before="240"/>
    </w:pPr>
  </w:style>
  <w:style w:type="character" w:customStyle="1" w:styleId="HotSpot">
    <w:name w:val="HotSpot"/>
    <w:rsid w:val="000663E3"/>
    <w:rPr>
      <w:color w:val="0033CC"/>
      <w:u w:val="none"/>
    </w:rPr>
  </w:style>
  <w:style w:type="paragraph" w:customStyle="1" w:styleId="BodyTextRight">
    <w:name w:val="Body Text Right"/>
    <w:basedOn w:val="BodyText"/>
    <w:rsid w:val="000663E3"/>
    <w:pPr>
      <w:spacing w:before="0" w:after="0"/>
      <w:jc w:val="right"/>
    </w:pPr>
  </w:style>
  <w:style w:type="paragraph" w:styleId="Index3">
    <w:name w:val="index 3"/>
    <w:basedOn w:val="ListNumber2"/>
    <w:next w:val="Normal"/>
    <w:semiHidden/>
    <w:rsid w:val="000663E3"/>
    <w:pPr>
      <w:numPr>
        <w:numId w:val="0"/>
      </w:numPr>
      <w:tabs>
        <w:tab w:val="right" w:leader="dot" w:pos="4176"/>
      </w:tabs>
    </w:pPr>
  </w:style>
  <w:style w:type="paragraph" w:styleId="ListNumber2">
    <w:name w:val="List Number 2"/>
    <w:basedOn w:val="List2"/>
    <w:rsid w:val="000663E3"/>
    <w:pPr>
      <w:numPr>
        <w:numId w:val="10"/>
      </w:numPr>
      <w:tabs>
        <w:tab w:val="clear" w:pos="1060"/>
      </w:tabs>
    </w:pPr>
  </w:style>
  <w:style w:type="paragraph" w:customStyle="1" w:styleId="MarginNote">
    <w:name w:val="Margin Note"/>
    <w:basedOn w:val="BodyText"/>
    <w:rsid w:val="00066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3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63E3"/>
    <w:rPr>
      <w:sz w:val="32"/>
    </w:rPr>
  </w:style>
  <w:style w:type="paragraph" w:customStyle="1" w:styleId="HeadingProcedure">
    <w:name w:val="Heading Procedure"/>
    <w:basedOn w:val="HeadingBase"/>
    <w:next w:val="Normal"/>
    <w:rsid w:val="000663E3"/>
    <w:pPr>
      <w:tabs>
        <w:tab w:val="left" w:pos="0"/>
      </w:tabs>
      <w:spacing w:before="120" w:after="60"/>
    </w:pPr>
    <w:rPr>
      <w:i/>
      <w:color w:val="918585"/>
      <w:sz w:val="22"/>
    </w:rPr>
  </w:style>
  <w:style w:type="paragraph" w:customStyle="1" w:styleId="TableBodyText">
    <w:name w:val="Table Body Text"/>
    <w:basedOn w:val="BodyText"/>
    <w:rsid w:val="000663E3"/>
    <w:pPr>
      <w:spacing w:before="60" w:after="60"/>
    </w:pPr>
  </w:style>
  <w:style w:type="paragraph" w:styleId="ListContinue">
    <w:name w:val="List Continue"/>
    <w:basedOn w:val="List"/>
    <w:rsid w:val="000663E3"/>
    <w:pPr>
      <w:ind w:firstLine="0"/>
    </w:pPr>
  </w:style>
  <w:style w:type="paragraph" w:customStyle="1" w:styleId="ListNote">
    <w:name w:val="List Note"/>
    <w:basedOn w:val="List"/>
    <w:rsid w:val="000663E3"/>
    <w:pPr>
      <w:pBdr>
        <w:top w:val="single" w:sz="6" w:space="2" w:color="918585"/>
        <w:bottom w:val="single" w:sz="6" w:space="2" w:color="918585"/>
      </w:pBdr>
      <w:tabs>
        <w:tab w:val="left" w:pos="1021"/>
      </w:tabs>
      <w:ind w:firstLine="0"/>
    </w:pPr>
  </w:style>
  <w:style w:type="paragraph" w:customStyle="1" w:styleId="Warning">
    <w:name w:val="Warning"/>
    <w:basedOn w:val="BodyText"/>
    <w:rsid w:val="000663E3"/>
    <w:pPr>
      <w:shd w:val="clear" w:color="auto" w:fill="D9D9D9"/>
      <w:tabs>
        <w:tab w:val="left" w:pos="992"/>
      </w:tabs>
      <w:ind w:left="119" w:right="119"/>
    </w:pPr>
    <w:rPr>
      <w:sz w:val="20"/>
    </w:rPr>
  </w:style>
  <w:style w:type="paragraph" w:customStyle="1" w:styleId="MarginIcons">
    <w:name w:val="Margin Icons"/>
    <w:basedOn w:val="BodyText"/>
    <w:rsid w:val="00066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3E3"/>
    <w:rPr>
      <w:rFonts w:ascii="Courier New" w:hAnsi="Courier New"/>
    </w:rPr>
  </w:style>
  <w:style w:type="paragraph" w:customStyle="1" w:styleId="NoteBullet">
    <w:name w:val="Note Bullet"/>
    <w:basedOn w:val="Note"/>
    <w:rsid w:val="000663E3"/>
    <w:pPr>
      <w:tabs>
        <w:tab w:val="clear" w:pos="680"/>
      </w:tabs>
      <w:spacing w:before="60" w:after="60"/>
    </w:pPr>
  </w:style>
  <w:style w:type="paragraph" w:customStyle="1" w:styleId="SubHeading2">
    <w:name w:val="SubHeading2"/>
    <w:basedOn w:val="HeadingBase"/>
    <w:rsid w:val="000663E3"/>
    <w:pPr>
      <w:spacing w:before="240" w:after="60"/>
    </w:pPr>
    <w:rPr>
      <w:sz w:val="20"/>
    </w:rPr>
  </w:style>
  <w:style w:type="paragraph" w:customStyle="1" w:styleId="SubHeading1">
    <w:name w:val="SubHeading1"/>
    <w:basedOn w:val="HeadingBase"/>
    <w:rsid w:val="000663E3"/>
    <w:pPr>
      <w:spacing w:before="240" w:after="60"/>
    </w:pPr>
    <w:rPr>
      <w:color w:val="918585"/>
      <w:sz w:val="22"/>
    </w:rPr>
  </w:style>
  <w:style w:type="paragraph" w:customStyle="1" w:styleId="SideHeading">
    <w:name w:val="Side Heading"/>
    <w:basedOn w:val="HeadingBase"/>
    <w:rsid w:val="00066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3E3"/>
    <w:pPr>
      <w:numPr>
        <w:numId w:val="12"/>
      </w:numPr>
    </w:pPr>
  </w:style>
  <w:style w:type="paragraph" w:styleId="PlainText">
    <w:name w:val="Plain Text"/>
    <w:basedOn w:val="Normal"/>
    <w:link w:val="PlainTextChar"/>
    <w:rsid w:val="000663E3"/>
    <w:rPr>
      <w:sz w:val="20"/>
    </w:rPr>
  </w:style>
  <w:style w:type="character" w:customStyle="1" w:styleId="PlainTextChar">
    <w:name w:val="Plain Text Char"/>
    <w:basedOn w:val="DefaultParagraphFont"/>
    <w:link w:val="PlainText"/>
    <w:rsid w:val="000663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63E3"/>
    <w:rPr>
      <w:b/>
      <w:smallCaps/>
    </w:rPr>
  </w:style>
  <w:style w:type="paragraph" w:customStyle="1" w:styleId="TableListNumber">
    <w:name w:val="Table List Number"/>
    <w:basedOn w:val="ListNumber"/>
    <w:rsid w:val="000663E3"/>
    <w:pPr>
      <w:numPr>
        <w:numId w:val="0"/>
      </w:numPr>
    </w:pPr>
  </w:style>
  <w:style w:type="paragraph" w:styleId="TOC4">
    <w:name w:val="toc 4"/>
    <w:basedOn w:val="TOCBase"/>
    <w:next w:val="Normal"/>
    <w:semiHidden/>
    <w:rsid w:val="000663E3"/>
    <w:pPr>
      <w:tabs>
        <w:tab w:val="right" w:leader="dot" w:pos="9071"/>
      </w:tabs>
      <w:ind w:left="1701"/>
    </w:pPr>
  </w:style>
  <w:style w:type="paragraph" w:customStyle="1" w:styleId="ListAlpha">
    <w:name w:val="List Alpha"/>
    <w:basedOn w:val="List"/>
    <w:rsid w:val="000663E3"/>
    <w:pPr>
      <w:numPr>
        <w:numId w:val="9"/>
      </w:numPr>
    </w:pPr>
  </w:style>
  <w:style w:type="paragraph" w:customStyle="1" w:styleId="ListAlpha2">
    <w:name w:val="List Alpha 2"/>
    <w:basedOn w:val="List2"/>
    <w:rsid w:val="000663E3"/>
    <w:pPr>
      <w:numPr>
        <w:numId w:val="8"/>
      </w:numPr>
    </w:pPr>
  </w:style>
  <w:style w:type="paragraph" w:styleId="List3">
    <w:name w:val="List 3"/>
    <w:basedOn w:val="BodyText"/>
    <w:rsid w:val="000663E3"/>
    <w:pPr>
      <w:tabs>
        <w:tab w:val="left" w:pos="1021"/>
      </w:tabs>
      <w:spacing w:before="60" w:after="60"/>
      <w:ind w:left="1020" w:hanging="340"/>
    </w:pPr>
  </w:style>
  <w:style w:type="paragraph" w:styleId="List4">
    <w:name w:val="List 4"/>
    <w:basedOn w:val="BodyText"/>
    <w:rsid w:val="000663E3"/>
    <w:pPr>
      <w:tabs>
        <w:tab w:val="left" w:pos="1361"/>
      </w:tabs>
      <w:spacing w:before="60" w:after="60"/>
      <w:ind w:left="1361" w:hanging="340"/>
    </w:pPr>
  </w:style>
  <w:style w:type="paragraph" w:styleId="List5">
    <w:name w:val="List 5"/>
    <w:basedOn w:val="BodyText"/>
    <w:rsid w:val="000663E3"/>
    <w:pPr>
      <w:tabs>
        <w:tab w:val="left" w:pos="1701"/>
      </w:tabs>
      <w:spacing w:before="60" w:after="60"/>
      <w:ind w:left="1701" w:hanging="340"/>
    </w:pPr>
  </w:style>
  <w:style w:type="paragraph" w:styleId="ListBullet3">
    <w:name w:val="List Bullet 3"/>
    <w:basedOn w:val="List3"/>
    <w:rsid w:val="000663E3"/>
    <w:pPr>
      <w:numPr>
        <w:numId w:val="15"/>
      </w:numPr>
      <w:tabs>
        <w:tab w:val="clear" w:pos="1021"/>
      </w:tabs>
      <w:ind w:left="1037" w:hanging="357"/>
    </w:pPr>
  </w:style>
  <w:style w:type="paragraph" w:styleId="ListBullet4">
    <w:name w:val="List Bullet 4"/>
    <w:basedOn w:val="List4"/>
    <w:rsid w:val="000663E3"/>
    <w:pPr>
      <w:numPr>
        <w:numId w:val="3"/>
      </w:numPr>
    </w:pPr>
  </w:style>
  <w:style w:type="paragraph" w:styleId="ListBullet5">
    <w:name w:val="List Bullet 5"/>
    <w:basedOn w:val="List5"/>
    <w:rsid w:val="000663E3"/>
    <w:pPr>
      <w:numPr>
        <w:numId w:val="4"/>
      </w:numPr>
    </w:pPr>
  </w:style>
  <w:style w:type="paragraph" w:styleId="ListContinue2">
    <w:name w:val="List Continue 2"/>
    <w:basedOn w:val="List2"/>
    <w:rsid w:val="000663E3"/>
    <w:pPr>
      <w:ind w:firstLine="0"/>
    </w:pPr>
  </w:style>
  <w:style w:type="paragraph" w:styleId="ListContinue3">
    <w:name w:val="List Continue 3"/>
    <w:basedOn w:val="List3"/>
    <w:rsid w:val="000663E3"/>
    <w:pPr>
      <w:ind w:left="1021" w:firstLine="0"/>
    </w:pPr>
  </w:style>
  <w:style w:type="paragraph" w:styleId="ListContinue4">
    <w:name w:val="List Continue 4"/>
    <w:basedOn w:val="List4"/>
    <w:rsid w:val="000663E3"/>
    <w:pPr>
      <w:ind w:firstLine="0"/>
    </w:pPr>
  </w:style>
  <w:style w:type="paragraph" w:styleId="ListContinue5">
    <w:name w:val="List Continue 5"/>
    <w:basedOn w:val="List5"/>
    <w:rsid w:val="000663E3"/>
    <w:pPr>
      <w:ind w:firstLine="0"/>
    </w:pPr>
  </w:style>
  <w:style w:type="paragraph" w:styleId="ListNumber3">
    <w:name w:val="List Number 3"/>
    <w:basedOn w:val="List3"/>
    <w:rsid w:val="000663E3"/>
    <w:pPr>
      <w:numPr>
        <w:numId w:val="5"/>
      </w:numPr>
    </w:pPr>
  </w:style>
  <w:style w:type="paragraph" w:styleId="ListNumber4">
    <w:name w:val="List Number 4"/>
    <w:basedOn w:val="List4"/>
    <w:rsid w:val="000663E3"/>
    <w:pPr>
      <w:numPr>
        <w:numId w:val="6"/>
      </w:numPr>
    </w:pPr>
  </w:style>
  <w:style w:type="paragraph" w:styleId="ListNumber5">
    <w:name w:val="List Number 5"/>
    <w:basedOn w:val="List5"/>
    <w:rsid w:val="000663E3"/>
    <w:pPr>
      <w:numPr>
        <w:numId w:val="7"/>
      </w:numPr>
    </w:pPr>
  </w:style>
  <w:style w:type="paragraph" w:styleId="BlockText">
    <w:name w:val="Block Text"/>
    <w:basedOn w:val="Normal"/>
    <w:rsid w:val="000663E3"/>
    <w:pPr>
      <w:spacing w:after="120"/>
      <w:ind w:left="1440" w:right="1440"/>
    </w:pPr>
  </w:style>
  <w:style w:type="character" w:customStyle="1" w:styleId="Subscript">
    <w:name w:val="Subscript"/>
    <w:basedOn w:val="DefaultParagraphFont"/>
    <w:rsid w:val="000663E3"/>
    <w:rPr>
      <w:sz w:val="16"/>
      <w:vertAlign w:val="subscript"/>
    </w:rPr>
  </w:style>
  <w:style w:type="character" w:customStyle="1" w:styleId="Superscript">
    <w:name w:val="Superscript"/>
    <w:basedOn w:val="DefaultParagraphFont"/>
    <w:rsid w:val="000663E3"/>
    <w:rPr>
      <w:sz w:val="16"/>
      <w:vertAlign w:val="superscript"/>
    </w:rPr>
  </w:style>
  <w:style w:type="character" w:customStyle="1" w:styleId="Symbols">
    <w:name w:val="Symbols"/>
    <w:basedOn w:val="DefaultParagraphFont"/>
    <w:rsid w:val="000663E3"/>
    <w:rPr>
      <w:rFonts w:ascii="Symbol" w:hAnsi="Symbol"/>
    </w:rPr>
  </w:style>
  <w:style w:type="character" w:customStyle="1" w:styleId="MenuOptions">
    <w:name w:val="Menu Options"/>
    <w:basedOn w:val="DefaultParagraphFont"/>
    <w:rsid w:val="000663E3"/>
    <w:rPr>
      <w:rFonts w:ascii="Arial Narrow" w:hAnsi="Arial Narrow"/>
      <w:smallCaps/>
    </w:rPr>
  </w:style>
  <w:style w:type="character" w:customStyle="1" w:styleId="Buttons">
    <w:name w:val="Buttons"/>
    <w:basedOn w:val="DefaultParagraphFont"/>
    <w:rsid w:val="000663E3"/>
    <w:rPr>
      <w:b/>
    </w:rPr>
  </w:style>
  <w:style w:type="character" w:customStyle="1" w:styleId="Underlined">
    <w:name w:val="Underlined"/>
    <w:basedOn w:val="DefaultParagraphFont"/>
    <w:rsid w:val="000663E3"/>
    <w:rPr>
      <w:u w:val="single"/>
    </w:rPr>
  </w:style>
  <w:style w:type="paragraph" w:customStyle="1" w:styleId="TableBodyTextRight">
    <w:name w:val="Table Body Text Right"/>
    <w:basedOn w:val="TableBodyText"/>
    <w:rsid w:val="000663E3"/>
    <w:pPr>
      <w:widowControl w:val="0"/>
      <w:autoSpaceDE w:val="0"/>
      <w:autoSpaceDN w:val="0"/>
      <w:adjustRightInd w:val="0"/>
      <w:jc w:val="right"/>
    </w:pPr>
    <w:rPr>
      <w:rFonts w:cs="Arial"/>
      <w:szCs w:val="18"/>
    </w:rPr>
  </w:style>
  <w:style w:type="paragraph" w:customStyle="1" w:styleId="CopyrightText">
    <w:name w:val="Copyright Text"/>
    <w:basedOn w:val="BodyText"/>
    <w:rsid w:val="000663E3"/>
    <w:rPr>
      <w:sz w:val="18"/>
    </w:rPr>
  </w:style>
  <w:style w:type="paragraph" w:customStyle="1" w:styleId="BodySmallRight">
    <w:name w:val="Body Small Right"/>
    <w:basedOn w:val="BodyTextRight"/>
    <w:rsid w:val="000663E3"/>
    <w:rPr>
      <w:sz w:val="18"/>
      <w:szCs w:val="18"/>
    </w:rPr>
  </w:style>
  <w:style w:type="paragraph" w:customStyle="1" w:styleId="MarginEdition">
    <w:name w:val="Margin Edition"/>
    <w:basedOn w:val="MarginNote"/>
    <w:rsid w:val="000663E3"/>
    <w:pPr>
      <w:spacing w:before="0" w:after="0"/>
    </w:pPr>
    <w:rPr>
      <w:rFonts w:ascii="Times New Roman" w:hAnsi="Times New Roman"/>
      <w:color w:val="999999"/>
    </w:rPr>
  </w:style>
  <w:style w:type="paragraph" w:customStyle="1" w:styleId="Spacer">
    <w:name w:val="Spacer"/>
    <w:basedOn w:val="Normal"/>
    <w:rsid w:val="000663E3"/>
    <w:rPr>
      <w:sz w:val="2"/>
      <w:szCs w:val="2"/>
    </w:rPr>
  </w:style>
  <w:style w:type="character" w:customStyle="1" w:styleId="Small">
    <w:name w:val="Small"/>
    <w:basedOn w:val="DefaultParagraphFont"/>
    <w:rsid w:val="000663E3"/>
    <w:rPr>
      <w:sz w:val="16"/>
    </w:rPr>
  </w:style>
  <w:style w:type="paragraph" w:customStyle="1" w:styleId="WideTable">
    <w:name w:val="Wide Table"/>
    <w:basedOn w:val="Normal"/>
    <w:rsid w:val="000663E3"/>
    <w:pPr>
      <w:ind w:left="-1418"/>
    </w:pPr>
    <w:rPr>
      <w:sz w:val="2"/>
      <w:szCs w:val="2"/>
    </w:rPr>
  </w:style>
  <w:style w:type="character" w:styleId="PageNumber">
    <w:name w:val="page number"/>
    <w:basedOn w:val="DefaultParagraphFont"/>
    <w:rsid w:val="000663E3"/>
  </w:style>
  <w:style w:type="paragraph" w:styleId="Quote">
    <w:name w:val="Quote"/>
    <w:basedOn w:val="Heading1"/>
    <w:link w:val="QuoteChar"/>
    <w:qFormat/>
    <w:rsid w:val="000663E3"/>
    <w:rPr>
      <w:b w:val="0"/>
      <w:sz w:val="72"/>
      <w:szCs w:val="72"/>
      <w:lang w:val="en-NZ"/>
    </w:rPr>
  </w:style>
  <w:style w:type="character" w:customStyle="1" w:styleId="QuoteChar">
    <w:name w:val="Quote Char"/>
    <w:basedOn w:val="DefaultParagraphFont"/>
    <w:link w:val="Quote"/>
    <w:rsid w:val="00066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3E3"/>
    <w:pPr>
      <w:pageBreakBefore/>
    </w:pPr>
  </w:style>
  <w:style w:type="paragraph" w:customStyle="1" w:styleId="Border">
    <w:name w:val="Border"/>
    <w:basedOn w:val="Normal"/>
    <w:qFormat/>
    <w:rsid w:val="00066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3E3"/>
    <w:rPr>
      <w:b/>
      <w:bCs/>
      <w:i/>
      <w:iCs/>
      <w:color w:val="auto"/>
    </w:rPr>
  </w:style>
  <w:style w:type="paragraph" w:styleId="IntenseQuote">
    <w:name w:val="Intense Quote"/>
    <w:basedOn w:val="Normal"/>
    <w:next w:val="Normal"/>
    <w:link w:val="IntenseQuoteChar"/>
    <w:uiPriority w:val="30"/>
    <w:qFormat/>
    <w:rsid w:val="00066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3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63E3"/>
    <w:rPr>
      <w:smallCaps/>
      <w:color w:val="auto"/>
      <w:u w:val="single"/>
    </w:rPr>
  </w:style>
  <w:style w:type="character" w:styleId="IntenseReference">
    <w:name w:val="Intense Reference"/>
    <w:basedOn w:val="DefaultParagraphFont"/>
    <w:uiPriority w:val="32"/>
    <w:qFormat/>
    <w:rsid w:val="000663E3"/>
    <w:rPr>
      <w:b/>
      <w:bCs/>
      <w:smallCaps/>
      <w:color w:val="auto"/>
      <w:spacing w:val="5"/>
      <w:u w:val="single"/>
    </w:rPr>
  </w:style>
  <w:style w:type="paragraph" w:customStyle="1" w:styleId="2ColumnHeading">
    <w:name w:val="2Column Heading"/>
    <w:basedOn w:val="BodyText"/>
    <w:qFormat/>
    <w:rsid w:val="000663E3"/>
    <w:pPr>
      <w:spacing w:after="60"/>
      <w:ind w:left="-2268"/>
    </w:pPr>
    <w:rPr>
      <w:b/>
    </w:rPr>
  </w:style>
  <w:style w:type="paragraph" w:customStyle="1" w:styleId="Heading1TOC">
    <w:name w:val="Heading1 TOC"/>
    <w:basedOn w:val="Normal"/>
    <w:qFormat/>
    <w:rsid w:val="000663E3"/>
    <w:pPr>
      <w:spacing w:before="240" w:after="120"/>
    </w:pPr>
    <w:rPr>
      <w:rFonts w:ascii="Times New Roman" w:hAnsi="Times New Roman"/>
      <w:b/>
      <w:sz w:val="32"/>
    </w:rPr>
  </w:style>
  <w:style w:type="paragraph" w:customStyle="1" w:styleId="Heading2TOC">
    <w:name w:val="Heading2 TOC"/>
    <w:basedOn w:val="Normal"/>
    <w:qFormat/>
    <w:rsid w:val="000663E3"/>
    <w:pPr>
      <w:spacing w:before="240" w:after="60"/>
    </w:pPr>
    <w:rPr>
      <w:rFonts w:ascii="Times New Roman" w:hAnsi="Times New Roman"/>
      <w:b/>
      <w:sz w:val="28"/>
    </w:rPr>
  </w:style>
  <w:style w:type="character" w:customStyle="1" w:styleId="Underline">
    <w:name w:val="Underline"/>
    <w:basedOn w:val="DefaultParagraphFont"/>
    <w:qFormat/>
    <w:rsid w:val="000663E3"/>
    <w:rPr>
      <w:u w:val="single"/>
    </w:rPr>
  </w:style>
  <w:style w:type="paragraph" w:styleId="BalloonText">
    <w:name w:val="Balloon Text"/>
    <w:basedOn w:val="Normal"/>
    <w:link w:val="BalloonTextChar"/>
    <w:rsid w:val="000663E3"/>
    <w:rPr>
      <w:rFonts w:ascii="Tahoma" w:hAnsi="Tahoma" w:cs="Tahoma"/>
      <w:sz w:val="16"/>
      <w:szCs w:val="16"/>
    </w:rPr>
  </w:style>
  <w:style w:type="character" w:customStyle="1" w:styleId="BalloonTextChar">
    <w:name w:val="Balloon Text Char"/>
    <w:basedOn w:val="DefaultParagraphFont"/>
    <w:link w:val="BalloonText"/>
    <w:rsid w:val="000663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6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3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1245</Words>
  <Characters>8137</Characters>
  <Application>Microsoft Office Word</Application>
  <DocSecurity>0</DocSecurity>
  <Lines>302</Lines>
  <Paragraphs>163</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FNSACC609A Evaluate financial risk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2012-05-26T16:13:00Z</dcterms:modified>
</cp:coreProperties>
</file>