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663" w:rsidP="00210663">
      <w:pPr>
        <w:pStyle w:val="Title"/>
      </w:pPr>
      <w:r>
        <w:fldChar w:fldCharType="begin"/>
      </w:r>
      <w:r>
        <w:instrText xml:space="preserve"> TITLE   \* MERGEFORMAT </w:instrText>
      </w:r>
      <w:r>
        <w:fldChar w:fldCharType="separate"/>
      </w:r>
      <w:r>
        <w:t>FNSACC608A Evaluate organisation's financial performance</w:t>
      </w:r>
      <w:r>
        <w:fldChar w:fldCharType="end"/>
      </w:r>
    </w:p>
    <w:p w:rsidR="00210663" w:rsidP="00210663">
      <w:pPr>
        <w:pStyle w:val="Version"/>
        <w:sectPr w:rsidSect="00421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16AE" w:rsidP="004216AE">
      <w:pPr>
        <w:pStyle w:val="SuperHeading"/>
      </w:pPr>
      <w:r w:rsidRPr="004216AE">
        <w:t>FNSACC608A Evaluate organisation's financial performance</w:t>
      </w:r>
    </w:p>
    <w:p w:rsidR="00000000" w:rsidRPr="004216AE" w:rsidP="004216AE">
      <w:pPr>
        <w:pStyle w:val="SuperHeading"/>
      </w:pPr>
    </w:p>
    <w:p w:rsidR="00000000" w:rsidRPr="004216AE" w:rsidP="004216AE">
      <w:pPr>
        <w:pStyle w:val="Heading1"/>
      </w:pPr>
      <w:bookmarkStart w:id="1" w:name="O_77247"/>
      <w:bookmarkEnd w:id="1"/>
      <w:r w:rsidRPr="004216AE">
        <w:t>Modification History</w:t>
      </w:r>
    </w:p>
    <w:p w:rsidR="00000000" w:rsidRPr="004216AE" w:rsidP="004216AE">
      <w:pPr>
        <w:pStyle w:val="BodyText"/>
      </w:pPr>
      <w:r w:rsidRPr="004216AE">
        <w:t>Not applicable.</w:t>
      </w:r>
    </w:p>
    <w:p w:rsidR="00000000" w:rsidRPr="004216AE" w:rsidP="004216AE">
      <w:pPr>
        <w:pStyle w:val="AllowPageBreak"/>
      </w:pPr>
    </w:p>
    <w:p w:rsidR="00000000" w:rsidRPr="004216AE" w:rsidP="004216AE">
      <w:pPr>
        <w:pStyle w:val="Heading1"/>
      </w:pPr>
      <w:bookmarkStart w:id="2" w:name="O_77248"/>
      <w:bookmarkEnd w:id="2"/>
      <w:r w:rsidRPr="004216AE">
        <w:t>Unit Descriptor</w:t>
      </w:r>
    </w:p>
    <w:tbl>
      <w:tblPr>
        <w:tblW w:w="0" w:type="auto"/>
        <w:tblLayout w:type="fixed"/>
        <w:tblCellMar>
          <w:left w:w="62" w:type="dxa"/>
          <w:right w:w="62" w:type="dxa"/>
        </w:tblCellMar>
        <w:tblLook w:val="0000"/>
      </w:tblPr>
      <w:tblGrid>
        <w:gridCol w:w="2635"/>
        <w:gridCol w:w="5887"/>
      </w:tblGrid>
      <w:tr w:rsidTr="0021066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 xml:space="preserve">This unit describes the performance outcomes, skills and knowledge required to evaluate returns </w:t>
            </w:r>
            <w:r w:rsidRPr="004216AE">
              <w:t>to operations, determine short-term and long-term needs and evaluate an organisation's financial position and performance.</w:t>
            </w:r>
          </w:p>
          <w:p w:rsidR="00000000" w:rsidRPr="004216AE" w:rsidP="004216AE">
            <w:pPr>
              <w:pStyle w:val="BodyText"/>
            </w:pPr>
          </w:p>
          <w:p w:rsidR="00000000" w:rsidRPr="004216AE" w:rsidP="004216AE">
            <w:pPr>
              <w:pStyle w:val="BodyText"/>
            </w:pPr>
            <w:r w:rsidRPr="004216AE">
              <w:t xml:space="preserve">This unit may apply to job roles subject to licensing, legislative, regulatory or certification requirements so Commonwealth, State </w:t>
            </w:r>
            <w:r w:rsidRPr="004216AE">
              <w:t>or Territory requirements should be confirmed with the relevant body.</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3" w:name="O_77249"/>
      <w:bookmarkEnd w:id="3"/>
      <w:r w:rsidRPr="004216AE">
        <w:t>Application of the Unit</w:t>
      </w:r>
    </w:p>
    <w:tbl>
      <w:tblPr>
        <w:tblW w:w="0" w:type="auto"/>
        <w:tblLayout w:type="fixed"/>
        <w:tblCellMar>
          <w:left w:w="62" w:type="dxa"/>
          <w:right w:w="62" w:type="dxa"/>
        </w:tblCellMar>
        <w:tblLook w:val="0000"/>
      </w:tblPr>
      <w:tblGrid>
        <w:gridCol w:w="2720"/>
        <w:gridCol w:w="5802"/>
      </w:tblGrid>
      <w:tr w:rsidTr="0021066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This unit can be applied to all sectors within the financial services industry and has application to job functions that have responsibility for determining the organisation's financial performance such as an accountant.</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4" w:name="O_77250"/>
      <w:bookmarkEnd w:id="4"/>
      <w:r w:rsidRPr="004216AE">
        <w:t>Licensing/Regulato</w:t>
      </w:r>
      <w:r w:rsidRPr="004216AE">
        <w:t>ry Information</w:t>
      </w:r>
    </w:p>
    <w:p w:rsidR="00000000" w:rsidRPr="004216AE" w:rsidP="004216AE">
      <w:pPr>
        <w:pStyle w:val="BodyText"/>
      </w:pPr>
      <w:r w:rsidRPr="004216AE">
        <w:t>Not applicable.</w:t>
      </w:r>
    </w:p>
    <w:p w:rsidR="00000000" w:rsidRPr="004216AE" w:rsidP="004216AE">
      <w:pPr>
        <w:pStyle w:val="AllowPageBreak"/>
      </w:pPr>
    </w:p>
    <w:p w:rsidR="00000000" w:rsidRPr="004216AE" w:rsidP="004216AE">
      <w:pPr>
        <w:pStyle w:val="Heading1"/>
      </w:pPr>
      <w:bookmarkStart w:id="5" w:name="O_77251"/>
      <w:bookmarkEnd w:id="5"/>
      <w:r w:rsidRPr="004216AE">
        <w:t>Pre-Requisites</w:t>
      </w:r>
    </w:p>
    <w:tbl>
      <w:tblPr>
        <w:tblW w:w="0" w:type="auto"/>
        <w:tblLayout w:type="fixed"/>
        <w:tblCellMar>
          <w:left w:w="62" w:type="dxa"/>
          <w:right w:w="62" w:type="dxa"/>
        </w:tblCellMar>
        <w:tblLook w:val="0000"/>
      </w:tblPr>
      <w:tblGrid>
        <w:gridCol w:w="2615"/>
        <w:gridCol w:w="2342"/>
        <w:gridCol w:w="3565"/>
      </w:tblGrid>
      <w:tr w:rsidTr="0021066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Prerequisite units</w:t>
            </w:r>
          </w:p>
        </w:tc>
        <w:tc>
          <w:tcPr>
            <w:tcW w:w="59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p>
        </w:tc>
      </w:tr>
      <w:tr w:rsidTr="0021066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t>FNSACC503A</w:t>
            </w:r>
          </w:p>
        </w:tc>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t>Manage budgets and forecasts</w:t>
            </w:r>
          </w:p>
        </w:tc>
      </w:tr>
      <w:tr w:rsidTr="00210663">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6" w:name="O_77252"/>
      <w:bookmarkEnd w:id="6"/>
      <w:r w:rsidRPr="004216AE">
        <w:t>Employability Skills Information</w:t>
      </w:r>
    </w:p>
    <w:tbl>
      <w:tblPr>
        <w:tblW w:w="0" w:type="auto"/>
        <w:tblLayout w:type="fixed"/>
        <w:tblCellMar>
          <w:left w:w="62" w:type="dxa"/>
          <w:right w:w="62" w:type="dxa"/>
        </w:tblCellMar>
        <w:tblLook w:val="0000"/>
      </w:tblPr>
      <w:tblGrid>
        <w:gridCol w:w="2762"/>
        <w:gridCol w:w="5760"/>
      </w:tblGrid>
      <w:tr w:rsidTr="0021066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This unit contains employability skills.</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7" w:name="O_77253"/>
      <w:bookmarkEnd w:id="7"/>
      <w:r w:rsidRPr="004216AE">
        <w:t>Elements and Performance Criteria Pre-Content</w:t>
      </w:r>
    </w:p>
    <w:tbl>
      <w:tblPr>
        <w:tblW w:w="0" w:type="auto"/>
        <w:tblLayout w:type="fixed"/>
        <w:tblCellMar>
          <w:left w:w="62" w:type="dxa"/>
          <w:right w:w="62" w:type="dxa"/>
        </w:tblCellMar>
        <w:tblLook w:val="0000"/>
      </w:tblPr>
      <w:tblGrid>
        <w:gridCol w:w="2556"/>
        <w:gridCol w:w="5966"/>
      </w:tblGrid>
      <w:tr w:rsidTr="0021066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Performance criteria describe the performance needed to demonstrate achievement of the element. Where bold italicised text is used, furth</w:t>
            </w:r>
            <w:r w:rsidRPr="004216AE">
              <w:t>er information is detailed in the required skills and knowledge section and the range statement. Assessment of performance is to be consistent with the evidence guide.</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8" w:name="O_77254"/>
      <w:bookmarkEnd w:id="8"/>
      <w:r w:rsidRPr="004216AE">
        <w:t>Elements and Performance Criteria</w:t>
      </w:r>
    </w:p>
    <w:tbl>
      <w:tblPr>
        <w:tblW w:w="0" w:type="auto"/>
        <w:tblLayout w:type="fixed"/>
        <w:tblCellMar>
          <w:left w:w="62" w:type="dxa"/>
          <w:right w:w="62" w:type="dxa"/>
        </w:tblCellMar>
        <w:tblLook w:val="0000"/>
      </w:tblPr>
      <w:tblGrid>
        <w:gridCol w:w="2556"/>
        <w:gridCol w:w="5966"/>
      </w:tblGrid>
      <w:tr w:rsidTr="00210663">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PERFORMANCE CRITERIA</w:t>
            </w:r>
          </w:p>
        </w:tc>
      </w:tr>
      <w:tr w:rsidTr="0021066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List"/>
              <w:rPr>
                <w:lang w:val="en-NZ"/>
              </w:rPr>
            </w:pPr>
            <w:r w:rsidRPr="004216AE">
              <w:t>1.</w:t>
            </w:r>
            <w:r w:rsidRPr="004216AE">
              <w:tab/>
            </w:r>
            <w:r w:rsidRPr="004216AE">
              <w:t>Evaluate returns to operations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2"/>
            </w:pPr>
            <w:r w:rsidRPr="004216AE">
              <w:t>1.1.</w:t>
            </w:r>
            <w:r w:rsidRPr="004216AE">
              <w:tab/>
              <w:t>Cash flow and profitability patterns are trended to identify current position and expected returns from investments and projected operations</w:t>
            </w:r>
          </w:p>
          <w:p w:rsidR="00000000" w:rsidRPr="004216AE" w:rsidP="004216AE">
            <w:pPr>
              <w:pStyle w:val="List2"/>
            </w:pPr>
            <w:r w:rsidRPr="004216AE">
              <w:t>1.2.</w:t>
            </w:r>
            <w:r w:rsidRPr="004216AE">
              <w:tab/>
              <w:t xml:space="preserve">Averaged returns are disaggregated to assess </w:t>
            </w:r>
            <w:r w:rsidRPr="004216AE">
              <w:rPr>
                <w:rStyle w:val="BoldandItalics"/>
              </w:rPr>
              <w:t>strengths and weaknesses</w:t>
            </w:r>
            <w:r w:rsidRPr="004216AE">
              <w:t xml:space="preserve"> in o</w:t>
            </w:r>
            <w:r w:rsidRPr="004216AE">
              <w:t>rganisational performance</w:t>
            </w:r>
          </w:p>
          <w:p w:rsidR="00000000" w:rsidP="004216AE">
            <w:pPr>
              <w:pStyle w:val="List2"/>
              <w:rPr>
                <w:lang w:val="en-NZ"/>
              </w:rPr>
            </w:pPr>
            <w:r w:rsidRPr="004216AE">
              <w:t>1.3.</w:t>
            </w:r>
            <w:r w:rsidRPr="004216AE">
              <w:tab/>
              <w:t>Investment returns are evaluated against risk, profit and capital budget requirements</w:t>
            </w:r>
          </w:p>
        </w:tc>
      </w:tr>
      <w:tr w:rsidTr="0021066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List"/>
              <w:rPr>
                <w:lang w:val="en-NZ"/>
              </w:rPr>
            </w:pPr>
            <w:r w:rsidRPr="004216AE">
              <w:t>2.</w:t>
            </w:r>
            <w:r w:rsidRPr="004216AE">
              <w:tab/>
              <w:t>Determine short-term and long-term needs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2"/>
            </w:pPr>
            <w:r w:rsidRPr="004216AE">
              <w:t>2.1.</w:t>
            </w:r>
            <w:r w:rsidRPr="004216AE">
              <w:tab/>
              <w:t xml:space="preserve">Resources required by organisation to meet </w:t>
            </w:r>
            <w:r w:rsidRPr="004216AE">
              <w:rPr>
                <w:rStyle w:val="BoldandItalics"/>
              </w:rPr>
              <w:t>short</w:t>
            </w:r>
            <w:r w:rsidRPr="004216AE">
              <w:t>-</w:t>
            </w:r>
            <w:r w:rsidRPr="004216AE">
              <w:rPr>
                <w:rStyle w:val="BoldandItalics"/>
              </w:rPr>
              <w:t>term and long</w:t>
            </w:r>
            <w:r w:rsidRPr="004216AE">
              <w:t>-</w:t>
            </w:r>
            <w:r w:rsidRPr="004216AE">
              <w:rPr>
                <w:rStyle w:val="BoldandItalics"/>
              </w:rPr>
              <w:t>term obligations</w:t>
            </w:r>
            <w:r w:rsidRPr="004216AE">
              <w:t xml:space="preserve"> are ident</w:t>
            </w:r>
            <w:r w:rsidRPr="004216AE">
              <w:t xml:space="preserve">ified and costed using </w:t>
            </w:r>
            <w:r w:rsidRPr="004216AE">
              <w:rPr>
                <w:rStyle w:val="BoldandItalics"/>
              </w:rPr>
              <w:t>standard financial analysis techniques</w:t>
            </w:r>
          </w:p>
          <w:p w:rsidR="00000000" w:rsidRPr="004216AE" w:rsidP="004216AE">
            <w:pPr>
              <w:pStyle w:val="List2"/>
            </w:pPr>
            <w:r w:rsidRPr="004216AE">
              <w:t>2.2.</w:t>
            </w:r>
            <w:r w:rsidRPr="004216AE">
              <w:tab/>
            </w:r>
            <w:r w:rsidRPr="004216AE">
              <w:rPr>
                <w:rStyle w:val="BoldandItalics"/>
              </w:rPr>
              <w:t>Financial priorities</w:t>
            </w:r>
            <w:r w:rsidRPr="004216AE">
              <w:t xml:space="preserve"> are established and reviewed based on reported performance and identified trends, organisational objectives and expected returns to operations and </w:t>
            </w:r>
            <w:r w:rsidRPr="004216AE">
              <w:rPr>
                <w:rStyle w:val="BoldandItalics"/>
              </w:rPr>
              <w:t>investments</w:t>
            </w:r>
          </w:p>
          <w:p w:rsidR="00000000" w:rsidRPr="004216AE" w:rsidP="004216AE">
            <w:pPr>
              <w:pStyle w:val="List2"/>
            </w:pPr>
            <w:r w:rsidRPr="004216AE">
              <w:t>2.3.</w:t>
            </w:r>
            <w:r w:rsidRPr="004216AE">
              <w:tab/>
            </w:r>
            <w:r w:rsidRPr="004216AE">
              <w:rPr>
                <w:rStyle w:val="BoldandItalics"/>
              </w:rPr>
              <w:t>Fina</w:t>
            </w:r>
            <w:r w:rsidRPr="004216AE">
              <w:rPr>
                <w:rStyle w:val="BoldandItalics"/>
              </w:rPr>
              <w:t>ncial options</w:t>
            </w:r>
            <w:r w:rsidRPr="004216AE">
              <w:t xml:space="preserve"> are reviewed and analysis of a range of possible </w:t>
            </w:r>
            <w:r w:rsidRPr="004216AE">
              <w:rPr>
                <w:rStyle w:val="BoldandItalics"/>
              </w:rPr>
              <w:t>assets and liabilities</w:t>
            </w:r>
            <w:r w:rsidRPr="004216AE">
              <w:t xml:space="preserve"> to optimise the capital mix is conducted to support operations and trading need</w:t>
            </w:r>
          </w:p>
          <w:p w:rsidR="00000000" w:rsidRPr="004216AE" w:rsidP="004216AE">
            <w:pPr>
              <w:pStyle w:val="List2"/>
            </w:pPr>
            <w:r w:rsidRPr="004216AE">
              <w:t>2.4.</w:t>
            </w:r>
            <w:r w:rsidRPr="004216AE">
              <w:tab/>
            </w:r>
            <w:r w:rsidRPr="004216AE">
              <w:rPr>
                <w:rStyle w:val="BoldandItalics"/>
              </w:rPr>
              <w:t>Organisational policies and procedures</w:t>
            </w:r>
            <w:r w:rsidRPr="004216AE">
              <w:t xml:space="preserve"> for expenditures and investments are evaluated</w:t>
            </w:r>
            <w:r w:rsidRPr="004216AE">
              <w:t xml:space="preserve"> to ensure relevance to changing personnel profiles</w:t>
            </w:r>
          </w:p>
          <w:p w:rsidR="00000000" w:rsidP="004216AE">
            <w:pPr>
              <w:pStyle w:val="List2"/>
              <w:rPr>
                <w:lang w:val="en-NZ"/>
              </w:rPr>
            </w:pPr>
            <w:r w:rsidRPr="004216AE">
              <w:t>2.5.</w:t>
            </w:r>
            <w:r w:rsidRPr="004216AE">
              <w:tab/>
              <w:t xml:space="preserve">Debt to equity targets are analysed in terms of organisation's expected performance and established in line with organisational objectives using </w:t>
            </w:r>
            <w:r w:rsidRPr="004216AE">
              <w:rPr>
                <w:rStyle w:val="BoldandItalics"/>
              </w:rPr>
              <w:t>standard accounting techniques</w:t>
            </w:r>
          </w:p>
        </w:tc>
      </w:tr>
      <w:tr w:rsidTr="0021066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List"/>
              <w:rPr>
                <w:lang w:val="en-NZ"/>
              </w:rPr>
            </w:pPr>
            <w:r w:rsidRPr="004216AE">
              <w:t>3.</w:t>
            </w:r>
            <w:r w:rsidRPr="004216AE">
              <w:tab/>
              <w:t>Review performance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2"/>
            </w:pPr>
            <w:r w:rsidRPr="004216AE">
              <w:t>3.1.</w:t>
            </w:r>
            <w:r w:rsidRPr="004216AE">
              <w:tab/>
              <w:t>Forecasts made are justifiable given observed trends, information, events and assumptions with standard errors calculated to produce levels of accuracy suitable for planning purposes</w:t>
            </w:r>
          </w:p>
          <w:p w:rsidR="00000000" w:rsidRPr="004216AE" w:rsidP="004216AE">
            <w:pPr>
              <w:pStyle w:val="List2"/>
            </w:pPr>
            <w:r w:rsidRPr="004216AE">
              <w:t>3.2.</w:t>
            </w:r>
            <w:r w:rsidRPr="004216AE">
              <w:tab/>
            </w:r>
            <w:r w:rsidRPr="004216AE">
              <w:t>Forecasts are reviewed regularly in line with actual performance and alternative sources of information</w:t>
            </w:r>
          </w:p>
          <w:p w:rsidR="00000000" w:rsidRPr="004216AE" w:rsidP="004216AE">
            <w:pPr>
              <w:pStyle w:val="List2"/>
            </w:pPr>
            <w:r w:rsidRPr="004216AE">
              <w:t>3.3.</w:t>
            </w:r>
            <w:r w:rsidRPr="004216AE">
              <w:tab/>
            </w:r>
            <w:r w:rsidRPr="004216AE">
              <w:rPr>
                <w:rStyle w:val="BoldandItalics"/>
              </w:rPr>
              <w:t>Risk strategies</w:t>
            </w:r>
            <w:r w:rsidRPr="004216AE">
              <w:t xml:space="preserve"> are assessed for long-term viability and harmonised with short-term goals and obligations</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9" w:name="O_77255"/>
      <w:bookmarkEnd w:id="9"/>
      <w:r w:rsidRPr="004216AE">
        <w:t>Required Skills and Know</w:t>
      </w:r>
      <w:r w:rsidRPr="004216AE">
        <w:t>ledge</w:t>
      </w:r>
    </w:p>
    <w:tbl>
      <w:tblPr>
        <w:tblW w:w="0" w:type="auto"/>
        <w:tblLayout w:type="fixed"/>
        <w:tblCellMar>
          <w:left w:w="62" w:type="dxa"/>
          <w:right w:w="62" w:type="dxa"/>
        </w:tblCellMar>
        <w:tblLook w:val="0000"/>
      </w:tblPr>
      <w:tblGrid>
        <w:gridCol w:w="8522"/>
      </w:tblGrid>
      <w:tr w:rsidTr="002106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REQUIRED SKILLS AND KNOWLEDGE</w:t>
            </w:r>
          </w:p>
        </w:tc>
      </w:tr>
      <w:tr w:rsidTr="002106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t>This section describes the skills and knowledge required for this unit.</w:t>
            </w:r>
          </w:p>
        </w:tc>
      </w:tr>
      <w:tr w:rsidTr="002106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Required skills</w:t>
            </w:r>
          </w:p>
        </w:tc>
      </w:tr>
      <w:tr w:rsidTr="002106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well-developed communication skills to:</w:t>
            </w:r>
          </w:p>
          <w:p w:rsidR="00000000" w:rsidRPr="004216AE" w:rsidP="004216AE">
            <w:pPr>
              <w:pStyle w:val="ListBullet2"/>
            </w:pPr>
            <w:r w:rsidRPr="004216AE">
              <w:t>evaluate an organisation's financial performa</w:t>
            </w:r>
            <w:r w:rsidRPr="004216AE">
              <w:t>nce, using questioning of personnel and management for confirmation</w:t>
            </w:r>
          </w:p>
          <w:p w:rsidR="00000000" w:rsidRPr="004216AE" w:rsidP="004216AE">
            <w:pPr>
              <w:pStyle w:val="ListBullet2"/>
            </w:pPr>
            <w:r w:rsidRPr="004216AE">
              <w:t>liaise with others, share information, listen and understand</w:t>
            </w:r>
          </w:p>
          <w:p w:rsidR="00000000" w:rsidRPr="004216AE" w:rsidP="004216AE">
            <w:pPr>
              <w:pStyle w:val="ListBullet2"/>
            </w:pPr>
            <w:r w:rsidRPr="004216AE">
              <w:t>use language and concepts appropriate to cultural differences</w:t>
            </w:r>
          </w:p>
          <w:p w:rsidR="00000000" w:rsidRPr="004216AE" w:rsidP="004216AE">
            <w:pPr>
              <w:pStyle w:val="ListBullet"/>
            </w:pPr>
            <w:r w:rsidRPr="004216AE">
              <w:t>highly developed research skills for accessing and managing financial services information</w:t>
            </w:r>
          </w:p>
          <w:p w:rsidR="00000000" w:rsidRPr="004216AE" w:rsidP="004216AE">
            <w:pPr>
              <w:pStyle w:val="ListBullet"/>
            </w:pPr>
            <w:r w:rsidRPr="004216AE">
              <w:t>well-developed literacy skills for analysingfinancial information and performance indicators and preparing forecasts, financial options and clear written advice</w:t>
            </w:r>
          </w:p>
          <w:p w:rsidR="00000000" w:rsidRPr="004216AE" w:rsidP="004216AE">
            <w:pPr>
              <w:pStyle w:val="ListBullet"/>
            </w:pPr>
            <w:r w:rsidRPr="004216AE">
              <w:t>nume</w:t>
            </w:r>
            <w:r w:rsidRPr="004216AE">
              <w:t>racy skills for financial calculations and analysis, estimating and forecasting</w:t>
            </w:r>
          </w:p>
          <w:p w:rsidR="00000000" w:rsidRPr="004216AE" w:rsidP="004216AE">
            <w:pPr>
              <w:pStyle w:val="ListBullet"/>
            </w:pPr>
            <w:r w:rsidRPr="004216AE">
              <w:t>IT skills for developing and using integrated financial systems, spreadsheets and databases and internet information</w:t>
            </w:r>
          </w:p>
          <w:p w:rsidR="00000000" w:rsidRPr="004216AE" w:rsidP="004216AE">
            <w:pPr>
              <w:pStyle w:val="ListBullet"/>
            </w:pPr>
            <w:r w:rsidRPr="004216AE">
              <w:t>learning skills to maintain knowledge of organisational per</w:t>
            </w:r>
            <w:r w:rsidRPr="004216AE">
              <w:t>formance best practice principles, processes and procedures</w:t>
            </w:r>
          </w:p>
          <w:p w:rsidR="00000000" w:rsidRPr="004216AE" w:rsidP="004216AE">
            <w:pPr>
              <w:pStyle w:val="ListBullet"/>
            </w:pPr>
            <w:r w:rsidRPr="004216AE">
              <w:t>problem solving skills to identify performance issues that have the potential to impact on organisations and to develop options to resolve these issues when they arise</w:t>
            </w:r>
          </w:p>
          <w:p w:rsidR="00000000" w:rsidP="004216AE">
            <w:pPr>
              <w:pStyle w:val="ListBullet"/>
              <w:rPr>
                <w:lang w:val="en-NZ"/>
              </w:rPr>
            </w:pPr>
            <w:r w:rsidRPr="004216AE">
              <w:t>organisational skills, inclu</w:t>
            </w:r>
            <w:r w:rsidRPr="004216AE">
              <w:t>ding the ability to plan and sequence work and correctly schedule financial performance monitoring and reporting</w:t>
            </w:r>
          </w:p>
        </w:tc>
      </w:tr>
      <w:tr w:rsidTr="002106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Required knowledge</w:t>
            </w:r>
          </w:p>
        </w:tc>
      </w:tr>
      <w:tr w:rsidTr="002106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techniques for developing long and short-term plans</w:t>
            </w:r>
          </w:p>
          <w:p w:rsidR="00000000" w:rsidRPr="004216AE" w:rsidP="004216AE">
            <w:pPr>
              <w:pStyle w:val="ListBullet"/>
            </w:pPr>
            <w:r w:rsidRPr="004216AE">
              <w:t>undertaking a SWOT analysis</w:t>
            </w:r>
          </w:p>
          <w:p w:rsidR="00000000" w:rsidRPr="004216AE" w:rsidP="004216AE">
            <w:pPr>
              <w:pStyle w:val="ListBullet"/>
            </w:pPr>
            <w:r w:rsidRPr="004216AE">
              <w:t>duties of auditors</w:t>
            </w:r>
          </w:p>
          <w:p w:rsidR="00000000" w:rsidRPr="004216AE" w:rsidP="004216AE">
            <w:pPr>
              <w:pStyle w:val="ListBullet"/>
            </w:pPr>
            <w:r w:rsidRPr="004216AE">
              <w:t>ethical considerations for compliance purposes</w:t>
            </w:r>
          </w:p>
          <w:p w:rsidR="00000000" w:rsidRPr="004216AE" w:rsidP="004216AE">
            <w:pPr>
              <w:pStyle w:val="ListBullet"/>
            </w:pPr>
            <w:r w:rsidRPr="004216AE">
              <w:t>financial legislation such as:</w:t>
            </w:r>
          </w:p>
          <w:p w:rsidR="00000000" w:rsidRPr="004216AE" w:rsidP="004216AE">
            <w:pPr>
              <w:pStyle w:val="ListBullet2"/>
            </w:pPr>
            <w:r w:rsidRPr="004216AE">
              <w:t>taxable transactions</w:t>
            </w:r>
          </w:p>
          <w:p w:rsidR="00000000" w:rsidRPr="004216AE" w:rsidP="004216AE">
            <w:pPr>
              <w:pStyle w:val="ListBullet2"/>
            </w:pPr>
            <w:r w:rsidRPr="004216AE">
              <w:t>reporting requirements</w:t>
            </w:r>
          </w:p>
          <w:p w:rsidR="00000000" w:rsidRPr="004216AE" w:rsidP="004216AE">
            <w:pPr>
              <w:pStyle w:val="ListBullet"/>
            </w:pPr>
            <w:r w:rsidRPr="004216AE">
              <w:t>principles of cash flow and budgetary control</w:t>
            </w:r>
          </w:p>
          <w:p w:rsidR="00000000" w:rsidRPr="004216AE" w:rsidP="004216AE">
            <w:pPr>
              <w:pStyle w:val="ListBullet"/>
            </w:pPr>
            <w:r w:rsidRPr="004216AE">
              <w:t>principles of cost-benefit analysis and use of forecasting techniques</w:t>
            </w:r>
          </w:p>
          <w:p w:rsidR="00000000" w:rsidRPr="004216AE" w:rsidP="004216AE">
            <w:pPr>
              <w:pStyle w:val="ListBullet"/>
            </w:pPr>
            <w:r w:rsidRPr="004216AE">
              <w:t>principles of internal control including statutory requirements</w:t>
            </w:r>
          </w:p>
          <w:p w:rsidR="00000000" w:rsidRPr="004216AE" w:rsidP="004216AE">
            <w:pPr>
              <w:pStyle w:val="ListBullet"/>
            </w:pPr>
            <w:r w:rsidRPr="004216AE">
              <w:t>principles of risk management</w:t>
            </w:r>
          </w:p>
          <w:p w:rsidR="00000000" w:rsidRPr="004216AE" w:rsidP="004216AE">
            <w:pPr>
              <w:pStyle w:val="ListBullet"/>
            </w:pPr>
            <w:r w:rsidRPr="004216AE">
              <w:t>organisational structures and lines of management authority</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10" w:name="O_77256"/>
      <w:bookmarkEnd w:id="10"/>
      <w:r w:rsidRPr="004216AE">
        <w:t>Evidence Guide</w:t>
      </w:r>
    </w:p>
    <w:tbl>
      <w:tblPr>
        <w:tblW w:w="9570" w:type="dxa"/>
        <w:tblLayout w:type="fixed"/>
        <w:tblCellMar>
          <w:left w:w="62" w:type="dxa"/>
          <w:right w:w="62" w:type="dxa"/>
        </w:tblCellMar>
        <w:tblLook w:val="0000"/>
      </w:tblPr>
      <w:tblGrid>
        <w:gridCol w:w="2808"/>
        <w:gridCol w:w="6762"/>
      </w:tblGrid>
      <w:tr w:rsidTr="002106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EVIDENCE GUIDE</w:t>
            </w:r>
          </w:p>
        </w:tc>
      </w:tr>
      <w:tr w:rsidTr="002106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t>The Evidence Guide provides advice on assessment and must be read in conjunction with the performance criteria, required skills and knowledge, range statement and the Assessment Guidelines for the Training Package.</w:t>
            </w:r>
          </w:p>
        </w:tc>
      </w:tr>
      <w:tr w:rsidTr="002106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p>
        </w:tc>
      </w:tr>
      <w:tr w:rsidTr="002106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Evidence of the ability to:</w:t>
            </w:r>
          </w:p>
          <w:p w:rsidR="00000000" w:rsidRPr="004216AE" w:rsidP="004216AE">
            <w:pPr>
              <w:pStyle w:val="ListBullet"/>
            </w:pPr>
            <w:r w:rsidRPr="004216AE">
              <w:t>use standard financial analysis techniques and accounting techniques plus organisational policies and procedures to evaluate returns t</w:t>
            </w:r>
            <w:r w:rsidRPr="004216AE">
              <w:t xml:space="preserve">o operations </w:t>
            </w:r>
          </w:p>
          <w:p w:rsidR="00000000" w:rsidRPr="004216AE" w:rsidP="004216AE">
            <w:pPr>
              <w:pStyle w:val="ListBullet"/>
            </w:pPr>
            <w:r w:rsidRPr="004216AE">
              <w:t>determine long and short-term organisational needs</w:t>
            </w:r>
          </w:p>
          <w:p w:rsidR="00000000" w:rsidP="004216AE">
            <w:pPr>
              <w:pStyle w:val="ListBullet"/>
              <w:rPr>
                <w:lang w:val="en-NZ"/>
              </w:rPr>
            </w:pPr>
            <w:r w:rsidRPr="004216AE">
              <w:t>review financial performance across an organisation.</w:t>
            </w:r>
          </w:p>
        </w:tc>
      </w:tr>
      <w:tr w:rsidTr="002106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Assessment must ensure:</w:t>
            </w:r>
          </w:p>
          <w:p w:rsidR="00000000" w:rsidRPr="004216AE" w:rsidP="004216AE">
            <w:pPr>
              <w:pStyle w:val="ListBullet"/>
            </w:pPr>
            <w:r w:rsidRPr="004216AE">
              <w:t>competency is demonstrated in the context of the financial serv</w:t>
            </w:r>
            <w:r w:rsidRPr="004216AE">
              <w:t>ices work environment and conditions specified in the range statement either in a relevant workplace or a closely simulated work environment</w:t>
            </w:r>
          </w:p>
          <w:p w:rsidR="00000000" w:rsidRPr="004216AE" w:rsidP="004216AE">
            <w:pPr>
              <w:pStyle w:val="ListBullet"/>
            </w:pPr>
            <w:r w:rsidRPr="004216AE">
              <w:t>access to and the use of a range of common office equipment, technology, software and consumables</w:t>
            </w:r>
          </w:p>
          <w:p w:rsidR="00000000" w:rsidP="004216AE">
            <w:pPr>
              <w:pStyle w:val="ListBullet"/>
              <w:rPr>
                <w:lang w:val="en-NZ"/>
              </w:rPr>
            </w:pPr>
            <w:r w:rsidRPr="004216AE">
              <w:t>access to an inte</w:t>
            </w:r>
            <w:r w:rsidRPr="004216AE">
              <w:t>grated financial software system and data.</w:t>
            </w:r>
          </w:p>
        </w:tc>
      </w:tr>
      <w:tr w:rsidTr="002106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A range of assessment methods should be used to assess practical skills and knowledge. The following examples, in combination, are appropriate for this unit:</w:t>
            </w:r>
          </w:p>
          <w:p w:rsidR="00000000" w:rsidRPr="004216AE" w:rsidP="004216AE">
            <w:pPr>
              <w:pStyle w:val="ListBullet"/>
            </w:pPr>
            <w:r w:rsidRPr="004216AE">
              <w:t>evaluating an integrated activit</w:t>
            </w:r>
            <w:r w:rsidRPr="004216AE">
              <w:t>y which combines the elements of competency for the unit or a cluster of related units of competency</w:t>
            </w:r>
          </w:p>
          <w:p w:rsidR="00000000" w:rsidRPr="004216AE" w:rsidP="004216AE">
            <w:pPr>
              <w:pStyle w:val="ListBullet"/>
            </w:pPr>
            <w:r w:rsidRPr="004216AE">
              <w:t>verbal or written questioning on underpinning knowledge and skills which may include formal examinations</w:t>
            </w:r>
          </w:p>
          <w:p w:rsidR="00000000" w:rsidRPr="004216AE" w:rsidP="004216AE">
            <w:pPr>
              <w:pStyle w:val="ListBullet"/>
            </w:pPr>
            <w:r w:rsidRPr="004216AE">
              <w:t>setting and reviewing workplace projects and business simulations or scenarios</w:t>
            </w:r>
          </w:p>
          <w:p w:rsidR="00000000" w:rsidRPr="004216AE" w:rsidP="004216AE">
            <w:pPr>
              <w:pStyle w:val="ListBullet"/>
            </w:pPr>
            <w:r w:rsidRPr="004216AE">
              <w:t>evaluating samples of work</w:t>
            </w:r>
          </w:p>
          <w:p w:rsidR="00000000" w:rsidP="004216AE">
            <w:pPr>
              <w:pStyle w:val="ListBullet"/>
              <w:rPr>
                <w:lang w:val="en-NZ"/>
              </w:rPr>
            </w:pPr>
            <w:r w:rsidRPr="004216AE">
              <w:t>accessing and validating third party reports.</w:t>
            </w:r>
          </w:p>
        </w:tc>
      </w:tr>
      <w:tr w:rsidTr="002106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11" w:name="O_77257"/>
      <w:bookmarkEnd w:id="11"/>
      <w:r w:rsidRPr="004216AE">
        <w:t>Range Statement</w:t>
      </w:r>
    </w:p>
    <w:tbl>
      <w:tblPr>
        <w:tblW w:w="0" w:type="auto"/>
        <w:tblLayout w:type="fixed"/>
        <w:tblCellMar>
          <w:left w:w="62" w:type="dxa"/>
          <w:right w:w="62" w:type="dxa"/>
        </w:tblCellMar>
        <w:tblLook w:val="0000"/>
      </w:tblPr>
      <w:tblGrid>
        <w:gridCol w:w="2531"/>
        <w:gridCol w:w="5991"/>
      </w:tblGrid>
      <w:tr w:rsidTr="002106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RANGE STATEMENT</w:t>
            </w:r>
          </w:p>
        </w:tc>
      </w:tr>
      <w:tr w:rsidTr="002106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t>The range statement relates to the unit of competency as a whole. It allows for different work environments and situations that may affect performance. Bold italicised wording, if used in the performance criteria, is detailed below. Essential operating con</w:t>
            </w:r>
            <w:r w:rsidRPr="004216AE">
              <w:t>ditions that may be present with training and assessment (depending on the work situation, needs of the candidate, accessibility of the item, and local industry and regional contexts) may also be included.</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Strengths and weaknesses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budget es</w:t>
            </w:r>
            <w:r w:rsidRPr="004216AE">
              <w:t>timates</w:t>
            </w:r>
          </w:p>
          <w:p w:rsidR="00000000" w:rsidRPr="004216AE" w:rsidP="004216AE">
            <w:pPr>
              <w:pStyle w:val="ListBullet"/>
            </w:pPr>
            <w:r w:rsidRPr="004216AE">
              <w:t>cash flow schedules</w:t>
            </w:r>
          </w:p>
          <w:p w:rsidR="00000000" w:rsidRPr="004216AE" w:rsidP="004216AE">
            <w:pPr>
              <w:pStyle w:val="ListBullet"/>
            </w:pPr>
            <w:r w:rsidRPr="004216AE">
              <w:t>financial monitoring</w:t>
            </w:r>
          </w:p>
          <w:p w:rsidR="00000000" w:rsidRPr="004216AE" w:rsidP="004216AE">
            <w:pPr>
              <w:pStyle w:val="ListBullet"/>
            </w:pPr>
            <w:r w:rsidRPr="004216AE">
              <w:t>internal control compliance</w:t>
            </w:r>
          </w:p>
          <w:p w:rsidR="00000000" w:rsidRPr="004216AE" w:rsidP="004216AE">
            <w:pPr>
              <w:pStyle w:val="ListBullet"/>
            </w:pPr>
            <w:r w:rsidRPr="004216AE">
              <w:t>revenue forecasts</w:t>
            </w:r>
          </w:p>
          <w:p w:rsidR="00000000" w:rsidP="004216AE">
            <w:pPr>
              <w:pStyle w:val="ListBullet"/>
              <w:rPr>
                <w:lang w:val="en-NZ"/>
              </w:rPr>
            </w:pPr>
            <w:r w:rsidRPr="004216AE">
              <w:t>unit costs.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Short</w:t>
            </w:r>
            <w:r w:rsidRPr="004216AE">
              <w:t>-</w:t>
            </w:r>
            <w:r w:rsidRPr="004216AE">
              <w:rPr>
                <w:rStyle w:val="BoldandItalics"/>
              </w:rPr>
              <w:t>term and long</w:t>
            </w:r>
            <w:r w:rsidRPr="004216AE">
              <w:t>-</w:t>
            </w:r>
            <w:r w:rsidRPr="004216AE">
              <w:rPr>
                <w:rStyle w:val="BoldandItalics"/>
              </w:rPr>
              <w:t>term obligations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capital structure decisions</w:t>
            </w:r>
          </w:p>
          <w:p w:rsidR="00000000" w:rsidRPr="004216AE" w:rsidP="004216AE">
            <w:pPr>
              <w:pStyle w:val="ListBullet"/>
            </w:pPr>
            <w:r w:rsidRPr="004216AE">
              <w:t>debt retirement</w:t>
            </w:r>
          </w:p>
          <w:p w:rsidR="00000000" w:rsidRPr="004216AE" w:rsidP="004216AE">
            <w:pPr>
              <w:pStyle w:val="ListBullet"/>
            </w:pPr>
            <w:r w:rsidRPr="004216AE">
              <w:t>dividends</w:t>
            </w:r>
          </w:p>
          <w:p w:rsidR="00000000" w:rsidRPr="004216AE" w:rsidP="004216AE">
            <w:pPr>
              <w:pStyle w:val="ListBullet"/>
            </w:pPr>
            <w:r w:rsidRPr="004216AE">
              <w:t>periodic payments such as:</w:t>
            </w:r>
          </w:p>
          <w:p w:rsidR="00000000" w:rsidRPr="004216AE" w:rsidP="004216AE">
            <w:pPr>
              <w:pStyle w:val="ListBullet2"/>
            </w:pPr>
            <w:r w:rsidRPr="004216AE">
              <w:t xml:space="preserve">leases </w:t>
            </w:r>
          </w:p>
          <w:p w:rsidR="00000000" w:rsidRPr="004216AE" w:rsidP="004216AE">
            <w:pPr>
              <w:pStyle w:val="ListBullet2"/>
            </w:pPr>
            <w:r w:rsidRPr="004216AE">
              <w:t>loans</w:t>
            </w:r>
          </w:p>
          <w:p w:rsidR="00000000" w:rsidRPr="004216AE" w:rsidP="004216AE">
            <w:pPr>
              <w:pStyle w:val="ListBullet"/>
            </w:pPr>
            <w:r w:rsidRPr="004216AE">
              <w:t>salaries</w:t>
            </w:r>
          </w:p>
          <w:p w:rsidR="00000000" w:rsidRPr="004216AE" w:rsidP="004216AE">
            <w:pPr>
              <w:pStyle w:val="ListBullet"/>
            </w:pPr>
            <w:r w:rsidRPr="004216AE">
              <w:t>superannuation</w:t>
            </w:r>
          </w:p>
          <w:p w:rsidR="00000000" w:rsidP="004216AE">
            <w:pPr>
              <w:pStyle w:val="ListBullet"/>
              <w:rPr>
                <w:lang w:val="en-NZ"/>
              </w:rPr>
            </w:pPr>
            <w:r w:rsidRPr="004216AE">
              <w:t>taxation payments.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Standard financial analysis techniques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'what if' analysis</w:t>
            </w:r>
          </w:p>
          <w:p w:rsidR="00000000" w:rsidRPr="004216AE" w:rsidP="004216AE">
            <w:pPr>
              <w:pStyle w:val="ListBullet"/>
            </w:pPr>
            <w:r w:rsidRPr="004216AE">
              <w:t>bivariate and multivariate analysis</w:t>
            </w:r>
          </w:p>
          <w:p w:rsidR="00000000" w:rsidRPr="004216AE" w:rsidP="004216AE">
            <w:pPr>
              <w:pStyle w:val="ListBullet"/>
            </w:pPr>
            <w:r w:rsidRPr="004216AE">
              <w:t>break-even analysis</w:t>
            </w:r>
          </w:p>
          <w:p w:rsidR="00000000" w:rsidRPr="004216AE" w:rsidP="004216AE">
            <w:pPr>
              <w:pStyle w:val="ListBullet"/>
            </w:pPr>
            <w:r w:rsidRPr="004216AE">
              <w:t>cost-benefit analysis</w:t>
            </w:r>
          </w:p>
          <w:p w:rsidR="00000000" w:rsidP="004216AE">
            <w:pPr>
              <w:pStyle w:val="ListBullet"/>
              <w:rPr>
                <w:lang w:val="en-NZ"/>
              </w:rPr>
            </w:pPr>
            <w:r w:rsidRPr="004216AE">
              <w:t>time series.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Financial priorities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 xml:space="preserve">cost minimisation: </w:t>
            </w:r>
          </w:p>
          <w:p w:rsidR="00000000" w:rsidRPr="004216AE" w:rsidP="004216AE">
            <w:pPr>
              <w:pStyle w:val="ListBullet2"/>
            </w:pPr>
            <w:r w:rsidRPr="004216AE">
              <w:t xml:space="preserve">capital </w:t>
            </w:r>
          </w:p>
          <w:p w:rsidR="00000000" w:rsidRPr="004216AE" w:rsidP="004216AE">
            <w:pPr>
              <w:pStyle w:val="ListBullet2"/>
            </w:pPr>
            <w:r w:rsidRPr="004216AE">
              <w:t>recurrent costs</w:t>
            </w:r>
          </w:p>
          <w:p w:rsidR="00000000" w:rsidRPr="004216AE" w:rsidP="004216AE">
            <w:pPr>
              <w:pStyle w:val="ListBullet"/>
            </w:pPr>
            <w:r w:rsidRPr="004216AE">
              <w:t>periodic monitoring and transparency of expenditure</w:t>
            </w:r>
          </w:p>
          <w:p w:rsidR="00000000" w:rsidRPr="004216AE" w:rsidP="004216AE">
            <w:pPr>
              <w:pStyle w:val="ListBullet"/>
            </w:pPr>
            <w:r w:rsidRPr="004216AE">
              <w:t>rates of returns</w:t>
            </w:r>
          </w:p>
          <w:p w:rsidR="00000000" w:rsidRPr="004216AE" w:rsidP="004216AE">
            <w:pPr>
              <w:pStyle w:val="ListBullet"/>
            </w:pPr>
            <w:r w:rsidRPr="004216AE">
              <w:t>revenue estimates</w:t>
            </w:r>
          </w:p>
          <w:p w:rsidR="00000000" w:rsidP="004216AE">
            <w:pPr>
              <w:pStyle w:val="ListBullet"/>
              <w:rPr>
                <w:lang w:val="en-NZ"/>
              </w:rPr>
            </w:pPr>
            <w:r w:rsidRPr="004216AE">
              <w:t>sales targets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Investments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debentures</w:t>
            </w:r>
          </w:p>
          <w:p w:rsidR="00000000" w:rsidRPr="004216AE" w:rsidP="004216AE">
            <w:pPr>
              <w:pStyle w:val="ListBullet"/>
            </w:pPr>
            <w:r w:rsidRPr="004216AE">
              <w:t>interest bearing accounts</w:t>
            </w:r>
          </w:p>
          <w:p w:rsidR="00000000" w:rsidRPr="004216AE" w:rsidP="004216AE">
            <w:pPr>
              <w:pStyle w:val="ListBullet"/>
            </w:pPr>
            <w:r w:rsidRPr="004216AE">
              <w:t>plant and equipment</w:t>
            </w:r>
          </w:p>
          <w:p w:rsidR="00000000" w:rsidRPr="004216AE" w:rsidP="004216AE">
            <w:pPr>
              <w:pStyle w:val="ListBullet"/>
            </w:pPr>
            <w:r w:rsidRPr="004216AE">
              <w:t>preference shares</w:t>
            </w:r>
          </w:p>
          <w:p w:rsidR="00000000" w:rsidRPr="004216AE" w:rsidP="004216AE">
            <w:pPr>
              <w:pStyle w:val="ListBullet"/>
            </w:pPr>
            <w:r w:rsidRPr="004216AE">
              <w:t>property</w:t>
            </w:r>
          </w:p>
          <w:p w:rsidR="00000000" w:rsidP="004216AE">
            <w:pPr>
              <w:pStyle w:val="ListBullet"/>
              <w:rPr>
                <w:lang w:val="en-NZ"/>
              </w:rPr>
            </w:pPr>
            <w:r w:rsidRPr="004216AE">
              <w:t xml:space="preserve">shares and securities. </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Financial options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adjustment of borrowings</w:t>
            </w:r>
          </w:p>
          <w:p w:rsidR="00000000" w:rsidRPr="004216AE" w:rsidP="004216AE">
            <w:pPr>
              <w:pStyle w:val="ListBullet"/>
            </w:pPr>
            <w:r w:rsidRPr="004216AE">
              <w:t>asset liquidation</w:t>
            </w:r>
          </w:p>
          <w:p w:rsidR="00000000" w:rsidRPr="004216AE" w:rsidP="004216AE">
            <w:pPr>
              <w:pStyle w:val="ListBullet"/>
            </w:pPr>
            <w:r w:rsidRPr="004216AE">
              <w:t>budget absorption</w:t>
            </w:r>
          </w:p>
          <w:p w:rsidR="00000000" w:rsidRPr="004216AE" w:rsidP="004216AE">
            <w:pPr>
              <w:pStyle w:val="ListBullet"/>
            </w:pPr>
            <w:r w:rsidRPr="004216AE">
              <w:t>cost recoveries</w:t>
            </w:r>
          </w:p>
          <w:p w:rsidR="00000000" w:rsidRPr="004216AE" w:rsidP="004216AE">
            <w:pPr>
              <w:pStyle w:val="ListBullet"/>
            </w:pPr>
            <w:r w:rsidRPr="004216AE">
              <w:t>equity injections</w:t>
            </w:r>
          </w:p>
          <w:p w:rsidR="00000000" w:rsidRPr="004216AE" w:rsidP="004216AE">
            <w:pPr>
              <w:pStyle w:val="ListBullet"/>
            </w:pPr>
            <w:r w:rsidRPr="004216AE">
              <w:t>expenditure reprioritisation</w:t>
            </w:r>
          </w:p>
          <w:p w:rsidR="00000000" w:rsidRPr="004216AE" w:rsidP="004216AE">
            <w:pPr>
              <w:pStyle w:val="ListBullet"/>
            </w:pPr>
            <w:r w:rsidRPr="004216AE">
              <w:t>long-term investments</w:t>
            </w:r>
          </w:p>
          <w:p w:rsidR="00000000" w:rsidP="004216AE">
            <w:pPr>
              <w:pStyle w:val="ListBullet"/>
              <w:rPr>
                <w:lang w:val="en-NZ"/>
              </w:rPr>
            </w:pPr>
            <w:r w:rsidRPr="004216AE">
              <w:t>purchases.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Assets and liabilities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cash</w:t>
            </w:r>
          </w:p>
          <w:p w:rsidR="00000000" w:rsidRPr="004216AE" w:rsidP="004216AE">
            <w:pPr>
              <w:pStyle w:val="ListBullet"/>
            </w:pPr>
            <w:r w:rsidRPr="004216AE">
              <w:t>investments</w:t>
            </w:r>
          </w:p>
          <w:p w:rsidR="00000000" w:rsidRPr="004216AE" w:rsidP="004216AE">
            <w:pPr>
              <w:pStyle w:val="ListBullet"/>
            </w:pPr>
            <w:r w:rsidRPr="004216AE">
              <w:t>loans, leases and debts</w:t>
            </w:r>
          </w:p>
          <w:p w:rsidR="00000000" w:rsidRPr="004216AE" w:rsidP="004216AE">
            <w:pPr>
              <w:pStyle w:val="ListBullet"/>
            </w:pPr>
            <w:r w:rsidRPr="004216AE">
              <w:t>plant and equipment</w:t>
            </w:r>
          </w:p>
          <w:p w:rsidR="00000000" w:rsidRPr="004216AE" w:rsidP="004216AE">
            <w:pPr>
              <w:pStyle w:val="ListBullet"/>
            </w:pPr>
            <w:r w:rsidRPr="004216AE">
              <w:t>property investments</w:t>
            </w:r>
          </w:p>
          <w:p w:rsidR="00000000" w:rsidP="004216AE">
            <w:pPr>
              <w:pStyle w:val="ListBullet"/>
              <w:rPr>
                <w:lang w:val="en-NZ"/>
              </w:rPr>
            </w:pPr>
            <w:r w:rsidRPr="004216AE">
              <w:t>shares, bonds and securities.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Organisational policies and procedures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financial analysis assessments</w:t>
            </w:r>
          </w:p>
          <w:p w:rsidR="00000000" w:rsidRPr="004216AE" w:rsidP="004216AE">
            <w:pPr>
              <w:pStyle w:val="ListBullet"/>
            </w:pPr>
            <w:r w:rsidRPr="004216AE">
              <w:t>financial management manuals</w:t>
            </w:r>
          </w:p>
          <w:p w:rsidR="00000000" w:rsidRPr="004216AE" w:rsidP="004216AE">
            <w:pPr>
              <w:pStyle w:val="ListBullet"/>
            </w:pPr>
            <w:r w:rsidRPr="004216AE">
              <w:t>price and excha</w:t>
            </w:r>
            <w:r w:rsidRPr="004216AE">
              <w:t>nge parameters</w:t>
            </w:r>
          </w:p>
          <w:p w:rsidR="00000000" w:rsidRPr="004216AE" w:rsidP="004216AE">
            <w:pPr>
              <w:pStyle w:val="ListBullet"/>
            </w:pPr>
            <w:r w:rsidRPr="004216AE">
              <w:t>recording and filing systems</w:t>
            </w:r>
          </w:p>
          <w:p w:rsidR="00000000" w:rsidRPr="004216AE" w:rsidP="004216AE">
            <w:pPr>
              <w:pStyle w:val="ListBullet"/>
            </w:pPr>
            <w:r w:rsidRPr="004216AE">
              <w:t>reporting requirements</w:t>
            </w:r>
          </w:p>
          <w:p w:rsidR="00000000" w:rsidP="004216AE">
            <w:pPr>
              <w:pStyle w:val="ListBullet"/>
              <w:rPr>
                <w:lang w:val="en-NZ"/>
              </w:rPr>
            </w:pPr>
            <w:r w:rsidRPr="004216AE">
              <w:t>standard financial analysis techniques.</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Standard accounting techniques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break-even analysis</w:t>
            </w:r>
          </w:p>
          <w:p w:rsidR="00000000" w:rsidRPr="004216AE" w:rsidP="004216AE">
            <w:pPr>
              <w:pStyle w:val="ListBullet"/>
            </w:pPr>
            <w:r w:rsidRPr="004216AE">
              <w:t>deprival asset valuations</w:t>
            </w:r>
          </w:p>
          <w:p w:rsidR="00000000" w:rsidRPr="004216AE" w:rsidP="004216AE">
            <w:pPr>
              <w:pStyle w:val="ListBullet"/>
            </w:pPr>
            <w:r w:rsidRPr="004216AE">
              <w:t>direct allocation</w:t>
            </w:r>
          </w:p>
          <w:p w:rsidR="00000000" w:rsidRPr="004216AE" w:rsidP="004216AE">
            <w:pPr>
              <w:pStyle w:val="ListBullet"/>
            </w:pPr>
            <w:r w:rsidRPr="004216AE">
              <w:t>discounted cash flows</w:t>
            </w:r>
          </w:p>
          <w:p w:rsidR="00000000" w:rsidRPr="004216AE" w:rsidP="004216AE">
            <w:pPr>
              <w:pStyle w:val="ListBullet"/>
            </w:pPr>
            <w:r w:rsidRPr="004216AE">
              <w:t>impact statements</w:t>
            </w:r>
          </w:p>
          <w:p w:rsidR="00000000" w:rsidRPr="004216AE" w:rsidP="004216AE">
            <w:pPr>
              <w:pStyle w:val="ListBullet"/>
            </w:pPr>
            <w:r w:rsidRPr="004216AE">
              <w:t>pay-back periods</w:t>
            </w:r>
          </w:p>
          <w:p w:rsidR="00000000" w:rsidRPr="004216AE" w:rsidP="004216AE">
            <w:pPr>
              <w:pStyle w:val="ListBullet"/>
            </w:pPr>
            <w:r w:rsidRPr="004216AE">
              <w:t>pro rata and percentage apportionment</w:t>
            </w:r>
          </w:p>
          <w:p w:rsidR="00000000" w:rsidP="004216AE">
            <w:pPr>
              <w:pStyle w:val="ListBullet"/>
              <w:rPr>
                <w:lang w:val="en-NZ"/>
              </w:rPr>
            </w:pPr>
            <w:r w:rsidRPr="004216AE">
              <w:t>rates of return.</w:t>
            </w:r>
          </w:p>
        </w:tc>
      </w:tr>
      <w:tr w:rsidTr="002106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BoldandItalics"/>
              </w:rPr>
              <w:t>Risk strategies</w:t>
            </w:r>
            <w:r w:rsidRPr="004216AE">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ListBullet"/>
            </w:pPr>
            <w:r w:rsidRPr="004216AE">
              <w:t>capital structure</w:t>
            </w:r>
          </w:p>
          <w:p w:rsidR="00000000" w:rsidRPr="004216AE" w:rsidP="004216AE">
            <w:pPr>
              <w:pStyle w:val="ListBullet"/>
            </w:pPr>
            <w:r w:rsidRPr="004216AE">
              <w:t>comparative analysis</w:t>
            </w:r>
          </w:p>
          <w:p w:rsidR="00000000" w:rsidRPr="004216AE" w:rsidP="004216AE">
            <w:pPr>
              <w:pStyle w:val="ListBullet"/>
            </w:pPr>
            <w:r w:rsidRPr="004216AE">
              <w:t>decision making authorities</w:t>
            </w:r>
          </w:p>
          <w:p w:rsidR="00000000" w:rsidRPr="004216AE" w:rsidP="004216AE">
            <w:pPr>
              <w:pStyle w:val="ListBullet"/>
            </w:pPr>
            <w:r w:rsidRPr="004216AE">
              <w:t>forecasting</w:t>
            </w:r>
          </w:p>
          <w:p w:rsidR="00000000" w:rsidRPr="004216AE" w:rsidP="004216AE">
            <w:pPr>
              <w:pStyle w:val="ListBullet"/>
            </w:pPr>
            <w:r w:rsidRPr="004216AE">
              <w:t>periodic reporting</w:t>
            </w:r>
          </w:p>
          <w:p w:rsidR="00000000" w:rsidRPr="004216AE" w:rsidP="004216AE">
            <w:pPr>
              <w:pStyle w:val="ListBullet"/>
            </w:pPr>
            <w:r w:rsidRPr="004216AE">
              <w:t>policy statements</w:t>
            </w:r>
          </w:p>
          <w:p w:rsidR="00000000" w:rsidRPr="004216AE" w:rsidP="004216AE">
            <w:pPr>
              <w:pStyle w:val="ListBullet"/>
            </w:pPr>
            <w:r w:rsidRPr="004216AE">
              <w:t>quantification of risks.</w:t>
            </w:r>
          </w:p>
        </w:tc>
      </w:tr>
    </w:tbl>
    <w:p w:rsidR="00210663" w:rsidP="004216AE">
      <w:pPr>
        <w:pStyle w:val="BodyText"/>
      </w:pPr>
    </w:p>
    <w:p w:rsidR="00210663" w:rsidP="004216AE">
      <w:pPr>
        <w:pStyle w:val="BodyText"/>
      </w:pPr>
    </w:p>
    <w:p w:rsidR="00000000" w:rsidRPr="004216AE" w:rsidP="004216AE">
      <w:pPr>
        <w:pStyle w:val="Heading1"/>
      </w:pPr>
      <w:bookmarkStart w:id="12" w:name="O_77258"/>
      <w:bookmarkEnd w:id="12"/>
      <w:r w:rsidRPr="004216AE">
        <w:t>Unit Sector(s)</w:t>
      </w:r>
    </w:p>
    <w:tbl>
      <w:tblPr>
        <w:tblW w:w="0" w:type="auto"/>
        <w:tblLayout w:type="fixed"/>
        <w:tblCellMar>
          <w:left w:w="62" w:type="dxa"/>
          <w:right w:w="62" w:type="dxa"/>
        </w:tblCellMar>
        <w:tblLook w:val="0000"/>
      </w:tblPr>
      <w:tblGrid>
        <w:gridCol w:w="2590"/>
        <w:gridCol w:w="5932"/>
      </w:tblGrid>
      <w:tr w:rsidTr="00210663">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r w:rsidRPr="004216AE">
              <w:t>Accounting</w:t>
            </w: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13" w:name="O_156115"/>
      <w:bookmarkEnd w:id="13"/>
      <w:r w:rsidRPr="004216AE">
        <w:t>Competency field</w:t>
      </w:r>
    </w:p>
    <w:tbl>
      <w:tblPr>
        <w:tblW w:w="0" w:type="auto"/>
        <w:tblLayout w:type="fixed"/>
        <w:tblCellMar>
          <w:left w:w="62" w:type="dxa"/>
          <w:right w:w="62" w:type="dxa"/>
        </w:tblCellMar>
        <w:tblLook w:val="0000"/>
      </w:tblPr>
      <w:tblGrid>
        <w:gridCol w:w="2754"/>
        <w:gridCol w:w="5768"/>
      </w:tblGrid>
      <w:tr w:rsidTr="0021066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p>
        </w:tc>
      </w:tr>
    </w:tbl>
    <w:p w:rsidR="00000000" w:rsidRPr="004216AE" w:rsidP="004216AE">
      <w:pPr>
        <w:pStyle w:val="BodyText"/>
      </w:pPr>
    </w:p>
    <w:p w:rsidR="00000000" w:rsidRPr="004216AE" w:rsidP="004216AE">
      <w:pPr>
        <w:pStyle w:val="AllowPageBreak"/>
      </w:pPr>
    </w:p>
    <w:p w:rsidR="00000000" w:rsidRPr="004216AE" w:rsidP="004216AE">
      <w:pPr>
        <w:pStyle w:val="Heading1"/>
      </w:pPr>
      <w:bookmarkStart w:id="14" w:name="O_156114"/>
      <w:bookmarkEnd w:id="14"/>
      <w:r w:rsidRPr="004216AE">
        <w:t>Co-requisite units</w:t>
      </w:r>
    </w:p>
    <w:tbl>
      <w:tblPr>
        <w:tblW w:w="0" w:type="auto"/>
        <w:tblLayout w:type="fixed"/>
        <w:tblCellMar>
          <w:left w:w="62" w:type="dxa"/>
          <w:right w:w="62" w:type="dxa"/>
        </w:tblCellMar>
        <w:tblLook w:val="0000"/>
      </w:tblPr>
      <w:tblGrid>
        <w:gridCol w:w="2629"/>
        <w:gridCol w:w="1324"/>
        <w:gridCol w:w="4569"/>
      </w:tblGrid>
      <w:tr w:rsidTr="0021066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r w:rsidRPr="004216A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6AE">
            <w:pPr>
              <w:pStyle w:val="BodyText"/>
              <w:rPr>
                <w:lang w:val="en-NZ"/>
              </w:rPr>
            </w:pPr>
          </w:p>
        </w:tc>
      </w:tr>
      <w:tr w:rsidTr="002106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6AE" w:rsidP="004216AE">
            <w:pPr>
              <w:pStyle w:val="BodyText"/>
            </w:pPr>
          </w:p>
        </w:tc>
      </w:tr>
    </w:tbl>
    <w:p w:rsidR="00000000" w:rsidRPr="004216AE" w:rsidP="004216AE">
      <w:pPr>
        <w:pStyle w:val="BodyText"/>
      </w:pPr>
    </w:p>
    <w:p w:rsidR="00000000" w:rsidRPr="004216AE" w:rsidP="004216AE"/>
    <w:sectPr w:rsidSect="00421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663" w:rsidP="00210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663" w:rsidP="00421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0663" w:rsidP="00421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0663" w:rsidP="00421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663" w:rsidP="002106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663" w:rsidP="004216AE">
    <w:pPr>
      <w:pStyle w:val="Header"/>
      <w:framePr w:wrap="around"/>
    </w:pPr>
    <w:r>
      <w:fldChar w:fldCharType="begin"/>
    </w:r>
    <w:r>
      <w:instrText xml:space="preserve"> TITLE   \* MERGEFORMAT </w:instrText>
    </w:r>
    <w:r>
      <w:fldChar w:fldCharType="separate"/>
    </w:r>
    <w:r>
      <w:t>FNSACC608A Evaluate organisation's financial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0663" w:rsidP="004216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21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AE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04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6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6AE"/>
    <w:pPr>
      <w:spacing w:before="360" w:after="60"/>
      <w:outlineLvl w:val="0"/>
    </w:pPr>
    <w:rPr>
      <w:sz w:val="32"/>
    </w:rPr>
  </w:style>
  <w:style w:type="paragraph" w:styleId="Heading2">
    <w:name w:val="heading 2"/>
    <w:basedOn w:val="HeadingBase"/>
    <w:next w:val="BodyText"/>
    <w:link w:val="Heading2Char"/>
    <w:qFormat/>
    <w:rsid w:val="004216AE"/>
    <w:pPr>
      <w:keepLines/>
      <w:spacing w:before="240" w:after="120"/>
      <w:outlineLvl w:val="1"/>
    </w:pPr>
    <w:rPr>
      <w:sz w:val="28"/>
      <w:szCs w:val="40"/>
    </w:rPr>
  </w:style>
  <w:style w:type="paragraph" w:styleId="Heading3">
    <w:name w:val="heading 3"/>
    <w:basedOn w:val="HeadingBase"/>
    <w:next w:val="BodyText"/>
    <w:link w:val="Heading3Char"/>
    <w:qFormat/>
    <w:rsid w:val="004216AE"/>
    <w:pPr>
      <w:spacing w:before="180" w:after="120"/>
      <w:outlineLvl w:val="2"/>
    </w:pPr>
    <w:rPr>
      <w:spacing w:val="-10"/>
      <w:kern w:val="32"/>
    </w:rPr>
  </w:style>
  <w:style w:type="paragraph" w:styleId="Heading4">
    <w:name w:val="heading 4"/>
    <w:basedOn w:val="HeadingBase"/>
    <w:next w:val="BodyText"/>
    <w:link w:val="Heading4Char"/>
    <w:qFormat/>
    <w:rsid w:val="004216AE"/>
    <w:pPr>
      <w:spacing w:before="160" w:after="120"/>
      <w:outlineLvl w:val="3"/>
    </w:pPr>
    <w:rPr>
      <w:sz w:val="22"/>
    </w:rPr>
  </w:style>
  <w:style w:type="paragraph" w:styleId="Heading5">
    <w:name w:val="heading 5"/>
    <w:basedOn w:val="HeadingBase"/>
    <w:next w:val="Normal"/>
    <w:link w:val="Heading5Char"/>
    <w:qFormat/>
    <w:rsid w:val="004216AE"/>
    <w:pPr>
      <w:spacing w:before="80"/>
      <w:outlineLvl w:val="4"/>
    </w:pPr>
    <w:rPr>
      <w:color w:val="918585"/>
      <w:sz w:val="20"/>
    </w:rPr>
  </w:style>
  <w:style w:type="paragraph" w:styleId="Heading6">
    <w:name w:val="heading 6"/>
    <w:basedOn w:val="HeadingBase"/>
    <w:next w:val="Normal"/>
    <w:link w:val="Heading6Char"/>
    <w:qFormat/>
    <w:rsid w:val="004216AE"/>
    <w:pPr>
      <w:spacing w:before="60"/>
      <w:outlineLvl w:val="5"/>
    </w:pPr>
    <w:rPr>
      <w:color w:val="918585"/>
      <w:sz w:val="20"/>
    </w:rPr>
  </w:style>
  <w:style w:type="paragraph" w:styleId="Heading7">
    <w:name w:val="heading 7"/>
    <w:basedOn w:val="Normal"/>
    <w:next w:val="Normal"/>
    <w:link w:val="Heading7Char"/>
    <w:qFormat/>
    <w:rsid w:val="004216AE"/>
    <w:pPr>
      <w:ind w:left="720"/>
      <w:outlineLvl w:val="6"/>
    </w:pPr>
    <w:rPr>
      <w:i/>
    </w:rPr>
  </w:style>
  <w:style w:type="paragraph" w:styleId="Heading8">
    <w:name w:val="heading 8"/>
    <w:basedOn w:val="Normal"/>
    <w:next w:val="Normal"/>
    <w:link w:val="Heading8Char"/>
    <w:qFormat/>
    <w:rsid w:val="004216AE"/>
    <w:pPr>
      <w:ind w:left="720"/>
      <w:outlineLvl w:val="7"/>
    </w:pPr>
    <w:rPr>
      <w:i/>
    </w:rPr>
  </w:style>
  <w:style w:type="paragraph" w:styleId="Heading9">
    <w:name w:val="heading 9"/>
    <w:basedOn w:val="Normal"/>
    <w:next w:val="Normal"/>
    <w:link w:val="Heading9Char"/>
    <w:qFormat/>
    <w:rsid w:val="004216AE"/>
    <w:pPr>
      <w:ind w:left="720"/>
      <w:outlineLvl w:val="8"/>
    </w:pPr>
    <w:rPr>
      <w:i/>
    </w:rPr>
  </w:style>
  <w:style w:type="character" w:default="1" w:styleId="DefaultParagraphFont">
    <w:name w:val="Default Paragraph Font"/>
    <w:uiPriority w:val="1"/>
    <w:unhideWhenUsed/>
    <w:rsid w:val="00421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6AE"/>
  </w:style>
  <w:style w:type="character" w:customStyle="1" w:styleId="Heading1Char">
    <w:name w:val="Heading 1 Char"/>
    <w:basedOn w:val="DefaultParagraphFont"/>
    <w:link w:val="Heading1"/>
    <w:rsid w:val="004216AE"/>
    <w:rPr>
      <w:rFonts w:ascii="Times New Roman" w:eastAsia="Times New Roman" w:hAnsi="Times New Roman" w:cs="Times New Roman"/>
      <w:b/>
      <w:sz w:val="32"/>
      <w:szCs w:val="20"/>
      <w:lang w:eastAsia="en-US"/>
    </w:rPr>
  </w:style>
  <w:style w:type="paragraph" w:styleId="BodyText">
    <w:name w:val="Body Text"/>
    <w:basedOn w:val="Normal"/>
    <w:link w:val="BodyTextChar"/>
    <w:rsid w:val="00421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6AE"/>
    <w:rPr>
      <w:rFonts w:ascii="Times New Roman" w:eastAsia="Times New Roman" w:hAnsi="Times New Roman" w:cs="Times New Roman"/>
      <w:sz w:val="24"/>
      <w:lang w:val="en-US" w:eastAsia="en-US"/>
    </w:rPr>
  </w:style>
  <w:style w:type="paragraph" w:styleId="Footer">
    <w:name w:val="footer"/>
    <w:basedOn w:val="Normal"/>
    <w:link w:val="FooterChar"/>
    <w:rsid w:val="00421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6AE"/>
    <w:rPr>
      <w:rFonts w:ascii="Times New Roman" w:eastAsia="Times New Roman" w:hAnsi="Times New Roman" w:cs="Times New Roman"/>
      <w:sz w:val="16"/>
      <w:lang w:val="en-US" w:eastAsia="en-US"/>
    </w:rPr>
  </w:style>
  <w:style w:type="paragraph" w:styleId="List">
    <w:name w:val="List"/>
    <w:basedOn w:val="BodyText"/>
    <w:next w:val="BodyText"/>
    <w:rsid w:val="004216AE"/>
    <w:pPr>
      <w:tabs>
        <w:tab w:val="left" w:pos="340"/>
      </w:tabs>
      <w:spacing w:before="60" w:after="60"/>
      <w:ind w:left="340" w:hanging="340"/>
    </w:pPr>
  </w:style>
  <w:style w:type="paragraph" w:styleId="ListBullet">
    <w:name w:val="List Bullet"/>
    <w:basedOn w:val="List"/>
    <w:rsid w:val="004216AE"/>
    <w:pPr>
      <w:numPr>
        <w:numId w:val="13"/>
      </w:numPr>
      <w:tabs>
        <w:tab w:val="clear" w:pos="340"/>
      </w:tabs>
      <w:spacing w:before="40" w:after="40"/>
    </w:pPr>
  </w:style>
  <w:style w:type="character" w:customStyle="1" w:styleId="SpecialBold">
    <w:name w:val="Special Bold"/>
    <w:basedOn w:val="DefaultParagraphFont"/>
    <w:rsid w:val="004216AE"/>
    <w:rPr>
      <w:b/>
      <w:spacing w:val="0"/>
    </w:rPr>
  </w:style>
  <w:style w:type="paragraph" w:styleId="ListBullet2">
    <w:name w:val="List Bullet 2"/>
    <w:basedOn w:val="List2"/>
    <w:rsid w:val="004216AE"/>
    <w:pPr>
      <w:numPr>
        <w:numId w:val="14"/>
      </w:numPr>
      <w:tabs>
        <w:tab w:val="clear" w:pos="680"/>
      </w:tabs>
    </w:pPr>
  </w:style>
  <w:style w:type="paragraph" w:styleId="Header">
    <w:name w:val="header"/>
    <w:basedOn w:val="Normal"/>
    <w:link w:val="HeaderChar"/>
    <w:rsid w:val="00421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6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6AE"/>
    <w:pPr>
      <w:spacing w:before="240" w:after="120"/>
      <w:outlineLvl w:val="0"/>
    </w:pPr>
    <w:rPr>
      <w:rFonts w:ascii="Times New Roman" w:hAnsi="Times New Roman"/>
      <w:b/>
      <w:sz w:val="28"/>
    </w:rPr>
  </w:style>
  <w:style w:type="paragraph" w:customStyle="1" w:styleId="AllowPageBreak">
    <w:name w:val="AllowPageBreak"/>
    <w:rsid w:val="004216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16AE"/>
    <w:pPr>
      <w:tabs>
        <w:tab w:val="left" w:pos="680"/>
      </w:tabs>
      <w:spacing w:before="60" w:after="60"/>
      <w:ind w:left="680" w:hanging="340"/>
    </w:pPr>
  </w:style>
  <w:style w:type="character" w:customStyle="1" w:styleId="BoldandItalics">
    <w:name w:val="Bold and Italics"/>
    <w:qFormat/>
    <w:rsid w:val="004216AE"/>
    <w:rPr>
      <w:b/>
      <w:i/>
      <w:u w:val="none"/>
    </w:rPr>
  </w:style>
  <w:style w:type="character" w:customStyle="1" w:styleId="Heading2Char">
    <w:name w:val="Heading 2 Char"/>
    <w:basedOn w:val="DefaultParagraphFont"/>
    <w:link w:val="Heading2"/>
    <w:rsid w:val="00421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6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6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6AE"/>
    <w:rPr>
      <w:rFonts w:ascii="Courier New" w:eastAsia="Times New Roman" w:hAnsi="Courier New" w:cs="Times New Roman"/>
      <w:i/>
      <w:szCs w:val="20"/>
      <w:lang w:val="en-US" w:eastAsia="en-US"/>
    </w:rPr>
  </w:style>
  <w:style w:type="paragraph" w:customStyle="1" w:styleId="HeadingBase">
    <w:name w:val="Heading Base"/>
    <w:rsid w:val="00421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6AE"/>
    <w:pPr>
      <w:tabs>
        <w:tab w:val="right" w:leader="dot" w:pos="9072"/>
      </w:tabs>
      <w:ind w:left="567"/>
    </w:pPr>
    <w:rPr>
      <w:szCs w:val="22"/>
    </w:rPr>
  </w:style>
  <w:style w:type="paragraph" w:customStyle="1" w:styleId="TOCBase">
    <w:name w:val="TOC Base"/>
    <w:rsid w:val="00421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6AE"/>
    <w:pPr>
      <w:tabs>
        <w:tab w:val="right" w:leader="dot" w:pos="9072"/>
      </w:tabs>
      <w:spacing w:before="40" w:after="40"/>
      <w:ind w:left="284"/>
    </w:pPr>
    <w:rPr>
      <w:rFonts w:ascii="Times New Roman" w:hAnsi="Times New Roman"/>
    </w:rPr>
  </w:style>
  <w:style w:type="paragraph" w:styleId="TOC1">
    <w:name w:val="toc 1"/>
    <w:basedOn w:val="TOCBase"/>
    <w:next w:val="Normal"/>
    <w:rsid w:val="00421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6AE"/>
    <w:pPr>
      <w:spacing w:before="5040"/>
      <w:jc w:val="center"/>
    </w:pPr>
    <w:rPr>
      <w:sz w:val="48"/>
      <w:szCs w:val="72"/>
      <w:lang w:val="en-US"/>
    </w:rPr>
  </w:style>
  <w:style w:type="character" w:customStyle="1" w:styleId="TitleChar">
    <w:name w:val="Title Char"/>
    <w:basedOn w:val="DefaultParagraphFont"/>
    <w:link w:val="Title"/>
    <w:rsid w:val="00421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6AE"/>
    <w:pPr>
      <w:tabs>
        <w:tab w:val="left" w:pos="3600"/>
        <w:tab w:val="left" w:pos="3958"/>
      </w:tabs>
    </w:pPr>
  </w:style>
  <w:style w:type="paragraph" w:customStyle="1" w:styleId="Note">
    <w:name w:val="Note"/>
    <w:basedOn w:val="BodyText"/>
    <w:rsid w:val="00421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6AE"/>
    <w:pPr>
      <w:framePr w:wrap="auto" w:hAnchor="text" w:y="6049"/>
    </w:pPr>
    <w:rPr>
      <w:color w:val="000000"/>
      <w:sz w:val="40"/>
    </w:rPr>
  </w:style>
  <w:style w:type="paragraph" w:customStyle="1" w:styleId="TOCTitle">
    <w:name w:val="TOCTitle"/>
    <w:basedOn w:val="Heading1"/>
    <w:rsid w:val="004216AE"/>
    <w:pPr>
      <w:spacing w:after="240"/>
      <w:jc w:val="center"/>
      <w:outlineLvl w:val="9"/>
    </w:pPr>
    <w:rPr>
      <w:caps/>
    </w:rPr>
  </w:style>
  <w:style w:type="paragraph" w:customStyle="1" w:styleId="Version">
    <w:name w:val="Version"/>
    <w:rsid w:val="00421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6AE"/>
    <w:pPr>
      <w:keepNext w:val="0"/>
      <w:tabs>
        <w:tab w:val="right" w:pos="4176"/>
      </w:tabs>
      <w:ind w:left="198" w:hanging="198"/>
    </w:pPr>
    <w:rPr>
      <w:rFonts w:ascii="Garamond" w:hAnsi="Garamond"/>
    </w:rPr>
  </w:style>
  <w:style w:type="paragraph" w:styleId="IndexHeading">
    <w:name w:val="index heading"/>
    <w:basedOn w:val="Normal"/>
    <w:next w:val="Index1"/>
    <w:semiHidden/>
    <w:rsid w:val="004216AE"/>
    <w:pPr>
      <w:spacing w:before="120" w:after="120"/>
    </w:pPr>
    <w:rPr>
      <w:rFonts w:ascii="Arial" w:hAnsi="Arial"/>
      <w:b/>
      <w:color w:val="918585"/>
      <w:sz w:val="24"/>
    </w:rPr>
  </w:style>
  <w:style w:type="paragraph" w:customStyle="1" w:styleId="Chapter">
    <w:name w:val="Chapter"/>
    <w:basedOn w:val="Normal"/>
    <w:rsid w:val="004216AE"/>
    <w:pPr>
      <w:spacing w:before="240"/>
    </w:pPr>
    <w:rPr>
      <w:rFonts w:ascii="Times New Roman" w:hAnsi="Times New Roman"/>
      <w:smallCaps/>
      <w:spacing w:val="80"/>
      <w:sz w:val="28"/>
    </w:rPr>
  </w:style>
  <w:style w:type="paragraph" w:customStyle="1" w:styleId="InChapter">
    <w:name w:val="InChapter"/>
    <w:basedOn w:val="Heading3"/>
    <w:rsid w:val="004216AE"/>
    <w:pPr>
      <w:spacing w:after="240"/>
      <w:outlineLvl w:val="9"/>
    </w:pPr>
    <w:rPr>
      <w:noProof/>
    </w:rPr>
  </w:style>
  <w:style w:type="paragraph" w:styleId="Index2">
    <w:name w:val="index 2"/>
    <w:basedOn w:val="Normal"/>
    <w:next w:val="Normal"/>
    <w:semiHidden/>
    <w:rsid w:val="004216AE"/>
    <w:pPr>
      <w:tabs>
        <w:tab w:val="right" w:pos="4176"/>
      </w:tabs>
      <w:ind w:left="568" w:hanging="284"/>
    </w:pPr>
    <w:rPr>
      <w:rFonts w:ascii="Garamond" w:hAnsi="Garamond"/>
    </w:rPr>
  </w:style>
  <w:style w:type="paragraph" w:customStyle="1" w:styleId="Byline">
    <w:name w:val="Byline"/>
    <w:rsid w:val="00421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6AE"/>
    <w:pPr>
      <w:tabs>
        <w:tab w:val="clear" w:pos="3600"/>
        <w:tab w:val="clear" w:pos="3958"/>
      </w:tabs>
      <w:jc w:val="right"/>
    </w:pPr>
  </w:style>
  <w:style w:type="character" w:styleId="Emphasis">
    <w:name w:val="Emphasis"/>
    <w:basedOn w:val="DefaultParagraphFont"/>
    <w:qFormat/>
    <w:rsid w:val="004216AE"/>
    <w:rPr>
      <w:i/>
    </w:rPr>
  </w:style>
  <w:style w:type="paragraph" w:styleId="Caption">
    <w:name w:val="caption"/>
    <w:basedOn w:val="BodyText"/>
    <w:next w:val="Normal"/>
    <w:qFormat/>
    <w:rsid w:val="004216AE"/>
    <w:pPr>
      <w:framePr w:w="2268" w:hSpace="181" w:vSpace="181" w:wrap="around" w:vAnchor="text" w:hAnchor="page" w:x="1135" w:y="285" w:anchorLock="1"/>
    </w:pPr>
    <w:rPr>
      <w:i/>
    </w:rPr>
  </w:style>
  <w:style w:type="paragraph" w:customStyle="1" w:styleId="MiniTOCTitle">
    <w:name w:val="MiniTOCTitle"/>
    <w:basedOn w:val="Heading4"/>
    <w:rsid w:val="004216AE"/>
    <w:pPr>
      <w:spacing w:before="240"/>
      <w:outlineLvl w:val="9"/>
    </w:pPr>
    <w:rPr>
      <w:noProof/>
      <w:sz w:val="24"/>
    </w:rPr>
  </w:style>
  <w:style w:type="paragraph" w:customStyle="1" w:styleId="MiniTOCItem">
    <w:name w:val="MiniTOCItem"/>
    <w:basedOn w:val="ListBullet"/>
    <w:rsid w:val="004216AE"/>
    <w:pPr>
      <w:numPr>
        <w:numId w:val="0"/>
      </w:numPr>
      <w:tabs>
        <w:tab w:val="right" w:leader="dot" w:pos="6521"/>
      </w:tabs>
      <w:spacing w:before="0" w:after="0"/>
    </w:pPr>
  </w:style>
  <w:style w:type="paragraph" w:customStyle="1" w:styleId="TOFTitle">
    <w:name w:val="TOFTitle"/>
    <w:basedOn w:val="TOCTitle"/>
    <w:rsid w:val="004216AE"/>
  </w:style>
  <w:style w:type="paragraph" w:styleId="TableofFigures">
    <w:name w:val="table of figures"/>
    <w:basedOn w:val="Normal"/>
    <w:next w:val="Normal"/>
    <w:semiHidden/>
    <w:rsid w:val="004216AE"/>
    <w:pPr>
      <w:tabs>
        <w:tab w:val="right" w:leader="dot" w:pos="9072"/>
      </w:tabs>
      <w:ind w:left="970" w:hanging="403"/>
    </w:pPr>
    <w:rPr>
      <w:rFonts w:ascii="Times New Roman" w:hAnsi="Times New Roman"/>
      <w:b/>
    </w:rPr>
  </w:style>
  <w:style w:type="paragraph" w:styleId="ListNumber">
    <w:name w:val="List Number"/>
    <w:basedOn w:val="List"/>
    <w:rsid w:val="004216AE"/>
    <w:pPr>
      <w:numPr>
        <w:numId w:val="11"/>
      </w:numPr>
    </w:pPr>
  </w:style>
  <w:style w:type="character" w:customStyle="1" w:styleId="WingdingSymbols">
    <w:name w:val="Wingding Symbols"/>
    <w:rsid w:val="004216AE"/>
    <w:rPr>
      <w:rFonts w:ascii="Wingdings" w:hAnsi="Wingdings"/>
    </w:rPr>
  </w:style>
  <w:style w:type="paragraph" w:customStyle="1" w:styleId="TableHeading">
    <w:name w:val="Table Heading"/>
    <w:basedOn w:val="HeadingBase"/>
    <w:rsid w:val="004216AE"/>
    <w:pPr>
      <w:keepLines/>
      <w:pBdr>
        <w:bottom w:val="single" w:sz="6" w:space="1" w:color="918585"/>
      </w:pBdr>
      <w:spacing w:before="240"/>
    </w:pPr>
  </w:style>
  <w:style w:type="character" w:customStyle="1" w:styleId="HotSpot">
    <w:name w:val="HotSpot"/>
    <w:rsid w:val="004216AE"/>
    <w:rPr>
      <w:color w:val="0033CC"/>
      <w:u w:val="none"/>
    </w:rPr>
  </w:style>
  <w:style w:type="paragraph" w:customStyle="1" w:styleId="BodyTextRight">
    <w:name w:val="Body Text Right"/>
    <w:basedOn w:val="BodyText"/>
    <w:rsid w:val="004216AE"/>
    <w:pPr>
      <w:spacing w:before="0" w:after="0"/>
      <w:jc w:val="right"/>
    </w:pPr>
  </w:style>
  <w:style w:type="paragraph" w:styleId="Index3">
    <w:name w:val="index 3"/>
    <w:basedOn w:val="ListNumber2"/>
    <w:next w:val="Normal"/>
    <w:semiHidden/>
    <w:rsid w:val="004216AE"/>
    <w:pPr>
      <w:numPr>
        <w:numId w:val="0"/>
      </w:numPr>
      <w:tabs>
        <w:tab w:val="right" w:leader="dot" w:pos="4176"/>
      </w:tabs>
    </w:pPr>
  </w:style>
  <w:style w:type="paragraph" w:styleId="ListNumber2">
    <w:name w:val="List Number 2"/>
    <w:basedOn w:val="List2"/>
    <w:rsid w:val="004216AE"/>
    <w:pPr>
      <w:numPr>
        <w:numId w:val="10"/>
      </w:numPr>
      <w:tabs>
        <w:tab w:val="clear" w:pos="1060"/>
      </w:tabs>
    </w:pPr>
  </w:style>
  <w:style w:type="paragraph" w:customStyle="1" w:styleId="MarginNote">
    <w:name w:val="Margin Note"/>
    <w:basedOn w:val="BodyText"/>
    <w:rsid w:val="00421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6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6AE"/>
    <w:rPr>
      <w:sz w:val="32"/>
    </w:rPr>
  </w:style>
  <w:style w:type="paragraph" w:customStyle="1" w:styleId="HeadingProcedure">
    <w:name w:val="Heading Procedure"/>
    <w:basedOn w:val="HeadingBase"/>
    <w:next w:val="Normal"/>
    <w:rsid w:val="004216AE"/>
    <w:pPr>
      <w:tabs>
        <w:tab w:val="left" w:pos="0"/>
      </w:tabs>
      <w:spacing w:before="120" w:after="60"/>
    </w:pPr>
    <w:rPr>
      <w:i/>
      <w:color w:val="918585"/>
      <w:sz w:val="22"/>
    </w:rPr>
  </w:style>
  <w:style w:type="paragraph" w:customStyle="1" w:styleId="TableBodyText">
    <w:name w:val="Table Body Text"/>
    <w:basedOn w:val="BodyText"/>
    <w:rsid w:val="004216AE"/>
    <w:pPr>
      <w:spacing w:before="60" w:after="60"/>
    </w:pPr>
  </w:style>
  <w:style w:type="paragraph" w:styleId="ListContinue">
    <w:name w:val="List Continue"/>
    <w:basedOn w:val="List"/>
    <w:rsid w:val="004216AE"/>
    <w:pPr>
      <w:ind w:firstLine="0"/>
    </w:pPr>
  </w:style>
  <w:style w:type="paragraph" w:customStyle="1" w:styleId="ListNote">
    <w:name w:val="List Note"/>
    <w:basedOn w:val="List"/>
    <w:rsid w:val="004216AE"/>
    <w:pPr>
      <w:pBdr>
        <w:top w:val="single" w:sz="6" w:space="2" w:color="918585"/>
        <w:bottom w:val="single" w:sz="6" w:space="2" w:color="918585"/>
      </w:pBdr>
      <w:tabs>
        <w:tab w:val="left" w:pos="1021"/>
      </w:tabs>
      <w:ind w:firstLine="0"/>
    </w:pPr>
  </w:style>
  <w:style w:type="paragraph" w:customStyle="1" w:styleId="Warning">
    <w:name w:val="Warning"/>
    <w:basedOn w:val="BodyText"/>
    <w:rsid w:val="004216AE"/>
    <w:pPr>
      <w:shd w:val="clear" w:color="auto" w:fill="D9D9D9"/>
      <w:tabs>
        <w:tab w:val="left" w:pos="992"/>
      </w:tabs>
      <w:ind w:left="119" w:right="119"/>
    </w:pPr>
    <w:rPr>
      <w:sz w:val="20"/>
    </w:rPr>
  </w:style>
  <w:style w:type="paragraph" w:customStyle="1" w:styleId="MarginIcons">
    <w:name w:val="Margin Icons"/>
    <w:basedOn w:val="BodyText"/>
    <w:rsid w:val="00421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6AE"/>
    <w:rPr>
      <w:rFonts w:ascii="Courier New" w:hAnsi="Courier New"/>
    </w:rPr>
  </w:style>
  <w:style w:type="paragraph" w:customStyle="1" w:styleId="NoteBullet">
    <w:name w:val="Note Bullet"/>
    <w:basedOn w:val="Note"/>
    <w:rsid w:val="004216AE"/>
    <w:pPr>
      <w:tabs>
        <w:tab w:val="clear" w:pos="680"/>
      </w:tabs>
      <w:spacing w:before="60" w:after="60"/>
    </w:pPr>
  </w:style>
  <w:style w:type="paragraph" w:customStyle="1" w:styleId="SubHeading2">
    <w:name w:val="SubHeading2"/>
    <w:basedOn w:val="HeadingBase"/>
    <w:rsid w:val="004216AE"/>
    <w:pPr>
      <w:spacing w:before="240" w:after="60"/>
    </w:pPr>
    <w:rPr>
      <w:sz w:val="20"/>
    </w:rPr>
  </w:style>
  <w:style w:type="paragraph" w:customStyle="1" w:styleId="SubHeading1">
    <w:name w:val="SubHeading1"/>
    <w:basedOn w:val="HeadingBase"/>
    <w:rsid w:val="004216AE"/>
    <w:pPr>
      <w:spacing w:before="240" w:after="60"/>
    </w:pPr>
    <w:rPr>
      <w:color w:val="918585"/>
      <w:sz w:val="22"/>
    </w:rPr>
  </w:style>
  <w:style w:type="paragraph" w:customStyle="1" w:styleId="SideHeading">
    <w:name w:val="Side Heading"/>
    <w:basedOn w:val="HeadingBase"/>
    <w:rsid w:val="00421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6AE"/>
    <w:pPr>
      <w:numPr>
        <w:numId w:val="12"/>
      </w:numPr>
    </w:pPr>
  </w:style>
  <w:style w:type="paragraph" w:styleId="PlainText">
    <w:name w:val="Plain Text"/>
    <w:basedOn w:val="Normal"/>
    <w:link w:val="PlainTextChar"/>
    <w:rsid w:val="004216AE"/>
    <w:rPr>
      <w:sz w:val="20"/>
    </w:rPr>
  </w:style>
  <w:style w:type="character" w:customStyle="1" w:styleId="PlainTextChar">
    <w:name w:val="Plain Text Char"/>
    <w:basedOn w:val="DefaultParagraphFont"/>
    <w:link w:val="PlainText"/>
    <w:rsid w:val="004216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16AE"/>
    <w:rPr>
      <w:b/>
      <w:smallCaps/>
    </w:rPr>
  </w:style>
  <w:style w:type="paragraph" w:customStyle="1" w:styleId="TableListNumber">
    <w:name w:val="Table List Number"/>
    <w:basedOn w:val="ListNumber"/>
    <w:rsid w:val="004216AE"/>
    <w:pPr>
      <w:numPr>
        <w:numId w:val="0"/>
      </w:numPr>
    </w:pPr>
  </w:style>
  <w:style w:type="paragraph" w:styleId="TOC4">
    <w:name w:val="toc 4"/>
    <w:basedOn w:val="TOCBase"/>
    <w:next w:val="Normal"/>
    <w:semiHidden/>
    <w:rsid w:val="004216AE"/>
    <w:pPr>
      <w:tabs>
        <w:tab w:val="right" w:leader="dot" w:pos="9071"/>
      </w:tabs>
      <w:ind w:left="1701"/>
    </w:pPr>
  </w:style>
  <w:style w:type="paragraph" w:customStyle="1" w:styleId="ListAlpha">
    <w:name w:val="List Alpha"/>
    <w:basedOn w:val="List"/>
    <w:rsid w:val="004216AE"/>
    <w:pPr>
      <w:numPr>
        <w:numId w:val="9"/>
      </w:numPr>
    </w:pPr>
  </w:style>
  <w:style w:type="paragraph" w:customStyle="1" w:styleId="ListAlpha2">
    <w:name w:val="List Alpha 2"/>
    <w:basedOn w:val="List2"/>
    <w:rsid w:val="004216AE"/>
    <w:pPr>
      <w:numPr>
        <w:numId w:val="8"/>
      </w:numPr>
    </w:pPr>
  </w:style>
  <w:style w:type="paragraph" w:styleId="List3">
    <w:name w:val="List 3"/>
    <w:basedOn w:val="BodyText"/>
    <w:rsid w:val="004216AE"/>
    <w:pPr>
      <w:tabs>
        <w:tab w:val="left" w:pos="1021"/>
      </w:tabs>
      <w:spacing w:before="60" w:after="60"/>
      <w:ind w:left="1020" w:hanging="340"/>
    </w:pPr>
  </w:style>
  <w:style w:type="paragraph" w:styleId="List4">
    <w:name w:val="List 4"/>
    <w:basedOn w:val="BodyText"/>
    <w:rsid w:val="004216AE"/>
    <w:pPr>
      <w:tabs>
        <w:tab w:val="left" w:pos="1361"/>
      </w:tabs>
      <w:spacing w:before="60" w:after="60"/>
      <w:ind w:left="1361" w:hanging="340"/>
    </w:pPr>
  </w:style>
  <w:style w:type="paragraph" w:styleId="List5">
    <w:name w:val="List 5"/>
    <w:basedOn w:val="BodyText"/>
    <w:rsid w:val="004216AE"/>
    <w:pPr>
      <w:tabs>
        <w:tab w:val="left" w:pos="1701"/>
      </w:tabs>
      <w:spacing w:before="60" w:after="60"/>
      <w:ind w:left="1701" w:hanging="340"/>
    </w:pPr>
  </w:style>
  <w:style w:type="paragraph" w:styleId="ListBullet3">
    <w:name w:val="List Bullet 3"/>
    <w:basedOn w:val="List3"/>
    <w:rsid w:val="004216AE"/>
    <w:pPr>
      <w:numPr>
        <w:numId w:val="15"/>
      </w:numPr>
      <w:tabs>
        <w:tab w:val="clear" w:pos="1021"/>
      </w:tabs>
      <w:ind w:left="1037" w:hanging="357"/>
    </w:pPr>
  </w:style>
  <w:style w:type="paragraph" w:styleId="ListBullet4">
    <w:name w:val="List Bullet 4"/>
    <w:basedOn w:val="List4"/>
    <w:rsid w:val="004216AE"/>
    <w:pPr>
      <w:numPr>
        <w:numId w:val="3"/>
      </w:numPr>
    </w:pPr>
  </w:style>
  <w:style w:type="paragraph" w:styleId="ListBullet5">
    <w:name w:val="List Bullet 5"/>
    <w:basedOn w:val="List5"/>
    <w:rsid w:val="004216AE"/>
    <w:pPr>
      <w:numPr>
        <w:numId w:val="4"/>
      </w:numPr>
    </w:pPr>
  </w:style>
  <w:style w:type="paragraph" w:styleId="ListContinue2">
    <w:name w:val="List Continue 2"/>
    <w:basedOn w:val="List2"/>
    <w:rsid w:val="004216AE"/>
    <w:pPr>
      <w:ind w:firstLine="0"/>
    </w:pPr>
  </w:style>
  <w:style w:type="paragraph" w:styleId="ListContinue3">
    <w:name w:val="List Continue 3"/>
    <w:basedOn w:val="List3"/>
    <w:rsid w:val="004216AE"/>
    <w:pPr>
      <w:ind w:left="1021" w:firstLine="0"/>
    </w:pPr>
  </w:style>
  <w:style w:type="paragraph" w:styleId="ListContinue4">
    <w:name w:val="List Continue 4"/>
    <w:basedOn w:val="List4"/>
    <w:rsid w:val="004216AE"/>
    <w:pPr>
      <w:ind w:firstLine="0"/>
    </w:pPr>
  </w:style>
  <w:style w:type="paragraph" w:styleId="ListContinue5">
    <w:name w:val="List Continue 5"/>
    <w:basedOn w:val="List5"/>
    <w:rsid w:val="004216AE"/>
    <w:pPr>
      <w:ind w:firstLine="0"/>
    </w:pPr>
  </w:style>
  <w:style w:type="paragraph" w:styleId="ListNumber3">
    <w:name w:val="List Number 3"/>
    <w:basedOn w:val="List3"/>
    <w:rsid w:val="004216AE"/>
    <w:pPr>
      <w:numPr>
        <w:numId w:val="5"/>
      </w:numPr>
    </w:pPr>
  </w:style>
  <w:style w:type="paragraph" w:styleId="ListNumber4">
    <w:name w:val="List Number 4"/>
    <w:basedOn w:val="List4"/>
    <w:rsid w:val="004216AE"/>
    <w:pPr>
      <w:numPr>
        <w:numId w:val="6"/>
      </w:numPr>
    </w:pPr>
  </w:style>
  <w:style w:type="paragraph" w:styleId="ListNumber5">
    <w:name w:val="List Number 5"/>
    <w:basedOn w:val="List5"/>
    <w:rsid w:val="004216AE"/>
    <w:pPr>
      <w:numPr>
        <w:numId w:val="7"/>
      </w:numPr>
    </w:pPr>
  </w:style>
  <w:style w:type="paragraph" w:styleId="BlockText">
    <w:name w:val="Block Text"/>
    <w:basedOn w:val="Normal"/>
    <w:rsid w:val="004216AE"/>
    <w:pPr>
      <w:spacing w:after="120"/>
      <w:ind w:left="1440" w:right="1440"/>
    </w:pPr>
  </w:style>
  <w:style w:type="character" w:customStyle="1" w:styleId="Subscript">
    <w:name w:val="Subscript"/>
    <w:basedOn w:val="DefaultParagraphFont"/>
    <w:rsid w:val="004216AE"/>
    <w:rPr>
      <w:sz w:val="16"/>
      <w:vertAlign w:val="subscript"/>
    </w:rPr>
  </w:style>
  <w:style w:type="character" w:customStyle="1" w:styleId="Superscript">
    <w:name w:val="Superscript"/>
    <w:basedOn w:val="DefaultParagraphFont"/>
    <w:rsid w:val="004216AE"/>
    <w:rPr>
      <w:sz w:val="16"/>
      <w:vertAlign w:val="superscript"/>
    </w:rPr>
  </w:style>
  <w:style w:type="character" w:customStyle="1" w:styleId="Symbols">
    <w:name w:val="Symbols"/>
    <w:basedOn w:val="DefaultParagraphFont"/>
    <w:rsid w:val="004216AE"/>
    <w:rPr>
      <w:rFonts w:ascii="Symbol" w:hAnsi="Symbol"/>
    </w:rPr>
  </w:style>
  <w:style w:type="character" w:customStyle="1" w:styleId="MenuOptions">
    <w:name w:val="Menu Options"/>
    <w:basedOn w:val="DefaultParagraphFont"/>
    <w:rsid w:val="004216AE"/>
    <w:rPr>
      <w:rFonts w:ascii="Arial Narrow" w:hAnsi="Arial Narrow"/>
      <w:smallCaps/>
    </w:rPr>
  </w:style>
  <w:style w:type="character" w:customStyle="1" w:styleId="Buttons">
    <w:name w:val="Buttons"/>
    <w:basedOn w:val="DefaultParagraphFont"/>
    <w:rsid w:val="004216AE"/>
    <w:rPr>
      <w:b/>
    </w:rPr>
  </w:style>
  <w:style w:type="character" w:customStyle="1" w:styleId="Underlined">
    <w:name w:val="Underlined"/>
    <w:basedOn w:val="DefaultParagraphFont"/>
    <w:rsid w:val="004216AE"/>
    <w:rPr>
      <w:u w:val="single"/>
    </w:rPr>
  </w:style>
  <w:style w:type="paragraph" w:customStyle="1" w:styleId="TableBodyTextRight">
    <w:name w:val="Table Body Text Right"/>
    <w:basedOn w:val="TableBodyText"/>
    <w:rsid w:val="004216AE"/>
    <w:pPr>
      <w:widowControl w:val="0"/>
      <w:autoSpaceDE w:val="0"/>
      <w:autoSpaceDN w:val="0"/>
      <w:adjustRightInd w:val="0"/>
      <w:jc w:val="right"/>
    </w:pPr>
    <w:rPr>
      <w:rFonts w:cs="Arial"/>
      <w:szCs w:val="18"/>
    </w:rPr>
  </w:style>
  <w:style w:type="paragraph" w:customStyle="1" w:styleId="CopyrightText">
    <w:name w:val="Copyright Text"/>
    <w:basedOn w:val="BodyText"/>
    <w:rsid w:val="004216AE"/>
    <w:rPr>
      <w:sz w:val="18"/>
    </w:rPr>
  </w:style>
  <w:style w:type="paragraph" w:customStyle="1" w:styleId="BodySmallRight">
    <w:name w:val="Body Small Right"/>
    <w:basedOn w:val="BodyTextRight"/>
    <w:rsid w:val="004216AE"/>
    <w:rPr>
      <w:sz w:val="18"/>
      <w:szCs w:val="18"/>
    </w:rPr>
  </w:style>
  <w:style w:type="paragraph" w:customStyle="1" w:styleId="MarginEdition">
    <w:name w:val="Margin Edition"/>
    <w:basedOn w:val="MarginNote"/>
    <w:rsid w:val="004216AE"/>
    <w:pPr>
      <w:spacing w:before="0" w:after="0"/>
    </w:pPr>
    <w:rPr>
      <w:rFonts w:ascii="Times New Roman" w:hAnsi="Times New Roman"/>
      <w:color w:val="999999"/>
    </w:rPr>
  </w:style>
  <w:style w:type="paragraph" w:customStyle="1" w:styleId="Spacer">
    <w:name w:val="Spacer"/>
    <w:basedOn w:val="Normal"/>
    <w:rsid w:val="004216AE"/>
    <w:rPr>
      <w:sz w:val="2"/>
      <w:szCs w:val="2"/>
    </w:rPr>
  </w:style>
  <w:style w:type="character" w:customStyle="1" w:styleId="Small">
    <w:name w:val="Small"/>
    <w:basedOn w:val="DefaultParagraphFont"/>
    <w:rsid w:val="004216AE"/>
    <w:rPr>
      <w:sz w:val="16"/>
    </w:rPr>
  </w:style>
  <w:style w:type="paragraph" w:customStyle="1" w:styleId="WideTable">
    <w:name w:val="Wide Table"/>
    <w:basedOn w:val="Normal"/>
    <w:rsid w:val="004216AE"/>
    <w:pPr>
      <w:ind w:left="-1418"/>
    </w:pPr>
    <w:rPr>
      <w:sz w:val="2"/>
      <w:szCs w:val="2"/>
    </w:rPr>
  </w:style>
  <w:style w:type="character" w:styleId="PageNumber">
    <w:name w:val="page number"/>
    <w:basedOn w:val="DefaultParagraphFont"/>
    <w:rsid w:val="004216AE"/>
  </w:style>
  <w:style w:type="paragraph" w:styleId="Quote">
    <w:name w:val="Quote"/>
    <w:basedOn w:val="Heading1"/>
    <w:link w:val="QuoteChar"/>
    <w:qFormat/>
    <w:rsid w:val="004216AE"/>
    <w:rPr>
      <w:b w:val="0"/>
      <w:sz w:val="72"/>
      <w:szCs w:val="72"/>
      <w:lang w:val="en-NZ"/>
    </w:rPr>
  </w:style>
  <w:style w:type="character" w:customStyle="1" w:styleId="QuoteChar">
    <w:name w:val="Quote Char"/>
    <w:basedOn w:val="DefaultParagraphFont"/>
    <w:link w:val="Quote"/>
    <w:rsid w:val="00421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6AE"/>
    <w:pPr>
      <w:pageBreakBefore/>
    </w:pPr>
  </w:style>
  <w:style w:type="paragraph" w:customStyle="1" w:styleId="Border">
    <w:name w:val="Border"/>
    <w:basedOn w:val="Normal"/>
    <w:qFormat/>
    <w:rsid w:val="00421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6AE"/>
    <w:rPr>
      <w:b/>
      <w:bCs/>
      <w:i/>
      <w:iCs/>
      <w:color w:val="auto"/>
    </w:rPr>
  </w:style>
  <w:style w:type="paragraph" w:styleId="IntenseQuote">
    <w:name w:val="Intense Quote"/>
    <w:basedOn w:val="Normal"/>
    <w:next w:val="Normal"/>
    <w:link w:val="IntenseQuoteChar"/>
    <w:uiPriority w:val="30"/>
    <w:qFormat/>
    <w:rsid w:val="00421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6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16AE"/>
    <w:rPr>
      <w:smallCaps/>
      <w:color w:val="auto"/>
      <w:u w:val="single"/>
    </w:rPr>
  </w:style>
  <w:style w:type="character" w:styleId="IntenseReference">
    <w:name w:val="Intense Reference"/>
    <w:basedOn w:val="DefaultParagraphFont"/>
    <w:uiPriority w:val="32"/>
    <w:qFormat/>
    <w:rsid w:val="004216AE"/>
    <w:rPr>
      <w:b/>
      <w:bCs/>
      <w:smallCaps/>
      <w:color w:val="auto"/>
      <w:spacing w:val="5"/>
      <w:u w:val="single"/>
    </w:rPr>
  </w:style>
  <w:style w:type="paragraph" w:customStyle="1" w:styleId="2ColumnHeading">
    <w:name w:val="2Column Heading"/>
    <w:basedOn w:val="BodyText"/>
    <w:qFormat/>
    <w:rsid w:val="004216AE"/>
    <w:pPr>
      <w:spacing w:after="60"/>
      <w:ind w:left="-2268"/>
    </w:pPr>
    <w:rPr>
      <w:b/>
    </w:rPr>
  </w:style>
  <w:style w:type="paragraph" w:customStyle="1" w:styleId="Heading1TOC">
    <w:name w:val="Heading1 TOC"/>
    <w:basedOn w:val="Normal"/>
    <w:qFormat/>
    <w:rsid w:val="004216AE"/>
    <w:pPr>
      <w:spacing w:before="240" w:after="120"/>
    </w:pPr>
    <w:rPr>
      <w:rFonts w:ascii="Times New Roman" w:hAnsi="Times New Roman"/>
      <w:b/>
      <w:sz w:val="32"/>
    </w:rPr>
  </w:style>
  <w:style w:type="paragraph" w:customStyle="1" w:styleId="Heading2TOC">
    <w:name w:val="Heading2 TOC"/>
    <w:basedOn w:val="Normal"/>
    <w:qFormat/>
    <w:rsid w:val="004216AE"/>
    <w:pPr>
      <w:spacing w:before="240" w:after="60"/>
    </w:pPr>
    <w:rPr>
      <w:rFonts w:ascii="Times New Roman" w:hAnsi="Times New Roman"/>
      <w:b/>
      <w:sz w:val="28"/>
    </w:rPr>
  </w:style>
  <w:style w:type="character" w:customStyle="1" w:styleId="Underline">
    <w:name w:val="Underline"/>
    <w:basedOn w:val="DefaultParagraphFont"/>
    <w:qFormat/>
    <w:rsid w:val="004216AE"/>
    <w:rPr>
      <w:u w:val="single"/>
    </w:rPr>
  </w:style>
  <w:style w:type="paragraph" w:styleId="BalloonText">
    <w:name w:val="Balloon Text"/>
    <w:basedOn w:val="Normal"/>
    <w:link w:val="BalloonTextChar"/>
    <w:rsid w:val="004216AE"/>
    <w:rPr>
      <w:rFonts w:ascii="Tahoma" w:hAnsi="Tahoma" w:cs="Tahoma"/>
      <w:sz w:val="16"/>
      <w:szCs w:val="16"/>
    </w:rPr>
  </w:style>
  <w:style w:type="character" w:customStyle="1" w:styleId="BalloonTextChar">
    <w:name w:val="Balloon Text Char"/>
    <w:basedOn w:val="DefaultParagraphFont"/>
    <w:link w:val="BalloonText"/>
    <w:rsid w:val="004216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6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8058</Characters>
  <Application>Microsoft Office Word</Application>
  <DocSecurity>0</DocSecurity>
  <Lines>310</Lines>
  <Paragraphs>179</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FNSACC608A Evaluate organisation's financial performance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