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519" w:rsidP="00495519">
      <w:pPr>
        <w:pStyle w:val="Title"/>
      </w:pPr>
      <w:r>
        <w:fldChar w:fldCharType="begin"/>
      </w:r>
      <w:r>
        <w:instrText xml:space="preserve"> TITLE   \* MERGEFORMAT </w:instrText>
      </w:r>
      <w:r>
        <w:fldChar w:fldCharType="separate"/>
      </w:r>
      <w:r>
        <w:t>FNSACC604A Monitor corporate governance activities</w:t>
      </w:r>
      <w:r>
        <w:fldChar w:fldCharType="end"/>
      </w:r>
    </w:p>
    <w:p w:rsidR="00495519" w:rsidP="00495519">
      <w:pPr>
        <w:pStyle w:val="Version"/>
        <w:sectPr w:rsidSect="00EC56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56E9" w:rsidP="00EC56E9">
      <w:pPr>
        <w:pStyle w:val="SuperHeading"/>
      </w:pPr>
      <w:r w:rsidRPr="00EC56E9">
        <w:t>FNSACC604A Monitor corporate governance activities</w:t>
      </w:r>
    </w:p>
    <w:p w:rsidR="00000000" w:rsidRPr="00EC56E9" w:rsidP="00EC56E9">
      <w:pPr>
        <w:pStyle w:val="SuperHeading"/>
      </w:pPr>
    </w:p>
    <w:p w:rsidR="00000000" w:rsidRPr="00EC56E9" w:rsidP="00EC56E9">
      <w:pPr>
        <w:pStyle w:val="Heading1"/>
      </w:pPr>
      <w:bookmarkStart w:id="1" w:name="O_77199"/>
      <w:bookmarkEnd w:id="1"/>
      <w:r w:rsidRPr="00EC56E9">
        <w:t>Modification History</w:t>
      </w:r>
    </w:p>
    <w:p w:rsidR="00000000" w:rsidRPr="00EC56E9" w:rsidP="00EC56E9">
      <w:pPr>
        <w:pStyle w:val="BodyText"/>
      </w:pPr>
      <w:r w:rsidRPr="00EC56E9">
        <w:t>Not applicable.</w:t>
      </w:r>
    </w:p>
    <w:p w:rsidR="00000000" w:rsidRPr="00EC56E9" w:rsidP="00EC56E9">
      <w:pPr>
        <w:pStyle w:val="AllowPageBreak"/>
      </w:pPr>
    </w:p>
    <w:p w:rsidR="00000000" w:rsidRPr="00EC56E9" w:rsidP="00EC56E9">
      <w:pPr>
        <w:pStyle w:val="Heading1"/>
      </w:pPr>
      <w:bookmarkStart w:id="2" w:name="O_77200"/>
      <w:bookmarkEnd w:id="2"/>
      <w:r w:rsidRPr="00EC56E9">
        <w:t>Unit Descriptor</w:t>
      </w:r>
    </w:p>
    <w:tbl>
      <w:tblPr>
        <w:tblW w:w="0" w:type="auto"/>
        <w:tblLayout w:type="fixed"/>
        <w:tblCellMar>
          <w:left w:w="62" w:type="dxa"/>
          <w:right w:w="62" w:type="dxa"/>
        </w:tblCellMar>
        <w:tblLook w:val="0000"/>
      </w:tblPr>
      <w:tblGrid>
        <w:gridCol w:w="2639"/>
        <w:gridCol w:w="5883"/>
      </w:tblGrid>
      <w:tr w:rsidTr="0049551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This unit describes the performance outcomes, skills and knowledge required to research corporate gove</w:t>
            </w:r>
            <w:r w:rsidRPr="00EC56E9">
              <w:t>rnance reporting trends, examine corporate governance standards and practices, and review compliance to develop and implement processes and procedures for meeting corporate governance obligations.</w:t>
            </w:r>
          </w:p>
          <w:p w:rsidR="00000000" w:rsidRPr="00EC56E9" w:rsidP="00EC56E9">
            <w:pPr>
              <w:pStyle w:val="BodyText"/>
            </w:pPr>
          </w:p>
          <w:p w:rsidR="00000000" w:rsidRPr="00EC56E9" w:rsidP="00EC56E9">
            <w:pPr>
              <w:pStyle w:val="BodyText"/>
            </w:pPr>
            <w:r w:rsidRPr="00EC56E9">
              <w:t>This unit has application to a variety of financial servic</w:t>
            </w:r>
            <w:r w:rsidRPr="00EC56E9">
              <w:t>es sectors and is applicable to individuals working within enterprises and job roles subject to licensing, legislative, regulatory or certification requirements so the varying Commonwealth, State or Territory requirements should be confirmed with the relev</w:t>
            </w:r>
            <w:r w:rsidRPr="00EC56E9">
              <w:t>ant body.</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3" w:name="O_77201"/>
      <w:bookmarkEnd w:id="3"/>
      <w:r w:rsidRPr="00EC56E9">
        <w:t>Application of the Unit</w:t>
      </w:r>
    </w:p>
    <w:tbl>
      <w:tblPr>
        <w:tblW w:w="0" w:type="auto"/>
        <w:tblLayout w:type="fixed"/>
        <w:tblCellMar>
          <w:left w:w="62" w:type="dxa"/>
          <w:right w:w="62" w:type="dxa"/>
        </w:tblCellMar>
        <w:tblLook w:val="0000"/>
      </w:tblPr>
      <w:tblGrid>
        <w:gridCol w:w="2724"/>
        <w:gridCol w:w="5798"/>
      </w:tblGrid>
      <w:tr w:rsidTr="00495519">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The unit has application across all sectors of the financial services industry.</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4" w:name="O_77202"/>
      <w:bookmarkEnd w:id="4"/>
      <w:r w:rsidRPr="00EC56E9">
        <w:t>Licensing/Regulatory Information</w:t>
      </w:r>
    </w:p>
    <w:p w:rsidR="00000000" w:rsidRPr="00EC56E9" w:rsidP="00EC56E9">
      <w:pPr>
        <w:pStyle w:val="BodyText"/>
      </w:pPr>
      <w:r w:rsidRPr="00EC56E9">
        <w:t>Not applicable.</w:t>
      </w:r>
    </w:p>
    <w:p w:rsidR="00000000" w:rsidRPr="00EC56E9" w:rsidP="00EC56E9">
      <w:pPr>
        <w:pStyle w:val="AllowPageBreak"/>
      </w:pPr>
    </w:p>
    <w:p w:rsidR="00000000" w:rsidRPr="00EC56E9" w:rsidP="00EC56E9">
      <w:pPr>
        <w:pStyle w:val="Heading1"/>
      </w:pPr>
      <w:bookmarkStart w:id="5" w:name="O_77204"/>
      <w:bookmarkEnd w:id="5"/>
      <w:r w:rsidRPr="00EC56E9">
        <w:t>Pre-Requisites</w:t>
      </w:r>
    </w:p>
    <w:tbl>
      <w:tblPr>
        <w:tblW w:w="0" w:type="auto"/>
        <w:tblLayout w:type="fixed"/>
        <w:tblCellMar>
          <w:left w:w="62" w:type="dxa"/>
          <w:right w:w="62" w:type="dxa"/>
        </w:tblCellMar>
        <w:tblLook w:val="0000"/>
      </w:tblPr>
      <w:tblGrid>
        <w:gridCol w:w="2745"/>
        <w:gridCol w:w="1301"/>
        <w:gridCol w:w="4476"/>
      </w:tblGrid>
      <w:tr w:rsidTr="0049551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p>
        </w:tc>
      </w:tr>
      <w:tr w:rsidTr="0049551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p>
        </w:tc>
      </w:tr>
      <w:tr w:rsidTr="0049551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6" w:name="O_77203"/>
      <w:bookmarkEnd w:id="6"/>
      <w:r w:rsidRPr="00EC56E9">
        <w:t>Employability Skills Information</w:t>
      </w:r>
    </w:p>
    <w:tbl>
      <w:tblPr>
        <w:tblW w:w="0" w:type="auto"/>
        <w:tblLayout w:type="fixed"/>
        <w:tblCellMar>
          <w:left w:w="62" w:type="dxa"/>
          <w:right w:w="62" w:type="dxa"/>
        </w:tblCellMar>
        <w:tblLook w:val="0000"/>
      </w:tblPr>
      <w:tblGrid>
        <w:gridCol w:w="2762"/>
        <w:gridCol w:w="5760"/>
      </w:tblGrid>
      <w:tr w:rsidTr="0049551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This unit contains employability skills.</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7" w:name="O_77205"/>
      <w:bookmarkEnd w:id="7"/>
      <w:r w:rsidRPr="00EC56E9">
        <w:t>Elements and Performance Criteria Pre-Content</w:t>
      </w:r>
    </w:p>
    <w:tbl>
      <w:tblPr>
        <w:tblW w:w="0" w:type="auto"/>
        <w:tblLayout w:type="fixed"/>
        <w:tblCellMar>
          <w:left w:w="62" w:type="dxa"/>
          <w:right w:w="62" w:type="dxa"/>
        </w:tblCellMar>
        <w:tblLook w:val="0000"/>
      </w:tblPr>
      <w:tblGrid>
        <w:gridCol w:w="2562"/>
        <w:gridCol w:w="5960"/>
      </w:tblGrid>
      <w:tr w:rsidTr="0049551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Performance criteria describe the performance needed to demonstrate achievement of the element. Where bold italicised text is used, further information is detailed in the required skills and</w:t>
            </w:r>
            <w:r w:rsidRPr="00EC56E9">
              <w:t xml:space="preserve"> knowledge section and the range statement. Assessment of performance is to be consistent with the evidence guide.</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8" w:name="O_77206"/>
      <w:bookmarkEnd w:id="8"/>
      <w:r w:rsidRPr="00EC56E9">
        <w:t>Elements and Performance Criteria</w:t>
      </w:r>
    </w:p>
    <w:tbl>
      <w:tblPr>
        <w:tblW w:w="0" w:type="auto"/>
        <w:tblLayout w:type="fixed"/>
        <w:tblCellMar>
          <w:left w:w="62" w:type="dxa"/>
          <w:right w:w="62" w:type="dxa"/>
        </w:tblCellMar>
        <w:tblLook w:val="0000"/>
      </w:tblPr>
      <w:tblGrid>
        <w:gridCol w:w="2562"/>
        <w:gridCol w:w="5960"/>
      </w:tblGrid>
      <w:tr w:rsidTr="0049551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PERFORMANCE CRITERIA</w:t>
            </w:r>
          </w:p>
        </w:tc>
      </w:tr>
      <w:tr w:rsidTr="0049551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List"/>
              <w:rPr>
                <w:lang w:val="en-NZ"/>
              </w:rPr>
            </w:pPr>
            <w:r w:rsidRPr="00EC56E9">
              <w:t>1.</w:t>
            </w:r>
            <w:r w:rsidRPr="00EC56E9">
              <w:tab/>
              <w:t>Establish corporate governance standards and practices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2"/>
            </w:pPr>
            <w:r w:rsidRPr="00EC56E9">
              <w:t>1.1.</w:t>
            </w:r>
            <w:r w:rsidRPr="00EC56E9">
              <w:tab/>
              <w:t xml:space="preserve">Application of, and adherence to, </w:t>
            </w:r>
            <w:r w:rsidRPr="00EC56E9">
              <w:rPr>
                <w:rStyle w:val="BoldandItalics"/>
              </w:rPr>
              <w:t>professional and legal accounting standards</w:t>
            </w:r>
            <w:r w:rsidRPr="00EC56E9">
              <w:t xml:space="preserve"> are monitored to identify emerging trends and interpretations of </w:t>
            </w:r>
            <w:r w:rsidRPr="00EC56E9">
              <w:rPr>
                <w:rStyle w:val="BoldandItalics"/>
              </w:rPr>
              <w:t>statutory and other regulatory requirements</w:t>
            </w:r>
          </w:p>
          <w:p w:rsidR="00000000" w:rsidP="00EC56E9">
            <w:pPr>
              <w:pStyle w:val="List2"/>
              <w:rPr>
                <w:lang w:val="en-NZ"/>
              </w:rPr>
            </w:pPr>
            <w:r w:rsidRPr="00EC56E9">
              <w:t>1.2.</w:t>
            </w:r>
            <w:r w:rsidRPr="00EC56E9">
              <w:tab/>
              <w:t>Audit reports and practices are researched to assess method</w:t>
            </w:r>
            <w:r w:rsidRPr="00EC56E9">
              <w:t>ologies and recommendations</w:t>
            </w:r>
          </w:p>
        </w:tc>
      </w:tr>
      <w:tr w:rsidTr="0049551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List"/>
              <w:rPr>
                <w:lang w:val="en-NZ"/>
              </w:rPr>
            </w:pPr>
            <w:r w:rsidRPr="00EC56E9">
              <w:t>2.</w:t>
            </w:r>
            <w:r w:rsidRPr="00EC56E9">
              <w:tab/>
              <w:t>Identify corporate governance reporting trends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2"/>
            </w:pPr>
            <w:r w:rsidRPr="00EC56E9">
              <w:t>2.1.</w:t>
            </w:r>
            <w:r w:rsidRPr="00EC56E9">
              <w:tab/>
              <w:t xml:space="preserve">Organisational practices are analysed to identify corporate governance </w:t>
            </w:r>
            <w:r w:rsidRPr="00EC56E9">
              <w:rPr>
                <w:rStyle w:val="BoldandItalics"/>
              </w:rPr>
              <w:t>obligations</w:t>
            </w:r>
            <w:r w:rsidRPr="00EC56E9">
              <w:t xml:space="preserve"> and performance</w:t>
            </w:r>
          </w:p>
          <w:p w:rsidR="00000000" w:rsidRPr="00EC56E9" w:rsidP="00EC56E9">
            <w:pPr>
              <w:pStyle w:val="List2"/>
            </w:pPr>
            <w:r w:rsidRPr="00EC56E9">
              <w:t>2.2.</w:t>
            </w:r>
            <w:r w:rsidRPr="00EC56E9">
              <w:tab/>
              <w:t>Queries from statutory and other regulatory authorities for corporat</w:t>
            </w:r>
            <w:r w:rsidRPr="00EC56E9">
              <w:t xml:space="preserve">e governance failure are examined to assess the change effects on </w:t>
            </w:r>
            <w:r w:rsidRPr="00EC56E9">
              <w:rPr>
                <w:rStyle w:val="BoldandItalics"/>
              </w:rPr>
              <w:t>internal control procedures</w:t>
            </w:r>
          </w:p>
          <w:p w:rsidR="00000000" w:rsidP="00EC56E9">
            <w:pPr>
              <w:pStyle w:val="List2"/>
              <w:rPr>
                <w:lang w:val="en-NZ"/>
              </w:rPr>
            </w:pPr>
            <w:r w:rsidRPr="00EC56E9">
              <w:t>2.3.</w:t>
            </w:r>
            <w:r w:rsidRPr="00EC56E9">
              <w:tab/>
              <w:t xml:space="preserve">Content and structure of reports, returns and processes for review are assessed to evaluate </w:t>
            </w:r>
            <w:r w:rsidRPr="00EC56E9">
              <w:rPr>
                <w:rStyle w:val="BoldandItalics"/>
              </w:rPr>
              <w:t>policies</w:t>
            </w:r>
            <w:r w:rsidRPr="00EC56E9">
              <w:t xml:space="preserve"> being followed by the organisation</w:t>
            </w:r>
          </w:p>
        </w:tc>
      </w:tr>
      <w:tr w:rsidTr="0049551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List"/>
              <w:rPr>
                <w:lang w:val="en-NZ"/>
              </w:rPr>
            </w:pPr>
            <w:r w:rsidRPr="00EC56E9">
              <w:t>3.</w:t>
            </w:r>
            <w:r w:rsidRPr="00EC56E9">
              <w:tab/>
              <w:t>Determine process</w:t>
            </w:r>
            <w:r w:rsidRPr="00EC56E9">
              <w:t>es for corporate governance adherence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2"/>
            </w:pPr>
            <w:r w:rsidRPr="00EC56E9">
              <w:t>3.1.</w:t>
            </w:r>
            <w:r w:rsidRPr="00EC56E9">
              <w:tab/>
              <w:t>Internal control procedures are analysed and monitored to determine performance indicators for compliance with corporate governance requirements</w:t>
            </w:r>
          </w:p>
          <w:p w:rsidR="00000000" w:rsidRPr="00EC56E9" w:rsidP="00EC56E9">
            <w:pPr>
              <w:pStyle w:val="List2"/>
            </w:pPr>
            <w:r w:rsidRPr="00EC56E9">
              <w:t>3.2.</w:t>
            </w:r>
            <w:r w:rsidRPr="00EC56E9">
              <w:tab/>
            </w:r>
            <w:r w:rsidRPr="00EC56E9">
              <w:rPr>
                <w:rStyle w:val="BoldandItalics"/>
              </w:rPr>
              <w:t>Information technology systems</w:t>
            </w:r>
            <w:r w:rsidRPr="00EC56E9">
              <w:t xml:space="preserve"> are evaluated to determine their</w:t>
            </w:r>
            <w:r w:rsidRPr="00EC56E9">
              <w:t xml:space="preserve"> use and suitability for recording data from operations and transactions for corporate governance obligations</w:t>
            </w:r>
          </w:p>
          <w:p w:rsidR="00000000" w:rsidRPr="00EC56E9" w:rsidP="00EC56E9">
            <w:pPr>
              <w:pStyle w:val="List2"/>
            </w:pPr>
            <w:r w:rsidRPr="00EC56E9">
              <w:t>3.3.</w:t>
            </w:r>
            <w:r w:rsidRPr="00EC56E9">
              <w:tab/>
            </w:r>
            <w:r w:rsidRPr="00EC56E9">
              <w:rPr>
                <w:rStyle w:val="BoldandItalics"/>
              </w:rPr>
              <w:t>Management processes</w:t>
            </w:r>
            <w:r w:rsidRPr="00EC56E9">
              <w:t xml:space="preserve"> to support corporate governance are established</w:t>
            </w:r>
          </w:p>
          <w:p w:rsidR="00000000" w:rsidP="00EC56E9">
            <w:pPr>
              <w:pStyle w:val="List2"/>
              <w:rPr>
                <w:lang w:val="en-NZ"/>
              </w:rPr>
            </w:pPr>
            <w:r w:rsidRPr="00EC56E9">
              <w:t>3.4.</w:t>
            </w:r>
            <w:r w:rsidRPr="00EC56E9">
              <w:tab/>
              <w:t xml:space="preserve">Reporting plans are established to ensure completion of compliance </w:t>
            </w:r>
            <w:r w:rsidRPr="00EC56E9">
              <w:t>requirements within scheduled timeframes</w:t>
            </w:r>
          </w:p>
        </w:tc>
      </w:tr>
      <w:tr w:rsidTr="0049551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List"/>
              <w:rPr>
                <w:lang w:val="en-NZ"/>
              </w:rPr>
            </w:pPr>
            <w:r w:rsidRPr="00EC56E9">
              <w:t>4.</w:t>
            </w:r>
            <w:r w:rsidRPr="00EC56E9">
              <w:tab/>
              <w:t>Review corporate governance compliance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2"/>
            </w:pPr>
            <w:r w:rsidRPr="00EC56E9">
              <w:t>4.1.</w:t>
            </w:r>
            <w:r w:rsidRPr="00EC56E9">
              <w:tab/>
              <w:t xml:space="preserve">The achievement of </w:t>
            </w:r>
            <w:r w:rsidRPr="00EC56E9">
              <w:rPr>
                <w:rStyle w:val="BoldandItalics"/>
              </w:rPr>
              <w:t>performance indicators</w:t>
            </w:r>
            <w:r w:rsidRPr="00EC56E9">
              <w:t xml:space="preserve"> is assessed and reviewed against </w:t>
            </w:r>
            <w:r w:rsidRPr="00EC56E9">
              <w:rPr>
                <w:rStyle w:val="BoldandItalics"/>
              </w:rPr>
              <w:t>key result areas</w:t>
            </w:r>
          </w:p>
          <w:p w:rsidR="00000000" w:rsidRPr="00EC56E9" w:rsidP="00EC56E9">
            <w:pPr>
              <w:pStyle w:val="List2"/>
            </w:pPr>
            <w:r w:rsidRPr="00EC56E9">
              <w:t>4.2.</w:t>
            </w:r>
            <w:r w:rsidRPr="00EC56E9">
              <w:tab/>
            </w:r>
            <w:r w:rsidRPr="00EC56E9">
              <w:t>Compliance preparation processes are monitored and reviewed in line with corporate governance requirements</w:t>
            </w:r>
          </w:p>
          <w:p w:rsidR="00000000" w:rsidRPr="00EC56E9" w:rsidP="00EC56E9">
            <w:pPr>
              <w:pStyle w:val="List2"/>
            </w:pPr>
            <w:r w:rsidRPr="00EC56E9">
              <w:t>4.3.</w:t>
            </w:r>
            <w:r w:rsidRPr="00EC56E9">
              <w:tab/>
              <w:t>Failures in compliance are analysed to diagnose shortcomings and to remedy processes in line with corporate governance requirements</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9" w:name="O_77207"/>
      <w:bookmarkEnd w:id="9"/>
      <w:r w:rsidRPr="00EC56E9">
        <w:t>Required Skills and Knowledge</w:t>
      </w:r>
    </w:p>
    <w:tbl>
      <w:tblPr>
        <w:tblW w:w="0" w:type="auto"/>
        <w:tblLayout w:type="fixed"/>
        <w:tblCellMar>
          <w:left w:w="62" w:type="dxa"/>
          <w:right w:w="62" w:type="dxa"/>
        </w:tblCellMar>
        <w:tblLook w:val="0000"/>
      </w:tblPr>
      <w:tblGrid>
        <w:gridCol w:w="8522"/>
      </w:tblGrid>
      <w:tr w:rsidTr="004955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REQUIRED SKILLS AND KNOWLEDGE</w:t>
            </w:r>
          </w:p>
        </w:tc>
      </w:tr>
      <w:tr w:rsidTr="004955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t>This section describes the skills and knowledge required for this unit.</w:t>
            </w:r>
          </w:p>
        </w:tc>
      </w:tr>
      <w:tr w:rsidTr="00495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Required skills</w:t>
            </w:r>
          </w:p>
        </w:tc>
      </w:tr>
      <w:tr w:rsidTr="00495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high level communication skills to:</w:t>
            </w:r>
          </w:p>
          <w:p w:rsidR="00000000" w:rsidRPr="00EC56E9" w:rsidP="00EC56E9">
            <w:pPr>
              <w:pStyle w:val="ListBullet2"/>
            </w:pPr>
            <w:r w:rsidRPr="00EC56E9">
              <w:t>determine and confirm corporate governance parameters and requirements by consulting with staff on internal control procedures and using questioning and active listening as required</w:t>
            </w:r>
          </w:p>
          <w:p w:rsidR="00000000" w:rsidRPr="00EC56E9" w:rsidP="00EC56E9">
            <w:pPr>
              <w:pStyle w:val="ListBullet2"/>
            </w:pPr>
            <w:r w:rsidRPr="00EC56E9">
              <w:t>liaise with others, share information, listen and understand</w:t>
            </w:r>
          </w:p>
          <w:p w:rsidR="00000000" w:rsidRPr="00EC56E9" w:rsidP="00EC56E9">
            <w:pPr>
              <w:pStyle w:val="ListBullet2"/>
            </w:pPr>
            <w:r w:rsidRPr="00EC56E9">
              <w:t xml:space="preserve">use language </w:t>
            </w:r>
            <w:r w:rsidRPr="00EC56E9">
              <w:t>and concepts appropriate to cultural differences</w:t>
            </w:r>
          </w:p>
          <w:p w:rsidR="00000000" w:rsidRPr="00EC56E9" w:rsidP="00EC56E9">
            <w:pPr>
              <w:pStyle w:val="ListBullet"/>
            </w:pPr>
            <w:r w:rsidRPr="00EC56E9">
              <w:t>well-developed research and analysis skills for accessing and managing complex information</w:t>
            </w:r>
          </w:p>
          <w:p w:rsidR="00000000" w:rsidRPr="00EC56E9" w:rsidP="00EC56E9">
            <w:pPr>
              <w:pStyle w:val="ListBullet"/>
            </w:pPr>
            <w:r w:rsidRPr="00EC56E9">
              <w:t>well-developed literacy skills for interpreting and analysing complex documentation including relevant corporate go</w:t>
            </w:r>
            <w:r w:rsidRPr="00EC56E9">
              <w:t>vernance legislation and producing management systems and evaluation reports</w:t>
            </w:r>
          </w:p>
          <w:p w:rsidR="00000000" w:rsidRPr="00EC56E9" w:rsidP="00EC56E9">
            <w:pPr>
              <w:pStyle w:val="ListBullet"/>
            </w:pPr>
            <w:r w:rsidRPr="00EC56E9">
              <w:t>numeracy skills to accurately analyse, record and store data in accordance with organisational requirements</w:t>
            </w:r>
          </w:p>
          <w:p w:rsidR="00000000" w:rsidRPr="00EC56E9" w:rsidP="00EC56E9">
            <w:pPr>
              <w:pStyle w:val="ListBullet"/>
            </w:pPr>
            <w:r w:rsidRPr="00EC56E9">
              <w:t>IT skills for accessing and using integrated financial systems, spreads</w:t>
            </w:r>
            <w:r w:rsidRPr="00EC56E9">
              <w:t>heets and databases and using internet information</w:t>
            </w:r>
          </w:p>
          <w:p w:rsidR="00000000" w:rsidRPr="00EC56E9" w:rsidP="00EC56E9">
            <w:pPr>
              <w:pStyle w:val="ListBullet"/>
            </w:pPr>
            <w:r w:rsidRPr="00EC56E9">
              <w:t>learning skills to maintain knowledge of changes to corporate governance and compliance legislation and requirements</w:t>
            </w:r>
          </w:p>
          <w:p w:rsidR="00000000" w:rsidRPr="00EC56E9" w:rsidP="00EC56E9">
            <w:pPr>
              <w:pStyle w:val="ListBullet"/>
            </w:pPr>
            <w:r w:rsidRPr="00EC56E9">
              <w:t>problem solving skills to identify any issues that have the potential to impact on the g</w:t>
            </w:r>
            <w:r w:rsidRPr="00EC56E9">
              <w:t>overnance of the organisation and to develop options to resolve these issues when they arise</w:t>
            </w:r>
          </w:p>
          <w:p w:rsidR="00000000" w:rsidP="00EC56E9">
            <w:pPr>
              <w:pStyle w:val="ListBullet"/>
              <w:rPr>
                <w:lang w:val="en-NZ"/>
              </w:rPr>
            </w:pPr>
            <w:r w:rsidRPr="00EC56E9">
              <w:t>organisational skills, including the ability to plan and sequence work</w:t>
            </w:r>
          </w:p>
        </w:tc>
      </w:tr>
      <w:tr w:rsidTr="00495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Required knowledge</w:t>
            </w:r>
          </w:p>
        </w:tc>
      </w:tr>
      <w:tr w:rsidTr="00495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current financial legislation</w:t>
            </w:r>
          </w:p>
          <w:p w:rsidR="00000000" w:rsidRPr="00EC56E9" w:rsidP="00EC56E9">
            <w:pPr>
              <w:pStyle w:val="ListBullet2"/>
            </w:pPr>
            <w:r w:rsidRPr="00EC56E9">
              <w:t>taxable transactions</w:t>
            </w:r>
          </w:p>
          <w:p w:rsidR="00000000" w:rsidRPr="00EC56E9" w:rsidP="00EC56E9">
            <w:pPr>
              <w:pStyle w:val="ListBullet2"/>
            </w:pPr>
            <w:r w:rsidRPr="00EC56E9">
              <w:t>reporting requirements</w:t>
            </w:r>
          </w:p>
          <w:p w:rsidR="00000000" w:rsidRPr="00EC56E9" w:rsidP="00EC56E9">
            <w:pPr>
              <w:pStyle w:val="ListBullet"/>
            </w:pPr>
            <w:r w:rsidRPr="00EC56E9">
              <w:t>detailed current knowledge of formats required for submission of statutory returns</w:t>
            </w:r>
          </w:p>
          <w:p w:rsidR="00000000" w:rsidRPr="00EC56E9" w:rsidP="00EC56E9">
            <w:pPr>
              <w:pStyle w:val="ListBullet"/>
            </w:pPr>
            <w:r w:rsidRPr="00EC56E9">
              <w:t>ethical considerations for compliance</w:t>
            </w:r>
          </w:p>
          <w:p w:rsidR="00000000" w:rsidRPr="00EC56E9" w:rsidP="00EC56E9">
            <w:pPr>
              <w:pStyle w:val="ListBullet"/>
            </w:pPr>
            <w:r w:rsidRPr="00EC56E9">
              <w:t>forms and functions of employee records</w:t>
            </w:r>
          </w:p>
          <w:p w:rsidR="00000000" w:rsidRPr="00EC56E9" w:rsidP="00EC56E9">
            <w:pPr>
              <w:pStyle w:val="ListBullet"/>
            </w:pPr>
            <w:r w:rsidRPr="00EC56E9">
              <w:t>principles of internal control including statutory requirements</w:t>
            </w:r>
          </w:p>
          <w:p w:rsidR="00000000" w:rsidRPr="00EC56E9" w:rsidP="00EC56E9">
            <w:pPr>
              <w:pStyle w:val="ListBullet"/>
            </w:pPr>
            <w:r w:rsidRPr="00EC56E9">
              <w:t>princi</w:t>
            </w:r>
            <w:r w:rsidRPr="00EC56E9">
              <w:t>ples of valuation and common methods of depreciation</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10" w:name="O_77208"/>
      <w:bookmarkEnd w:id="10"/>
      <w:r w:rsidRPr="00EC56E9">
        <w:t>Evidence Guide</w:t>
      </w:r>
    </w:p>
    <w:tbl>
      <w:tblPr>
        <w:tblW w:w="9570" w:type="dxa"/>
        <w:tblLayout w:type="fixed"/>
        <w:tblCellMar>
          <w:left w:w="62" w:type="dxa"/>
          <w:right w:w="62" w:type="dxa"/>
        </w:tblCellMar>
        <w:tblLook w:val="0000"/>
      </w:tblPr>
      <w:tblGrid>
        <w:gridCol w:w="2808"/>
        <w:gridCol w:w="6762"/>
      </w:tblGrid>
      <w:tr w:rsidTr="004955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EVIDENCE GUIDE</w:t>
            </w:r>
          </w:p>
        </w:tc>
      </w:tr>
      <w:tr w:rsidTr="004955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t xml:space="preserve">The Evidence Guide provides advice on assessment and must be read in conjunction with the performance criteria, required skills and knowledge, </w:t>
            </w:r>
            <w:r w:rsidRPr="00EC56E9">
              <w:t>range statement and the Assessment Guidelines for the Training Package.</w:t>
            </w:r>
          </w:p>
        </w:tc>
      </w:tr>
      <w:tr w:rsidTr="004955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p>
        </w:tc>
      </w:tr>
      <w:tr w:rsidTr="004955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Evidence of the ability to:</w:t>
            </w:r>
          </w:p>
          <w:p w:rsidR="00000000" w:rsidRPr="00EC56E9" w:rsidP="00EC56E9">
            <w:pPr>
              <w:pStyle w:val="ListBullet"/>
            </w:pPr>
            <w:r w:rsidRPr="00EC56E9">
              <w:t>access and accurately interpret sta</w:t>
            </w:r>
            <w:r w:rsidRPr="00EC56E9">
              <w:t xml:space="preserve">tutory and regulatory authority regulations and requirements </w:t>
            </w:r>
          </w:p>
          <w:p w:rsidR="00000000" w:rsidRPr="00EC56E9" w:rsidP="00EC56E9">
            <w:pPr>
              <w:pStyle w:val="ListBullet"/>
            </w:pPr>
            <w:r w:rsidRPr="00EC56E9">
              <w:t>apply professional accounting standards and meet organisational policies and procedures</w:t>
            </w:r>
          </w:p>
          <w:p w:rsidR="00000000" w:rsidRPr="00EC56E9" w:rsidP="00EC56E9">
            <w:pPr>
              <w:pStyle w:val="ListBullet"/>
            </w:pPr>
            <w:r w:rsidRPr="00EC56E9">
              <w:t>research corporate governance reporting trends</w:t>
            </w:r>
          </w:p>
          <w:p w:rsidR="00000000" w:rsidRPr="00EC56E9" w:rsidP="00EC56E9">
            <w:pPr>
              <w:pStyle w:val="ListBullet"/>
            </w:pPr>
            <w:r w:rsidRPr="00EC56E9">
              <w:t>determine processes for corporate governance adherence</w:t>
            </w:r>
          </w:p>
          <w:p w:rsidR="00000000" w:rsidP="00EC56E9">
            <w:pPr>
              <w:pStyle w:val="ListBullet"/>
              <w:rPr>
                <w:lang w:val="en-NZ"/>
              </w:rPr>
            </w:pPr>
            <w:r w:rsidRPr="00EC56E9">
              <w:t>examine and review corporate governance standards and practices.</w:t>
            </w:r>
          </w:p>
        </w:tc>
      </w:tr>
      <w:tr w:rsidTr="004955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Assessment must ensure:</w:t>
            </w:r>
          </w:p>
          <w:p w:rsidR="00000000" w:rsidRPr="00EC56E9" w:rsidP="00EC56E9">
            <w:pPr>
              <w:pStyle w:val="ListBullet"/>
            </w:pPr>
            <w:r w:rsidRPr="00EC56E9">
              <w:t xml:space="preserve">competency is demonstrated in the context of the financial services work environment </w:t>
            </w:r>
            <w:r w:rsidRPr="00EC56E9">
              <w:t>and conditions specified in the range statement either in a relevant workplace or a closely simulated work environment</w:t>
            </w:r>
          </w:p>
          <w:p w:rsidR="00000000" w:rsidRPr="00EC56E9" w:rsidP="00EC56E9">
            <w:pPr>
              <w:pStyle w:val="ListBullet"/>
            </w:pPr>
            <w:r w:rsidRPr="00EC56E9">
              <w:t>access to and the use of a range of common office equipment, technology, software and consumables</w:t>
            </w:r>
          </w:p>
          <w:p w:rsidR="00000000" w:rsidRPr="00EC56E9" w:rsidP="00EC56E9">
            <w:pPr>
              <w:pStyle w:val="ListBullet"/>
            </w:pPr>
            <w:r w:rsidRPr="00EC56E9">
              <w:t>access to an integrated financial softw</w:t>
            </w:r>
            <w:r w:rsidRPr="00EC56E9">
              <w:t>are system and data</w:t>
            </w:r>
          </w:p>
          <w:p w:rsidR="00000000" w:rsidP="00EC56E9">
            <w:pPr>
              <w:pStyle w:val="ListBullet"/>
              <w:rPr>
                <w:lang w:val="en-NZ"/>
              </w:rPr>
            </w:pPr>
            <w:r w:rsidRPr="00EC56E9">
              <w:t>corporate governance documentation and organisational operational policies and procedures information.</w:t>
            </w:r>
          </w:p>
        </w:tc>
      </w:tr>
      <w:tr w:rsidTr="004955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 xml:space="preserve">A range of assessment methods should be used to assess practical skills and knowledge. The following examples, </w:t>
            </w:r>
            <w:r w:rsidRPr="00EC56E9">
              <w:t>in combination, are appropriate for this unit:</w:t>
            </w:r>
          </w:p>
          <w:p w:rsidR="00000000" w:rsidRPr="00EC56E9" w:rsidP="00EC56E9">
            <w:pPr>
              <w:pStyle w:val="ListBullet"/>
            </w:pPr>
            <w:r w:rsidRPr="00EC56E9">
              <w:t>evaluating an integrated activity which combines the elements of competency for the unit or a cluster of related units of competency</w:t>
            </w:r>
          </w:p>
          <w:p w:rsidR="00000000" w:rsidRPr="00EC56E9" w:rsidP="00EC56E9">
            <w:pPr>
              <w:pStyle w:val="ListBullet"/>
            </w:pPr>
            <w:r w:rsidRPr="00EC56E9">
              <w:t xml:space="preserve">verbal or written questioning on underpinning knowledge and skills </w:t>
            </w:r>
          </w:p>
          <w:p w:rsidR="00000000" w:rsidRPr="00EC56E9" w:rsidP="00EC56E9">
            <w:pPr>
              <w:pStyle w:val="ListBullet"/>
            </w:pPr>
            <w:r w:rsidRPr="00EC56E9">
              <w:t>setting and reviewing workplace projects and business simulations or scenarios</w:t>
            </w:r>
          </w:p>
          <w:p w:rsidR="00000000" w:rsidRPr="00EC56E9" w:rsidP="00EC56E9">
            <w:pPr>
              <w:pStyle w:val="ListBullet"/>
            </w:pPr>
            <w:r w:rsidRPr="00EC56E9">
              <w:t>evaluating samples of work</w:t>
            </w:r>
          </w:p>
          <w:p w:rsidR="00000000" w:rsidP="00EC56E9">
            <w:pPr>
              <w:pStyle w:val="ListBullet"/>
              <w:rPr>
                <w:lang w:val="en-NZ"/>
              </w:rPr>
            </w:pPr>
            <w:r w:rsidRPr="00EC56E9">
              <w:t>accessing and validating third party reports.</w:t>
            </w:r>
          </w:p>
        </w:tc>
      </w:tr>
      <w:tr w:rsidTr="0049551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11" w:name="O_77209"/>
      <w:bookmarkEnd w:id="11"/>
      <w:r w:rsidRPr="00EC56E9">
        <w:t>Range Statement</w:t>
      </w:r>
    </w:p>
    <w:tbl>
      <w:tblPr>
        <w:tblW w:w="0" w:type="auto"/>
        <w:tblLayout w:type="fixed"/>
        <w:tblCellMar>
          <w:left w:w="62" w:type="dxa"/>
          <w:right w:w="62" w:type="dxa"/>
        </w:tblCellMar>
        <w:tblLook w:val="0000"/>
      </w:tblPr>
      <w:tblGrid>
        <w:gridCol w:w="2486"/>
        <w:gridCol w:w="6036"/>
      </w:tblGrid>
      <w:tr w:rsidTr="004955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RANGE STATEMENT</w:t>
            </w:r>
          </w:p>
        </w:tc>
      </w:tr>
      <w:tr w:rsidTr="004955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t>The range statement relates to the unit of competency as a whole. It allows for different work environments and situations that may affect performance. Bold italicised wording, if used in the performance criteria, is detailed below. Essential operating con</w:t>
            </w:r>
            <w:r w:rsidRPr="00EC56E9">
              <w:t>ditions that may be present with training and assessment (depending on the work situation, needs of the candidate, accessibility of the item, and local industry and regional contexts) may also be included.</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Professional accounting standards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 xml:space="preserve">Australian Accounting Standards </w:t>
            </w:r>
          </w:p>
          <w:p w:rsidR="00000000" w:rsidRPr="00EC56E9" w:rsidP="00EC56E9">
            <w:pPr>
              <w:pStyle w:val="ListBullet"/>
            </w:pPr>
            <w:r w:rsidRPr="00EC56E9">
              <w:t>Australian Accounting Standards Board (AASB) requirements</w:t>
            </w:r>
          </w:p>
          <w:p w:rsidR="00000000" w:rsidP="00EC56E9">
            <w:pPr>
              <w:pStyle w:val="ListBullet"/>
              <w:rPr>
                <w:lang w:val="en-NZ"/>
              </w:rPr>
            </w:pPr>
            <w:r w:rsidRPr="00EC56E9">
              <w:t>ethical requirements.</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Statutory and other regulatory authorities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Australian Accounting Standards Board (AASB)</w:t>
            </w:r>
          </w:p>
          <w:p w:rsidR="00000000" w:rsidRPr="00EC56E9" w:rsidP="00EC56E9">
            <w:pPr>
              <w:pStyle w:val="ListBullet"/>
            </w:pPr>
            <w:r w:rsidRPr="00EC56E9">
              <w:t>Australian Consumer and Competition Commission (ACCC)</w:t>
            </w:r>
          </w:p>
          <w:p w:rsidR="00000000" w:rsidRPr="00EC56E9" w:rsidP="00EC56E9">
            <w:pPr>
              <w:pStyle w:val="ListBullet"/>
            </w:pPr>
            <w:r w:rsidRPr="00EC56E9">
              <w:t>Australian Institute of Company Directors</w:t>
            </w:r>
          </w:p>
          <w:p w:rsidR="00000000" w:rsidRPr="00EC56E9" w:rsidP="00EC56E9">
            <w:pPr>
              <w:pStyle w:val="ListBullet"/>
            </w:pPr>
            <w:r w:rsidRPr="00EC56E9">
              <w:t>Australian Prudential Regulation Authority (APRA)</w:t>
            </w:r>
          </w:p>
          <w:p w:rsidR="00000000" w:rsidRPr="00EC56E9" w:rsidP="00EC56E9">
            <w:pPr>
              <w:pStyle w:val="ListBullet"/>
            </w:pPr>
            <w:r w:rsidRPr="00EC56E9">
              <w:t>Australian Securities Exchange (ASX)</w:t>
            </w:r>
          </w:p>
          <w:p w:rsidR="00000000" w:rsidRPr="00EC56E9" w:rsidP="00EC56E9">
            <w:pPr>
              <w:pStyle w:val="ListBullet"/>
            </w:pPr>
            <w:r w:rsidRPr="00EC56E9">
              <w:t>Australian Securities and Investments Commission (ASIC)</w:t>
            </w:r>
          </w:p>
          <w:p w:rsidR="00000000" w:rsidP="00EC56E9">
            <w:pPr>
              <w:pStyle w:val="ListBullet"/>
              <w:rPr>
                <w:lang w:val="en-NZ"/>
              </w:rPr>
            </w:pPr>
            <w:r w:rsidRPr="00EC56E9">
              <w:t>professional asso</w:t>
            </w:r>
            <w:r w:rsidRPr="00EC56E9">
              <w:t>ciations.</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Obligations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compliance with ASIC regulations</w:t>
            </w:r>
          </w:p>
          <w:p w:rsidR="00000000" w:rsidRPr="00EC56E9" w:rsidP="00EC56E9">
            <w:pPr>
              <w:pStyle w:val="ListBullet"/>
            </w:pPr>
            <w:r w:rsidRPr="00EC56E9">
              <w:t>directors' duties, rights and responsibilities</w:t>
            </w:r>
          </w:p>
          <w:p w:rsidR="00000000" w:rsidRPr="00EC56E9" w:rsidP="00EC56E9">
            <w:pPr>
              <w:pStyle w:val="ListBullet"/>
            </w:pPr>
            <w:r w:rsidRPr="00EC56E9">
              <w:t>explanatory statements</w:t>
            </w:r>
          </w:p>
          <w:p w:rsidR="00000000" w:rsidRPr="00EC56E9" w:rsidP="00EC56E9">
            <w:pPr>
              <w:pStyle w:val="ListBullet"/>
            </w:pPr>
            <w:r w:rsidRPr="00EC56E9">
              <w:t>lodgement dates</w:t>
            </w:r>
          </w:p>
          <w:p w:rsidR="00000000" w:rsidRPr="00EC56E9" w:rsidP="00EC56E9">
            <w:pPr>
              <w:pStyle w:val="ListBullet"/>
            </w:pPr>
            <w:r w:rsidRPr="00EC56E9">
              <w:t>regulatory influence of the Corporations Act</w:t>
            </w:r>
          </w:p>
          <w:p w:rsidR="00000000" w:rsidRPr="00EC56E9" w:rsidP="00EC56E9">
            <w:pPr>
              <w:pStyle w:val="ListBullet"/>
            </w:pPr>
            <w:r w:rsidRPr="00EC56E9">
              <w:t>repayment schedules</w:t>
            </w:r>
          </w:p>
          <w:p w:rsidR="00000000" w:rsidP="00EC56E9">
            <w:pPr>
              <w:pStyle w:val="ListBullet"/>
              <w:rPr>
                <w:lang w:val="en-NZ"/>
              </w:rPr>
            </w:pPr>
            <w:r w:rsidRPr="00EC56E9">
              <w:t>supporting documentation.</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Internal control procedures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accuracy in valuations</w:t>
            </w:r>
          </w:p>
          <w:p w:rsidR="00000000" w:rsidRPr="00EC56E9" w:rsidP="00EC56E9">
            <w:pPr>
              <w:pStyle w:val="ListBullet"/>
            </w:pPr>
            <w:r w:rsidRPr="00EC56E9">
              <w:t>decision making authorities</w:t>
            </w:r>
          </w:p>
          <w:p w:rsidR="00000000" w:rsidRPr="00EC56E9" w:rsidP="00EC56E9">
            <w:pPr>
              <w:pStyle w:val="ListBullet"/>
            </w:pPr>
            <w:r w:rsidRPr="00EC56E9">
              <w:t>identification, measurement and recording of:</w:t>
            </w:r>
          </w:p>
          <w:p w:rsidR="00000000" w:rsidRPr="00EC56E9" w:rsidP="00EC56E9">
            <w:pPr>
              <w:pStyle w:val="ListBullet2"/>
            </w:pPr>
            <w:r w:rsidRPr="00EC56E9">
              <w:t xml:space="preserve">income </w:t>
            </w:r>
          </w:p>
          <w:p w:rsidR="00000000" w:rsidRPr="00EC56E9" w:rsidP="00EC56E9">
            <w:pPr>
              <w:pStyle w:val="ListBullet2"/>
            </w:pPr>
            <w:r w:rsidRPr="00EC56E9">
              <w:t xml:space="preserve">assets </w:t>
            </w:r>
          </w:p>
          <w:p w:rsidR="00000000" w:rsidRPr="00EC56E9" w:rsidP="00EC56E9">
            <w:pPr>
              <w:pStyle w:val="ListBullet2"/>
            </w:pPr>
            <w:r w:rsidRPr="00EC56E9">
              <w:t xml:space="preserve">expenditure </w:t>
            </w:r>
          </w:p>
          <w:p w:rsidR="00000000" w:rsidRPr="00EC56E9" w:rsidP="00EC56E9">
            <w:pPr>
              <w:pStyle w:val="ListBullet2"/>
            </w:pPr>
            <w:r w:rsidRPr="00EC56E9">
              <w:t xml:space="preserve">liabilities </w:t>
            </w:r>
          </w:p>
          <w:p w:rsidR="00000000" w:rsidRPr="00EC56E9" w:rsidP="00EC56E9">
            <w:pPr>
              <w:pStyle w:val="ListBullet2"/>
            </w:pPr>
            <w:r w:rsidRPr="00EC56E9">
              <w:t>equity</w:t>
            </w:r>
          </w:p>
          <w:p w:rsidR="00000000" w:rsidRPr="00EC56E9" w:rsidP="00EC56E9">
            <w:pPr>
              <w:pStyle w:val="ListBullet"/>
            </w:pPr>
            <w:r w:rsidRPr="00EC56E9">
              <w:t>risk management strategies</w:t>
            </w:r>
          </w:p>
          <w:p w:rsidR="00000000" w:rsidRPr="00EC56E9" w:rsidP="00EC56E9">
            <w:pPr>
              <w:pStyle w:val="ListBullet"/>
            </w:pPr>
            <w:r w:rsidRPr="00EC56E9">
              <w:t>safeguarding and insurance of assets</w:t>
            </w:r>
          </w:p>
          <w:p w:rsidR="00000000" w:rsidP="00EC56E9">
            <w:pPr>
              <w:pStyle w:val="ListBullet"/>
              <w:rPr>
                <w:lang w:val="en-NZ"/>
              </w:rPr>
            </w:pPr>
            <w:r w:rsidRPr="00EC56E9">
              <w:t>transparency in financial reporting.</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Policies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decision making authorities</w:t>
            </w:r>
          </w:p>
          <w:p w:rsidR="00000000" w:rsidRPr="00EC56E9" w:rsidP="00EC56E9">
            <w:pPr>
              <w:pStyle w:val="ListBullet"/>
            </w:pPr>
            <w:r w:rsidRPr="00EC56E9">
              <w:t>documenting and receipting requirements</w:t>
            </w:r>
          </w:p>
          <w:p w:rsidR="00000000" w:rsidRPr="00EC56E9" w:rsidP="00EC56E9">
            <w:pPr>
              <w:pStyle w:val="ListBullet"/>
            </w:pPr>
            <w:r w:rsidRPr="00EC56E9">
              <w:t>eligible expenditures</w:t>
            </w:r>
          </w:p>
          <w:p w:rsidR="00000000" w:rsidRPr="00EC56E9" w:rsidP="00EC56E9">
            <w:pPr>
              <w:pStyle w:val="ListBullet"/>
            </w:pPr>
            <w:r w:rsidRPr="00EC56E9">
              <w:t>expenditure authorities</w:t>
            </w:r>
          </w:p>
          <w:p w:rsidR="00000000" w:rsidRPr="00EC56E9" w:rsidP="00EC56E9">
            <w:pPr>
              <w:pStyle w:val="ListBullet"/>
            </w:pPr>
            <w:r w:rsidRPr="00EC56E9">
              <w:t>expenditure limits</w:t>
            </w:r>
          </w:p>
          <w:p w:rsidR="00000000" w:rsidRPr="00EC56E9" w:rsidP="00EC56E9">
            <w:pPr>
              <w:pStyle w:val="ListBullet"/>
            </w:pPr>
            <w:r w:rsidRPr="00EC56E9">
              <w:t>financial analysis techniques</w:t>
            </w:r>
          </w:p>
          <w:p w:rsidR="00000000" w:rsidP="00EC56E9">
            <w:pPr>
              <w:pStyle w:val="ListBullet"/>
              <w:rPr>
                <w:lang w:val="en-NZ"/>
              </w:rPr>
            </w:pPr>
            <w:r w:rsidRPr="00EC56E9">
              <w:t>submission dates.</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Information technology systems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databases</w:t>
            </w:r>
          </w:p>
          <w:p w:rsidR="00000000" w:rsidRPr="00EC56E9" w:rsidP="00EC56E9">
            <w:pPr>
              <w:pStyle w:val="ListBullet"/>
            </w:pPr>
            <w:r w:rsidRPr="00EC56E9">
              <w:t>electronic master files</w:t>
            </w:r>
          </w:p>
          <w:p w:rsidR="00000000" w:rsidRPr="00EC56E9" w:rsidP="00EC56E9">
            <w:pPr>
              <w:pStyle w:val="ListBullet"/>
            </w:pPr>
            <w:r w:rsidRPr="00EC56E9">
              <w:t>internet</w:t>
            </w:r>
          </w:p>
          <w:p w:rsidR="00000000" w:rsidRPr="00EC56E9" w:rsidP="00EC56E9">
            <w:pPr>
              <w:pStyle w:val="ListBullet"/>
            </w:pPr>
            <w:r w:rsidRPr="00EC56E9">
              <w:t>local area networks</w:t>
            </w:r>
          </w:p>
          <w:p w:rsidR="00000000" w:rsidP="00EC56E9">
            <w:pPr>
              <w:pStyle w:val="ListBullet"/>
              <w:rPr>
                <w:lang w:val="en-NZ"/>
              </w:rPr>
            </w:pPr>
            <w:r w:rsidRPr="00EC56E9">
              <w:t>spreadsheet software.</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Management processes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 xml:space="preserve">internal reporting </w:t>
            </w:r>
          </w:p>
          <w:p w:rsidR="00000000" w:rsidRPr="00EC56E9" w:rsidP="00EC56E9">
            <w:pPr>
              <w:pStyle w:val="ListBullet"/>
            </w:pPr>
            <w:r w:rsidRPr="00EC56E9">
              <w:t>lending approvals</w:t>
            </w:r>
          </w:p>
          <w:p w:rsidR="00000000" w:rsidRPr="00EC56E9" w:rsidP="00EC56E9">
            <w:pPr>
              <w:pStyle w:val="ListBullet"/>
            </w:pPr>
            <w:r w:rsidRPr="00EC56E9">
              <w:t>program responsibilities</w:t>
            </w:r>
          </w:p>
          <w:p w:rsidR="00000000" w:rsidP="00EC56E9">
            <w:pPr>
              <w:pStyle w:val="ListBullet"/>
              <w:rPr>
                <w:lang w:val="en-NZ"/>
              </w:rPr>
            </w:pPr>
            <w:r w:rsidRPr="00EC56E9">
              <w:t>sign-off authorities.</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Performance indicators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compliance with scheduled payment dates</w:t>
            </w:r>
          </w:p>
          <w:p w:rsidR="00000000" w:rsidRPr="00EC56E9" w:rsidP="00EC56E9">
            <w:pPr>
              <w:pStyle w:val="ListBullet"/>
            </w:pPr>
            <w:r w:rsidRPr="00EC56E9">
              <w:t>debt reduction targets</w:t>
            </w:r>
          </w:p>
          <w:p w:rsidR="00000000" w:rsidRPr="00EC56E9" w:rsidP="00EC56E9">
            <w:pPr>
              <w:pStyle w:val="ListBullet"/>
            </w:pPr>
            <w:r w:rsidRPr="00EC56E9">
              <w:t>profits and losses</w:t>
            </w:r>
          </w:p>
          <w:p w:rsidR="00000000" w:rsidRPr="00EC56E9" w:rsidP="00EC56E9">
            <w:pPr>
              <w:pStyle w:val="ListBullet"/>
            </w:pPr>
            <w:r w:rsidRPr="00EC56E9">
              <w:t xml:space="preserve">reports: </w:t>
            </w:r>
          </w:p>
          <w:p w:rsidR="00000000" w:rsidRPr="00EC56E9" w:rsidP="00EC56E9">
            <w:pPr>
              <w:pStyle w:val="ListBullet2"/>
            </w:pPr>
            <w:r w:rsidRPr="00EC56E9">
              <w:t xml:space="preserve">quarterly </w:t>
            </w:r>
          </w:p>
          <w:p w:rsidR="00000000" w:rsidRPr="00EC56E9" w:rsidP="00EC56E9">
            <w:pPr>
              <w:pStyle w:val="ListBullet2"/>
            </w:pPr>
            <w:r w:rsidRPr="00EC56E9">
              <w:t xml:space="preserve">half yearly </w:t>
            </w:r>
          </w:p>
          <w:p w:rsidR="00000000" w:rsidRPr="00EC56E9" w:rsidP="00EC56E9">
            <w:pPr>
              <w:pStyle w:val="ListBullet2"/>
            </w:pPr>
            <w:r w:rsidRPr="00EC56E9">
              <w:t>annually</w:t>
            </w:r>
          </w:p>
          <w:p w:rsidR="00000000" w:rsidP="00EC56E9">
            <w:pPr>
              <w:pStyle w:val="ListBullet"/>
              <w:rPr>
                <w:lang w:val="en-NZ"/>
              </w:rPr>
            </w:pPr>
            <w:r w:rsidRPr="00EC56E9">
              <w:t>unqualified audits.</w:t>
            </w:r>
          </w:p>
        </w:tc>
      </w:tr>
      <w:tr w:rsidTr="00495519">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BoldandItalics"/>
              </w:rPr>
              <w:t>Key result areas</w:t>
            </w:r>
            <w:r w:rsidRPr="00EC56E9">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ListBullet"/>
            </w:pPr>
            <w:r w:rsidRPr="00EC56E9">
              <w:t>accuracy of data</w:t>
            </w:r>
          </w:p>
          <w:p w:rsidR="00000000" w:rsidRPr="00EC56E9" w:rsidP="00EC56E9">
            <w:pPr>
              <w:pStyle w:val="ListBullet"/>
            </w:pPr>
            <w:r w:rsidRPr="00EC56E9">
              <w:t>administrative efficiency</w:t>
            </w:r>
          </w:p>
          <w:p w:rsidR="00000000" w:rsidRPr="00EC56E9" w:rsidP="00EC56E9">
            <w:pPr>
              <w:pStyle w:val="ListBullet"/>
            </w:pPr>
            <w:r w:rsidRPr="00EC56E9">
              <w:t>completion of documentation</w:t>
            </w:r>
          </w:p>
          <w:p w:rsidR="00000000" w:rsidRPr="00EC56E9" w:rsidP="00EC56E9">
            <w:pPr>
              <w:pStyle w:val="ListBullet"/>
            </w:pPr>
            <w:r w:rsidRPr="00EC56E9">
              <w:t>compliance with statutory requirements</w:t>
            </w:r>
          </w:p>
          <w:p w:rsidR="00000000" w:rsidRPr="00EC56E9" w:rsidP="00EC56E9">
            <w:pPr>
              <w:pStyle w:val="ListBullet"/>
            </w:pPr>
            <w:r w:rsidRPr="00EC56E9">
              <w:t>consistency of application of procedures</w:t>
            </w:r>
          </w:p>
          <w:p w:rsidR="00000000" w:rsidRPr="00EC56E9" w:rsidP="00EC56E9">
            <w:pPr>
              <w:pStyle w:val="ListBullet"/>
            </w:pPr>
            <w:r w:rsidRPr="00EC56E9">
              <w:t>continuity of records.</w:t>
            </w:r>
          </w:p>
        </w:tc>
      </w:tr>
    </w:tbl>
    <w:p w:rsidR="00495519" w:rsidP="00EC56E9">
      <w:pPr>
        <w:pStyle w:val="BodyText"/>
      </w:pPr>
    </w:p>
    <w:p w:rsidR="00495519" w:rsidP="00EC56E9">
      <w:pPr>
        <w:pStyle w:val="BodyText"/>
      </w:pPr>
    </w:p>
    <w:p w:rsidR="00000000" w:rsidRPr="00EC56E9" w:rsidP="00EC56E9">
      <w:pPr>
        <w:pStyle w:val="Heading1"/>
      </w:pPr>
      <w:bookmarkStart w:id="12" w:name="O_77210"/>
      <w:bookmarkEnd w:id="12"/>
      <w:r w:rsidRPr="00EC56E9">
        <w:t>Unit Sector(s)</w:t>
      </w:r>
    </w:p>
    <w:tbl>
      <w:tblPr>
        <w:tblW w:w="0" w:type="auto"/>
        <w:tblLayout w:type="fixed"/>
        <w:tblCellMar>
          <w:left w:w="62" w:type="dxa"/>
          <w:right w:w="62" w:type="dxa"/>
        </w:tblCellMar>
        <w:tblLook w:val="0000"/>
      </w:tblPr>
      <w:tblGrid>
        <w:gridCol w:w="2590"/>
        <w:gridCol w:w="5932"/>
      </w:tblGrid>
      <w:tr w:rsidTr="0049551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r w:rsidRPr="00EC56E9">
              <w:t>Accounting</w:t>
            </w: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13" w:name="O_156107"/>
      <w:bookmarkEnd w:id="13"/>
      <w:r w:rsidRPr="00EC56E9">
        <w:t>Competency field</w:t>
      </w:r>
    </w:p>
    <w:tbl>
      <w:tblPr>
        <w:tblW w:w="0" w:type="auto"/>
        <w:tblLayout w:type="fixed"/>
        <w:tblCellMar>
          <w:left w:w="62" w:type="dxa"/>
          <w:right w:w="62" w:type="dxa"/>
        </w:tblCellMar>
        <w:tblLook w:val="0000"/>
      </w:tblPr>
      <w:tblGrid>
        <w:gridCol w:w="2754"/>
        <w:gridCol w:w="5768"/>
      </w:tblGrid>
      <w:tr w:rsidTr="0049551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p>
        </w:tc>
      </w:tr>
    </w:tbl>
    <w:p w:rsidR="00000000" w:rsidRPr="00EC56E9" w:rsidP="00EC56E9">
      <w:pPr>
        <w:pStyle w:val="BodyText"/>
      </w:pPr>
    </w:p>
    <w:p w:rsidR="00000000" w:rsidRPr="00EC56E9" w:rsidP="00EC56E9">
      <w:pPr>
        <w:pStyle w:val="AllowPageBreak"/>
      </w:pPr>
    </w:p>
    <w:p w:rsidR="00000000" w:rsidRPr="00EC56E9" w:rsidP="00EC56E9">
      <w:pPr>
        <w:pStyle w:val="Heading1"/>
      </w:pPr>
      <w:bookmarkStart w:id="14" w:name="O_156106"/>
      <w:bookmarkEnd w:id="14"/>
      <w:r w:rsidRPr="00EC56E9">
        <w:t>Co-requisite units</w:t>
      </w:r>
    </w:p>
    <w:tbl>
      <w:tblPr>
        <w:tblW w:w="0" w:type="auto"/>
        <w:tblLayout w:type="fixed"/>
        <w:tblCellMar>
          <w:left w:w="62" w:type="dxa"/>
          <w:right w:w="62" w:type="dxa"/>
        </w:tblCellMar>
        <w:tblLook w:val="0000"/>
      </w:tblPr>
      <w:tblGrid>
        <w:gridCol w:w="2629"/>
        <w:gridCol w:w="1324"/>
        <w:gridCol w:w="4569"/>
      </w:tblGrid>
      <w:tr w:rsidTr="0049551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r w:rsidRPr="00EC56E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6E9">
            <w:pPr>
              <w:pStyle w:val="BodyText"/>
              <w:rPr>
                <w:lang w:val="en-NZ"/>
              </w:rPr>
            </w:pPr>
          </w:p>
        </w:tc>
      </w:tr>
      <w:tr w:rsidTr="0049551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6E9" w:rsidP="00EC56E9">
            <w:pPr>
              <w:pStyle w:val="BodyText"/>
            </w:pPr>
          </w:p>
        </w:tc>
      </w:tr>
    </w:tbl>
    <w:p w:rsidR="00000000" w:rsidRPr="00EC56E9" w:rsidP="00EC56E9">
      <w:pPr>
        <w:pStyle w:val="BodyText"/>
      </w:pPr>
    </w:p>
    <w:p w:rsidR="00000000" w:rsidRPr="00EC56E9" w:rsidP="00EC56E9"/>
    <w:sectPr w:rsidSect="00EC56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519" w:rsidP="00495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19" w:rsidP="00EC5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5519" w:rsidP="00EC56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5519" w:rsidP="00EC56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519" w:rsidP="004955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19" w:rsidP="00EC56E9">
    <w:pPr>
      <w:pStyle w:val="Header"/>
      <w:framePr w:wrap="around"/>
    </w:pPr>
    <w:r>
      <w:fldChar w:fldCharType="begin"/>
    </w:r>
    <w:r>
      <w:instrText xml:space="preserve"> TITLE   \* MERGEFORMAT </w:instrText>
    </w:r>
    <w:r>
      <w:fldChar w:fldCharType="separate"/>
    </w:r>
    <w:r>
      <w:t>FNSACC604A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5519" w:rsidP="00EC56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09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83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49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6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56E9"/>
    <w:pPr>
      <w:spacing w:before="360" w:after="60"/>
      <w:outlineLvl w:val="0"/>
    </w:pPr>
    <w:rPr>
      <w:sz w:val="32"/>
    </w:rPr>
  </w:style>
  <w:style w:type="paragraph" w:styleId="Heading2">
    <w:name w:val="heading 2"/>
    <w:basedOn w:val="HeadingBase"/>
    <w:next w:val="BodyText"/>
    <w:link w:val="Heading2Char"/>
    <w:qFormat/>
    <w:rsid w:val="00EC56E9"/>
    <w:pPr>
      <w:keepLines/>
      <w:spacing w:before="240" w:after="120"/>
      <w:outlineLvl w:val="1"/>
    </w:pPr>
    <w:rPr>
      <w:sz w:val="28"/>
      <w:szCs w:val="40"/>
    </w:rPr>
  </w:style>
  <w:style w:type="paragraph" w:styleId="Heading3">
    <w:name w:val="heading 3"/>
    <w:basedOn w:val="HeadingBase"/>
    <w:next w:val="BodyText"/>
    <w:link w:val="Heading3Char"/>
    <w:qFormat/>
    <w:rsid w:val="00EC56E9"/>
    <w:pPr>
      <w:spacing w:before="180" w:after="120"/>
      <w:outlineLvl w:val="2"/>
    </w:pPr>
    <w:rPr>
      <w:spacing w:val="-10"/>
      <w:kern w:val="32"/>
    </w:rPr>
  </w:style>
  <w:style w:type="paragraph" w:styleId="Heading4">
    <w:name w:val="heading 4"/>
    <w:basedOn w:val="HeadingBase"/>
    <w:next w:val="BodyText"/>
    <w:link w:val="Heading4Char"/>
    <w:qFormat/>
    <w:rsid w:val="00EC56E9"/>
    <w:pPr>
      <w:spacing w:before="160" w:after="120"/>
      <w:outlineLvl w:val="3"/>
    </w:pPr>
    <w:rPr>
      <w:sz w:val="22"/>
    </w:rPr>
  </w:style>
  <w:style w:type="paragraph" w:styleId="Heading5">
    <w:name w:val="heading 5"/>
    <w:basedOn w:val="HeadingBase"/>
    <w:next w:val="Normal"/>
    <w:link w:val="Heading5Char"/>
    <w:qFormat/>
    <w:rsid w:val="00EC56E9"/>
    <w:pPr>
      <w:spacing w:before="80"/>
      <w:outlineLvl w:val="4"/>
    </w:pPr>
    <w:rPr>
      <w:color w:val="918585"/>
      <w:sz w:val="20"/>
    </w:rPr>
  </w:style>
  <w:style w:type="paragraph" w:styleId="Heading6">
    <w:name w:val="heading 6"/>
    <w:basedOn w:val="HeadingBase"/>
    <w:next w:val="Normal"/>
    <w:link w:val="Heading6Char"/>
    <w:qFormat/>
    <w:rsid w:val="00EC56E9"/>
    <w:pPr>
      <w:spacing w:before="60"/>
      <w:outlineLvl w:val="5"/>
    </w:pPr>
    <w:rPr>
      <w:color w:val="918585"/>
      <w:sz w:val="20"/>
    </w:rPr>
  </w:style>
  <w:style w:type="paragraph" w:styleId="Heading7">
    <w:name w:val="heading 7"/>
    <w:basedOn w:val="Normal"/>
    <w:next w:val="Normal"/>
    <w:link w:val="Heading7Char"/>
    <w:qFormat/>
    <w:rsid w:val="00EC56E9"/>
    <w:pPr>
      <w:ind w:left="720"/>
      <w:outlineLvl w:val="6"/>
    </w:pPr>
    <w:rPr>
      <w:i/>
    </w:rPr>
  </w:style>
  <w:style w:type="paragraph" w:styleId="Heading8">
    <w:name w:val="heading 8"/>
    <w:basedOn w:val="Normal"/>
    <w:next w:val="Normal"/>
    <w:link w:val="Heading8Char"/>
    <w:qFormat/>
    <w:rsid w:val="00EC56E9"/>
    <w:pPr>
      <w:ind w:left="720"/>
      <w:outlineLvl w:val="7"/>
    </w:pPr>
    <w:rPr>
      <w:i/>
    </w:rPr>
  </w:style>
  <w:style w:type="paragraph" w:styleId="Heading9">
    <w:name w:val="heading 9"/>
    <w:basedOn w:val="Normal"/>
    <w:next w:val="Normal"/>
    <w:link w:val="Heading9Char"/>
    <w:qFormat/>
    <w:rsid w:val="00EC56E9"/>
    <w:pPr>
      <w:ind w:left="720"/>
      <w:outlineLvl w:val="8"/>
    </w:pPr>
    <w:rPr>
      <w:i/>
    </w:rPr>
  </w:style>
  <w:style w:type="character" w:default="1" w:styleId="DefaultParagraphFont">
    <w:name w:val="Default Paragraph Font"/>
    <w:uiPriority w:val="1"/>
    <w:unhideWhenUsed/>
    <w:rsid w:val="00EC5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6E9"/>
  </w:style>
  <w:style w:type="character" w:customStyle="1" w:styleId="Heading1Char">
    <w:name w:val="Heading 1 Char"/>
    <w:basedOn w:val="DefaultParagraphFont"/>
    <w:link w:val="Heading1"/>
    <w:rsid w:val="00EC56E9"/>
    <w:rPr>
      <w:rFonts w:ascii="Times New Roman" w:eastAsia="Times New Roman" w:hAnsi="Times New Roman" w:cs="Times New Roman"/>
      <w:b/>
      <w:sz w:val="32"/>
      <w:szCs w:val="20"/>
      <w:lang w:eastAsia="en-US"/>
    </w:rPr>
  </w:style>
  <w:style w:type="paragraph" w:styleId="BodyText">
    <w:name w:val="Body Text"/>
    <w:basedOn w:val="Normal"/>
    <w:link w:val="BodyTextChar"/>
    <w:rsid w:val="00EC56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6E9"/>
    <w:rPr>
      <w:rFonts w:ascii="Times New Roman" w:eastAsia="Times New Roman" w:hAnsi="Times New Roman" w:cs="Times New Roman"/>
      <w:sz w:val="24"/>
      <w:lang w:val="en-US" w:eastAsia="en-US"/>
    </w:rPr>
  </w:style>
  <w:style w:type="paragraph" w:styleId="Footer">
    <w:name w:val="footer"/>
    <w:basedOn w:val="Normal"/>
    <w:link w:val="FooterChar"/>
    <w:rsid w:val="00EC5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6E9"/>
    <w:rPr>
      <w:rFonts w:ascii="Times New Roman" w:eastAsia="Times New Roman" w:hAnsi="Times New Roman" w:cs="Times New Roman"/>
      <w:sz w:val="16"/>
      <w:lang w:val="en-US" w:eastAsia="en-US"/>
    </w:rPr>
  </w:style>
  <w:style w:type="paragraph" w:styleId="List">
    <w:name w:val="List"/>
    <w:basedOn w:val="BodyText"/>
    <w:next w:val="BodyText"/>
    <w:rsid w:val="00EC56E9"/>
    <w:pPr>
      <w:tabs>
        <w:tab w:val="left" w:pos="340"/>
      </w:tabs>
      <w:spacing w:before="60" w:after="60"/>
      <w:ind w:left="340" w:hanging="340"/>
    </w:pPr>
  </w:style>
  <w:style w:type="paragraph" w:styleId="ListBullet">
    <w:name w:val="List Bullet"/>
    <w:basedOn w:val="List"/>
    <w:rsid w:val="00EC56E9"/>
    <w:pPr>
      <w:numPr>
        <w:numId w:val="13"/>
      </w:numPr>
      <w:tabs>
        <w:tab w:val="clear" w:pos="340"/>
      </w:tabs>
      <w:spacing w:before="40" w:after="40"/>
    </w:pPr>
  </w:style>
  <w:style w:type="character" w:customStyle="1" w:styleId="SpecialBold">
    <w:name w:val="Special Bold"/>
    <w:basedOn w:val="DefaultParagraphFont"/>
    <w:rsid w:val="00EC56E9"/>
    <w:rPr>
      <w:b/>
      <w:spacing w:val="0"/>
    </w:rPr>
  </w:style>
  <w:style w:type="paragraph" w:styleId="ListBullet2">
    <w:name w:val="List Bullet 2"/>
    <w:basedOn w:val="List2"/>
    <w:rsid w:val="00EC56E9"/>
    <w:pPr>
      <w:numPr>
        <w:numId w:val="14"/>
      </w:numPr>
      <w:tabs>
        <w:tab w:val="clear" w:pos="680"/>
      </w:tabs>
    </w:pPr>
  </w:style>
  <w:style w:type="paragraph" w:styleId="Header">
    <w:name w:val="header"/>
    <w:basedOn w:val="Normal"/>
    <w:link w:val="HeaderChar"/>
    <w:rsid w:val="00EC5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6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56E9"/>
    <w:pPr>
      <w:spacing w:before="240" w:after="120"/>
      <w:outlineLvl w:val="0"/>
    </w:pPr>
    <w:rPr>
      <w:rFonts w:ascii="Times New Roman" w:hAnsi="Times New Roman"/>
      <w:b/>
      <w:sz w:val="28"/>
    </w:rPr>
  </w:style>
  <w:style w:type="paragraph" w:customStyle="1" w:styleId="AllowPageBreak">
    <w:name w:val="AllowPageBreak"/>
    <w:rsid w:val="00EC56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6E9"/>
    <w:pPr>
      <w:tabs>
        <w:tab w:val="left" w:pos="680"/>
      </w:tabs>
      <w:spacing w:before="60" w:after="60"/>
      <w:ind w:left="680" w:hanging="340"/>
    </w:pPr>
  </w:style>
  <w:style w:type="character" w:customStyle="1" w:styleId="BoldandItalics">
    <w:name w:val="Bold and Italics"/>
    <w:qFormat/>
    <w:rsid w:val="00EC56E9"/>
    <w:rPr>
      <w:b/>
      <w:i/>
      <w:u w:val="none"/>
    </w:rPr>
  </w:style>
  <w:style w:type="character" w:customStyle="1" w:styleId="Heading2Char">
    <w:name w:val="Heading 2 Char"/>
    <w:basedOn w:val="DefaultParagraphFont"/>
    <w:link w:val="Heading2"/>
    <w:rsid w:val="00EC5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6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56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56E9"/>
    <w:rPr>
      <w:rFonts w:ascii="Courier New" w:eastAsia="Times New Roman" w:hAnsi="Courier New" w:cs="Times New Roman"/>
      <w:i/>
      <w:szCs w:val="20"/>
      <w:lang w:val="en-US" w:eastAsia="en-US"/>
    </w:rPr>
  </w:style>
  <w:style w:type="paragraph" w:customStyle="1" w:styleId="HeadingBase">
    <w:name w:val="Heading Base"/>
    <w:rsid w:val="00EC5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6E9"/>
    <w:pPr>
      <w:tabs>
        <w:tab w:val="right" w:leader="dot" w:pos="9072"/>
      </w:tabs>
      <w:ind w:left="567"/>
    </w:pPr>
    <w:rPr>
      <w:szCs w:val="22"/>
    </w:rPr>
  </w:style>
  <w:style w:type="paragraph" w:customStyle="1" w:styleId="TOCBase">
    <w:name w:val="TOC Base"/>
    <w:rsid w:val="00EC5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6E9"/>
    <w:pPr>
      <w:tabs>
        <w:tab w:val="right" w:leader="dot" w:pos="9072"/>
      </w:tabs>
      <w:spacing w:before="40" w:after="40"/>
      <w:ind w:left="284"/>
    </w:pPr>
    <w:rPr>
      <w:rFonts w:ascii="Times New Roman" w:hAnsi="Times New Roman"/>
    </w:rPr>
  </w:style>
  <w:style w:type="paragraph" w:styleId="TOC1">
    <w:name w:val="toc 1"/>
    <w:basedOn w:val="TOCBase"/>
    <w:next w:val="Normal"/>
    <w:rsid w:val="00EC56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6E9"/>
    <w:pPr>
      <w:spacing w:before="5040"/>
      <w:jc w:val="center"/>
    </w:pPr>
    <w:rPr>
      <w:sz w:val="48"/>
      <w:szCs w:val="72"/>
      <w:lang w:val="en-US"/>
    </w:rPr>
  </w:style>
  <w:style w:type="character" w:customStyle="1" w:styleId="TitleChar">
    <w:name w:val="Title Char"/>
    <w:basedOn w:val="DefaultParagraphFont"/>
    <w:link w:val="Title"/>
    <w:rsid w:val="00EC5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6E9"/>
    <w:pPr>
      <w:tabs>
        <w:tab w:val="left" w:pos="3600"/>
        <w:tab w:val="left" w:pos="3958"/>
      </w:tabs>
    </w:pPr>
  </w:style>
  <w:style w:type="paragraph" w:customStyle="1" w:styleId="Note">
    <w:name w:val="Note"/>
    <w:basedOn w:val="BodyText"/>
    <w:rsid w:val="00EC5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6E9"/>
    <w:pPr>
      <w:framePr w:wrap="auto" w:hAnchor="text" w:y="6049"/>
    </w:pPr>
    <w:rPr>
      <w:color w:val="000000"/>
      <w:sz w:val="40"/>
    </w:rPr>
  </w:style>
  <w:style w:type="paragraph" w:customStyle="1" w:styleId="TOCTitle">
    <w:name w:val="TOCTitle"/>
    <w:basedOn w:val="Heading1"/>
    <w:rsid w:val="00EC56E9"/>
    <w:pPr>
      <w:spacing w:after="240"/>
      <w:jc w:val="center"/>
      <w:outlineLvl w:val="9"/>
    </w:pPr>
    <w:rPr>
      <w:caps/>
    </w:rPr>
  </w:style>
  <w:style w:type="paragraph" w:customStyle="1" w:styleId="Version">
    <w:name w:val="Version"/>
    <w:rsid w:val="00EC5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6E9"/>
    <w:pPr>
      <w:keepNext w:val="0"/>
      <w:tabs>
        <w:tab w:val="right" w:pos="4176"/>
      </w:tabs>
      <w:ind w:left="198" w:hanging="198"/>
    </w:pPr>
    <w:rPr>
      <w:rFonts w:ascii="Garamond" w:hAnsi="Garamond"/>
    </w:rPr>
  </w:style>
  <w:style w:type="paragraph" w:styleId="IndexHeading">
    <w:name w:val="index heading"/>
    <w:basedOn w:val="Normal"/>
    <w:next w:val="Index1"/>
    <w:semiHidden/>
    <w:rsid w:val="00EC56E9"/>
    <w:pPr>
      <w:spacing w:before="120" w:after="120"/>
    </w:pPr>
    <w:rPr>
      <w:rFonts w:ascii="Arial" w:hAnsi="Arial"/>
      <w:b/>
      <w:color w:val="918585"/>
      <w:sz w:val="24"/>
    </w:rPr>
  </w:style>
  <w:style w:type="paragraph" w:customStyle="1" w:styleId="Chapter">
    <w:name w:val="Chapter"/>
    <w:basedOn w:val="Normal"/>
    <w:rsid w:val="00EC56E9"/>
    <w:pPr>
      <w:spacing w:before="240"/>
    </w:pPr>
    <w:rPr>
      <w:rFonts w:ascii="Times New Roman" w:hAnsi="Times New Roman"/>
      <w:smallCaps/>
      <w:spacing w:val="80"/>
      <w:sz w:val="28"/>
    </w:rPr>
  </w:style>
  <w:style w:type="paragraph" w:customStyle="1" w:styleId="InChapter">
    <w:name w:val="InChapter"/>
    <w:basedOn w:val="Heading3"/>
    <w:rsid w:val="00EC56E9"/>
    <w:pPr>
      <w:spacing w:after="240"/>
      <w:outlineLvl w:val="9"/>
    </w:pPr>
    <w:rPr>
      <w:noProof/>
    </w:rPr>
  </w:style>
  <w:style w:type="paragraph" w:styleId="Index2">
    <w:name w:val="index 2"/>
    <w:basedOn w:val="Normal"/>
    <w:next w:val="Normal"/>
    <w:semiHidden/>
    <w:rsid w:val="00EC56E9"/>
    <w:pPr>
      <w:tabs>
        <w:tab w:val="right" w:pos="4176"/>
      </w:tabs>
      <w:ind w:left="568" w:hanging="284"/>
    </w:pPr>
    <w:rPr>
      <w:rFonts w:ascii="Garamond" w:hAnsi="Garamond"/>
    </w:rPr>
  </w:style>
  <w:style w:type="paragraph" w:customStyle="1" w:styleId="Byline">
    <w:name w:val="Byline"/>
    <w:rsid w:val="00EC5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6E9"/>
    <w:pPr>
      <w:tabs>
        <w:tab w:val="clear" w:pos="3600"/>
        <w:tab w:val="clear" w:pos="3958"/>
      </w:tabs>
      <w:jc w:val="right"/>
    </w:pPr>
  </w:style>
  <w:style w:type="character" w:styleId="Emphasis">
    <w:name w:val="Emphasis"/>
    <w:basedOn w:val="DefaultParagraphFont"/>
    <w:qFormat/>
    <w:rsid w:val="00EC56E9"/>
    <w:rPr>
      <w:i/>
    </w:rPr>
  </w:style>
  <w:style w:type="paragraph" w:styleId="Caption">
    <w:name w:val="caption"/>
    <w:basedOn w:val="BodyText"/>
    <w:next w:val="Normal"/>
    <w:qFormat/>
    <w:rsid w:val="00EC56E9"/>
    <w:pPr>
      <w:framePr w:w="2268" w:hSpace="181" w:vSpace="181" w:wrap="around" w:vAnchor="text" w:hAnchor="page" w:x="1135" w:y="285" w:anchorLock="1"/>
    </w:pPr>
    <w:rPr>
      <w:i/>
    </w:rPr>
  </w:style>
  <w:style w:type="paragraph" w:customStyle="1" w:styleId="MiniTOCTitle">
    <w:name w:val="MiniTOCTitle"/>
    <w:basedOn w:val="Heading4"/>
    <w:rsid w:val="00EC56E9"/>
    <w:pPr>
      <w:spacing w:before="240"/>
      <w:outlineLvl w:val="9"/>
    </w:pPr>
    <w:rPr>
      <w:noProof/>
      <w:sz w:val="24"/>
    </w:rPr>
  </w:style>
  <w:style w:type="paragraph" w:customStyle="1" w:styleId="MiniTOCItem">
    <w:name w:val="MiniTOCItem"/>
    <w:basedOn w:val="ListBullet"/>
    <w:rsid w:val="00EC56E9"/>
    <w:pPr>
      <w:numPr>
        <w:numId w:val="0"/>
      </w:numPr>
      <w:tabs>
        <w:tab w:val="right" w:leader="dot" w:pos="6521"/>
      </w:tabs>
      <w:spacing w:before="0" w:after="0"/>
    </w:pPr>
  </w:style>
  <w:style w:type="paragraph" w:customStyle="1" w:styleId="TOFTitle">
    <w:name w:val="TOFTitle"/>
    <w:basedOn w:val="TOCTitle"/>
    <w:rsid w:val="00EC56E9"/>
  </w:style>
  <w:style w:type="paragraph" w:styleId="TableofFigures">
    <w:name w:val="table of figures"/>
    <w:basedOn w:val="Normal"/>
    <w:next w:val="Normal"/>
    <w:semiHidden/>
    <w:rsid w:val="00EC56E9"/>
    <w:pPr>
      <w:tabs>
        <w:tab w:val="right" w:leader="dot" w:pos="9072"/>
      </w:tabs>
      <w:ind w:left="970" w:hanging="403"/>
    </w:pPr>
    <w:rPr>
      <w:rFonts w:ascii="Times New Roman" w:hAnsi="Times New Roman"/>
      <w:b/>
    </w:rPr>
  </w:style>
  <w:style w:type="paragraph" w:styleId="ListNumber">
    <w:name w:val="List Number"/>
    <w:basedOn w:val="List"/>
    <w:rsid w:val="00EC56E9"/>
    <w:pPr>
      <w:numPr>
        <w:numId w:val="11"/>
      </w:numPr>
    </w:pPr>
  </w:style>
  <w:style w:type="character" w:customStyle="1" w:styleId="WingdingSymbols">
    <w:name w:val="Wingding Symbols"/>
    <w:rsid w:val="00EC56E9"/>
    <w:rPr>
      <w:rFonts w:ascii="Wingdings" w:hAnsi="Wingdings"/>
    </w:rPr>
  </w:style>
  <w:style w:type="paragraph" w:customStyle="1" w:styleId="TableHeading">
    <w:name w:val="Table Heading"/>
    <w:basedOn w:val="HeadingBase"/>
    <w:rsid w:val="00EC56E9"/>
    <w:pPr>
      <w:keepLines/>
      <w:pBdr>
        <w:bottom w:val="single" w:sz="6" w:space="1" w:color="918585"/>
      </w:pBdr>
      <w:spacing w:before="240"/>
    </w:pPr>
  </w:style>
  <w:style w:type="character" w:customStyle="1" w:styleId="HotSpot">
    <w:name w:val="HotSpot"/>
    <w:rsid w:val="00EC56E9"/>
    <w:rPr>
      <w:color w:val="0033CC"/>
      <w:u w:val="none"/>
    </w:rPr>
  </w:style>
  <w:style w:type="paragraph" w:customStyle="1" w:styleId="BodyTextRight">
    <w:name w:val="Body Text Right"/>
    <w:basedOn w:val="BodyText"/>
    <w:rsid w:val="00EC56E9"/>
    <w:pPr>
      <w:spacing w:before="0" w:after="0"/>
      <w:jc w:val="right"/>
    </w:pPr>
  </w:style>
  <w:style w:type="paragraph" w:styleId="Index3">
    <w:name w:val="index 3"/>
    <w:basedOn w:val="ListNumber2"/>
    <w:next w:val="Normal"/>
    <w:semiHidden/>
    <w:rsid w:val="00EC56E9"/>
    <w:pPr>
      <w:numPr>
        <w:numId w:val="0"/>
      </w:numPr>
      <w:tabs>
        <w:tab w:val="right" w:leader="dot" w:pos="4176"/>
      </w:tabs>
    </w:pPr>
  </w:style>
  <w:style w:type="paragraph" w:styleId="ListNumber2">
    <w:name w:val="List Number 2"/>
    <w:basedOn w:val="List2"/>
    <w:rsid w:val="00EC56E9"/>
    <w:pPr>
      <w:numPr>
        <w:numId w:val="10"/>
      </w:numPr>
      <w:tabs>
        <w:tab w:val="clear" w:pos="1060"/>
      </w:tabs>
    </w:pPr>
  </w:style>
  <w:style w:type="paragraph" w:customStyle="1" w:styleId="MarginNote">
    <w:name w:val="Margin Note"/>
    <w:basedOn w:val="BodyText"/>
    <w:rsid w:val="00EC5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6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56E9"/>
    <w:rPr>
      <w:sz w:val="32"/>
    </w:rPr>
  </w:style>
  <w:style w:type="paragraph" w:customStyle="1" w:styleId="HeadingProcedure">
    <w:name w:val="Heading Procedure"/>
    <w:basedOn w:val="HeadingBase"/>
    <w:next w:val="Normal"/>
    <w:rsid w:val="00EC56E9"/>
    <w:pPr>
      <w:tabs>
        <w:tab w:val="left" w:pos="0"/>
      </w:tabs>
      <w:spacing w:before="120" w:after="60"/>
    </w:pPr>
    <w:rPr>
      <w:i/>
      <w:color w:val="918585"/>
      <w:sz w:val="22"/>
    </w:rPr>
  </w:style>
  <w:style w:type="paragraph" w:customStyle="1" w:styleId="TableBodyText">
    <w:name w:val="Table Body Text"/>
    <w:basedOn w:val="BodyText"/>
    <w:rsid w:val="00EC56E9"/>
    <w:pPr>
      <w:spacing w:before="60" w:after="60"/>
    </w:pPr>
  </w:style>
  <w:style w:type="paragraph" w:styleId="ListContinue">
    <w:name w:val="List Continue"/>
    <w:basedOn w:val="List"/>
    <w:rsid w:val="00EC56E9"/>
    <w:pPr>
      <w:ind w:firstLine="0"/>
    </w:pPr>
  </w:style>
  <w:style w:type="paragraph" w:customStyle="1" w:styleId="ListNote">
    <w:name w:val="List Note"/>
    <w:basedOn w:val="List"/>
    <w:rsid w:val="00EC56E9"/>
    <w:pPr>
      <w:pBdr>
        <w:top w:val="single" w:sz="6" w:space="2" w:color="918585"/>
        <w:bottom w:val="single" w:sz="6" w:space="2" w:color="918585"/>
      </w:pBdr>
      <w:tabs>
        <w:tab w:val="left" w:pos="1021"/>
      </w:tabs>
      <w:ind w:firstLine="0"/>
    </w:pPr>
  </w:style>
  <w:style w:type="paragraph" w:customStyle="1" w:styleId="Warning">
    <w:name w:val="Warning"/>
    <w:basedOn w:val="BodyText"/>
    <w:rsid w:val="00EC56E9"/>
    <w:pPr>
      <w:shd w:val="clear" w:color="auto" w:fill="D9D9D9"/>
      <w:tabs>
        <w:tab w:val="left" w:pos="992"/>
      </w:tabs>
      <w:ind w:left="119" w:right="119"/>
    </w:pPr>
    <w:rPr>
      <w:sz w:val="20"/>
    </w:rPr>
  </w:style>
  <w:style w:type="paragraph" w:customStyle="1" w:styleId="MarginIcons">
    <w:name w:val="Margin Icons"/>
    <w:basedOn w:val="BodyText"/>
    <w:rsid w:val="00EC5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6E9"/>
    <w:rPr>
      <w:rFonts w:ascii="Courier New" w:hAnsi="Courier New"/>
    </w:rPr>
  </w:style>
  <w:style w:type="paragraph" w:customStyle="1" w:styleId="NoteBullet">
    <w:name w:val="Note Bullet"/>
    <w:basedOn w:val="Note"/>
    <w:rsid w:val="00EC56E9"/>
    <w:pPr>
      <w:tabs>
        <w:tab w:val="clear" w:pos="680"/>
      </w:tabs>
      <w:spacing w:before="60" w:after="60"/>
    </w:pPr>
  </w:style>
  <w:style w:type="paragraph" w:customStyle="1" w:styleId="SubHeading2">
    <w:name w:val="SubHeading2"/>
    <w:basedOn w:val="HeadingBase"/>
    <w:rsid w:val="00EC56E9"/>
    <w:pPr>
      <w:spacing w:before="240" w:after="60"/>
    </w:pPr>
    <w:rPr>
      <w:sz w:val="20"/>
    </w:rPr>
  </w:style>
  <w:style w:type="paragraph" w:customStyle="1" w:styleId="SubHeading1">
    <w:name w:val="SubHeading1"/>
    <w:basedOn w:val="HeadingBase"/>
    <w:rsid w:val="00EC56E9"/>
    <w:pPr>
      <w:spacing w:before="240" w:after="60"/>
    </w:pPr>
    <w:rPr>
      <w:color w:val="918585"/>
      <w:sz w:val="22"/>
    </w:rPr>
  </w:style>
  <w:style w:type="paragraph" w:customStyle="1" w:styleId="SideHeading">
    <w:name w:val="Side Heading"/>
    <w:basedOn w:val="HeadingBase"/>
    <w:rsid w:val="00EC5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6E9"/>
    <w:pPr>
      <w:numPr>
        <w:numId w:val="12"/>
      </w:numPr>
    </w:pPr>
  </w:style>
  <w:style w:type="paragraph" w:styleId="PlainText">
    <w:name w:val="Plain Text"/>
    <w:basedOn w:val="Normal"/>
    <w:link w:val="PlainTextChar"/>
    <w:rsid w:val="00EC56E9"/>
    <w:rPr>
      <w:sz w:val="20"/>
    </w:rPr>
  </w:style>
  <w:style w:type="character" w:customStyle="1" w:styleId="PlainTextChar">
    <w:name w:val="Plain Text Char"/>
    <w:basedOn w:val="DefaultParagraphFont"/>
    <w:link w:val="PlainText"/>
    <w:rsid w:val="00EC56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56E9"/>
    <w:rPr>
      <w:b/>
      <w:smallCaps/>
    </w:rPr>
  </w:style>
  <w:style w:type="paragraph" w:customStyle="1" w:styleId="TableListNumber">
    <w:name w:val="Table List Number"/>
    <w:basedOn w:val="ListNumber"/>
    <w:rsid w:val="00EC56E9"/>
    <w:pPr>
      <w:numPr>
        <w:numId w:val="0"/>
      </w:numPr>
    </w:pPr>
  </w:style>
  <w:style w:type="paragraph" w:styleId="TOC4">
    <w:name w:val="toc 4"/>
    <w:basedOn w:val="TOCBase"/>
    <w:next w:val="Normal"/>
    <w:semiHidden/>
    <w:rsid w:val="00EC56E9"/>
    <w:pPr>
      <w:tabs>
        <w:tab w:val="right" w:leader="dot" w:pos="9071"/>
      </w:tabs>
      <w:ind w:left="1701"/>
    </w:pPr>
  </w:style>
  <w:style w:type="paragraph" w:customStyle="1" w:styleId="ListAlpha">
    <w:name w:val="List Alpha"/>
    <w:basedOn w:val="List"/>
    <w:rsid w:val="00EC56E9"/>
    <w:pPr>
      <w:numPr>
        <w:numId w:val="9"/>
      </w:numPr>
    </w:pPr>
  </w:style>
  <w:style w:type="paragraph" w:customStyle="1" w:styleId="ListAlpha2">
    <w:name w:val="List Alpha 2"/>
    <w:basedOn w:val="List2"/>
    <w:rsid w:val="00EC56E9"/>
    <w:pPr>
      <w:numPr>
        <w:numId w:val="8"/>
      </w:numPr>
    </w:pPr>
  </w:style>
  <w:style w:type="paragraph" w:styleId="List3">
    <w:name w:val="List 3"/>
    <w:basedOn w:val="BodyText"/>
    <w:rsid w:val="00EC56E9"/>
    <w:pPr>
      <w:tabs>
        <w:tab w:val="left" w:pos="1021"/>
      </w:tabs>
      <w:spacing w:before="60" w:after="60"/>
      <w:ind w:left="1020" w:hanging="340"/>
    </w:pPr>
  </w:style>
  <w:style w:type="paragraph" w:styleId="List4">
    <w:name w:val="List 4"/>
    <w:basedOn w:val="BodyText"/>
    <w:rsid w:val="00EC56E9"/>
    <w:pPr>
      <w:tabs>
        <w:tab w:val="left" w:pos="1361"/>
      </w:tabs>
      <w:spacing w:before="60" w:after="60"/>
      <w:ind w:left="1361" w:hanging="340"/>
    </w:pPr>
  </w:style>
  <w:style w:type="paragraph" w:styleId="List5">
    <w:name w:val="List 5"/>
    <w:basedOn w:val="BodyText"/>
    <w:rsid w:val="00EC56E9"/>
    <w:pPr>
      <w:tabs>
        <w:tab w:val="left" w:pos="1701"/>
      </w:tabs>
      <w:spacing w:before="60" w:after="60"/>
      <w:ind w:left="1701" w:hanging="340"/>
    </w:pPr>
  </w:style>
  <w:style w:type="paragraph" w:styleId="ListBullet3">
    <w:name w:val="List Bullet 3"/>
    <w:basedOn w:val="List3"/>
    <w:rsid w:val="00EC56E9"/>
    <w:pPr>
      <w:numPr>
        <w:numId w:val="15"/>
      </w:numPr>
      <w:tabs>
        <w:tab w:val="clear" w:pos="1021"/>
      </w:tabs>
      <w:ind w:left="1037" w:hanging="357"/>
    </w:pPr>
  </w:style>
  <w:style w:type="paragraph" w:styleId="ListBullet4">
    <w:name w:val="List Bullet 4"/>
    <w:basedOn w:val="List4"/>
    <w:rsid w:val="00EC56E9"/>
    <w:pPr>
      <w:numPr>
        <w:numId w:val="3"/>
      </w:numPr>
    </w:pPr>
  </w:style>
  <w:style w:type="paragraph" w:styleId="ListBullet5">
    <w:name w:val="List Bullet 5"/>
    <w:basedOn w:val="List5"/>
    <w:rsid w:val="00EC56E9"/>
    <w:pPr>
      <w:numPr>
        <w:numId w:val="4"/>
      </w:numPr>
    </w:pPr>
  </w:style>
  <w:style w:type="paragraph" w:styleId="ListContinue2">
    <w:name w:val="List Continue 2"/>
    <w:basedOn w:val="List2"/>
    <w:rsid w:val="00EC56E9"/>
    <w:pPr>
      <w:ind w:firstLine="0"/>
    </w:pPr>
  </w:style>
  <w:style w:type="paragraph" w:styleId="ListContinue3">
    <w:name w:val="List Continue 3"/>
    <w:basedOn w:val="List3"/>
    <w:rsid w:val="00EC56E9"/>
    <w:pPr>
      <w:ind w:left="1021" w:firstLine="0"/>
    </w:pPr>
  </w:style>
  <w:style w:type="paragraph" w:styleId="ListContinue4">
    <w:name w:val="List Continue 4"/>
    <w:basedOn w:val="List4"/>
    <w:rsid w:val="00EC56E9"/>
    <w:pPr>
      <w:ind w:firstLine="0"/>
    </w:pPr>
  </w:style>
  <w:style w:type="paragraph" w:styleId="ListContinue5">
    <w:name w:val="List Continue 5"/>
    <w:basedOn w:val="List5"/>
    <w:rsid w:val="00EC56E9"/>
    <w:pPr>
      <w:ind w:firstLine="0"/>
    </w:pPr>
  </w:style>
  <w:style w:type="paragraph" w:styleId="ListNumber3">
    <w:name w:val="List Number 3"/>
    <w:basedOn w:val="List3"/>
    <w:rsid w:val="00EC56E9"/>
    <w:pPr>
      <w:numPr>
        <w:numId w:val="5"/>
      </w:numPr>
    </w:pPr>
  </w:style>
  <w:style w:type="paragraph" w:styleId="ListNumber4">
    <w:name w:val="List Number 4"/>
    <w:basedOn w:val="List4"/>
    <w:rsid w:val="00EC56E9"/>
    <w:pPr>
      <w:numPr>
        <w:numId w:val="6"/>
      </w:numPr>
    </w:pPr>
  </w:style>
  <w:style w:type="paragraph" w:styleId="ListNumber5">
    <w:name w:val="List Number 5"/>
    <w:basedOn w:val="List5"/>
    <w:rsid w:val="00EC56E9"/>
    <w:pPr>
      <w:numPr>
        <w:numId w:val="7"/>
      </w:numPr>
    </w:pPr>
  </w:style>
  <w:style w:type="paragraph" w:styleId="BlockText">
    <w:name w:val="Block Text"/>
    <w:basedOn w:val="Normal"/>
    <w:rsid w:val="00EC56E9"/>
    <w:pPr>
      <w:spacing w:after="120"/>
      <w:ind w:left="1440" w:right="1440"/>
    </w:pPr>
  </w:style>
  <w:style w:type="character" w:customStyle="1" w:styleId="Subscript">
    <w:name w:val="Subscript"/>
    <w:basedOn w:val="DefaultParagraphFont"/>
    <w:rsid w:val="00EC56E9"/>
    <w:rPr>
      <w:sz w:val="16"/>
      <w:vertAlign w:val="subscript"/>
    </w:rPr>
  </w:style>
  <w:style w:type="character" w:customStyle="1" w:styleId="Superscript">
    <w:name w:val="Superscript"/>
    <w:basedOn w:val="DefaultParagraphFont"/>
    <w:rsid w:val="00EC56E9"/>
    <w:rPr>
      <w:sz w:val="16"/>
      <w:vertAlign w:val="superscript"/>
    </w:rPr>
  </w:style>
  <w:style w:type="character" w:customStyle="1" w:styleId="Symbols">
    <w:name w:val="Symbols"/>
    <w:basedOn w:val="DefaultParagraphFont"/>
    <w:rsid w:val="00EC56E9"/>
    <w:rPr>
      <w:rFonts w:ascii="Symbol" w:hAnsi="Symbol"/>
    </w:rPr>
  </w:style>
  <w:style w:type="character" w:customStyle="1" w:styleId="MenuOptions">
    <w:name w:val="Menu Options"/>
    <w:basedOn w:val="DefaultParagraphFont"/>
    <w:rsid w:val="00EC56E9"/>
    <w:rPr>
      <w:rFonts w:ascii="Arial Narrow" w:hAnsi="Arial Narrow"/>
      <w:smallCaps/>
    </w:rPr>
  </w:style>
  <w:style w:type="character" w:customStyle="1" w:styleId="Buttons">
    <w:name w:val="Buttons"/>
    <w:basedOn w:val="DefaultParagraphFont"/>
    <w:rsid w:val="00EC56E9"/>
    <w:rPr>
      <w:b/>
    </w:rPr>
  </w:style>
  <w:style w:type="character" w:customStyle="1" w:styleId="Underlined">
    <w:name w:val="Underlined"/>
    <w:basedOn w:val="DefaultParagraphFont"/>
    <w:rsid w:val="00EC56E9"/>
    <w:rPr>
      <w:u w:val="single"/>
    </w:rPr>
  </w:style>
  <w:style w:type="paragraph" w:customStyle="1" w:styleId="TableBodyTextRight">
    <w:name w:val="Table Body Text Right"/>
    <w:basedOn w:val="TableBodyText"/>
    <w:rsid w:val="00EC56E9"/>
    <w:pPr>
      <w:widowControl w:val="0"/>
      <w:autoSpaceDE w:val="0"/>
      <w:autoSpaceDN w:val="0"/>
      <w:adjustRightInd w:val="0"/>
      <w:jc w:val="right"/>
    </w:pPr>
    <w:rPr>
      <w:rFonts w:cs="Arial"/>
      <w:szCs w:val="18"/>
    </w:rPr>
  </w:style>
  <w:style w:type="paragraph" w:customStyle="1" w:styleId="CopyrightText">
    <w:name w:val="Copyright Text"/>
    <w:basedOn w:val="BodyText"/>
    <w:rsid w:val="00EC56E9"/>
    <w:rPr>
      <w:sz w:val="18"/>
    </w:rPr>
  </w:style>
  <w:style w:type="paragraph" w:customStyle="1" w:styleId="BodySmallRight">
    <w:name w:val="Body Small Right"/>
    <w:basedOn w:val="BodyTextRight"/>
    <w:rsid w:val="00EC56E9"/>
    <w:rPr>
      <w:sz w:val="18"/>
      <w:szCs w:val="18"/>
    </w:rPr>
  </w:style>
  <w:style w:type="paragraph" w:customStyle="1" w:styleId="MarginEdition">
    <w:name w:val="Margin Edition"/>
    <w:basedOn w:val="MarginNote"/>
    <w:rsid w:val="00EC56E9"/>
    <w:pPr>
      <w:spacing w:before="0" w:after="0"/>
    </w:pPr>
    <w:rPr>
      <w:rFonts w:ascii="Times New Roman" w:hAnsi="Times New Roman"/>
      <w:color w:val="999999"/>
    </w:rPr>
  </w:style>
  <w:style w:type="paragraph" w:customStyle="1" w:styleId="Spacer">
    <w:name w:val="Spacer"/>
    <w:basedOn w:val="Normal"/>
    <w:rsid w:val="00EC56E9"/>
    <w:rPr>
      <w:sz w:val="2"/>
      <w:szCs w:val="2"/>
    </w:rPr>
  </w:style>
  <w:style w:type="character" w:customStyle="1" w:styleId="Small">
    <w:name w:val="Small"/>
    <w:basedOn w:val="DefaultParagraphFont"/>
    <w:rsid w:val="00EC56E9"/>
    <w:rPr>
      <w:sz w:val="16"/>
    </w:rPr>
  </w:style>
  <w:style w:type="paragraph" w:customStyle="1" w:styleId="WideTable">
    <w:name w:val="Wide Table"/>
    <w:basedOn w:val="Normal"/>
    <w:rsid w:val="00EC56E9"/>
    <w:pPr>
      <w:ind w:left="-1418"/>
    </w:pPr>
    <w:rPr>
      <w:sz w:val="2"/>
      <w:szCs w:val="2"/>
    </w:rPr>
  </w:style>
  <w:style w:type="character" w:styleId="PageNumber">
    <w:name w:val="page number"/>
    <w:basedOn w:val="DefaultParagraphFont"/>
    <w:rsid w:val="00EC56E9"/>
  </w:style>
  <w:style w:type="paragraph" w:styleId="Quote">
    <w:name w:val="Quote"/>
    <w:basedOn w:val="Heading1"/>
    <w:link w:val="QuoteChar"/>
    <w:qFormat/>
    <w:rsid w:val="00EC56E9"/>
    <w:rPr>
      <w:b w:val="0"/>
      <w:sz w:val="72"/>
      <w:szCs w:val="72"/>
      <w:lang w:val="en-NZ"/>
    </w:rPr>
  </w:style>
  <w:style w:type="character" w:customStyle="1" w:styleId="QuoteChar">
    <w:name w:val="Quote Char"/>
    <w:basedOn w:val="DefaultParagraphFont"/>
    <w:link w:val="Quote"/>
    <w:rsid w:val="00EC5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6E9"/>
    <w:pPr>
      <w:pageBreakBefore/>
    </w:pPr>
  </w:style>
  <w:style w:type="paragraph" w:customStyle="1" w:styleId="Border">
    <w:name w:val="Border"/>
    <w:basedOn w:val="Normal"/>
    <w:qFormat/>
    <w:rsid w:val="00EC5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6E9"/>
    <w:rPr>
      <w:b/>
      <w:bCs/>
      <w:i/>
      <w:iCs/>
      <w:color w:val="auto"/>
    </w:rPr>
  </w:style>
  <w:style w:type="paragraph" w:styleId="IntenseQuote">
    <w:name w:val="Intense Quote"/>
    <w:basedOn w:val="Normal"/>
    <w:next w:val="Normal"/>
    <w:link w:val="IntenseQuoteChar"/>
    <w:uiPriority w:val="30"/>
    <w:qFormat/>
    <w:rsid w:val="00EC5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6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56E9"/>
    <w:rPr>
      <w:smallCaps/>
      <w:color w:val="auto"/>
      <w:u w:val="single"/>
    </w:rPr>
  </w:style>
  <w:style w:type="character" w:styleId="IntenseReference">
    <w:name w:val="Intense Reference"/>
    <w:basedOn w:val="DefaultParagraphFont"/>
    <w:uiPriority w:val="32"/>
    <w:qFormat/>
    <w:rsid w:val="00EC56E9"/>
    <w:rPr>
      <w:b/>
      <w:bCs/>
      <w:smallCaps/>
      <w:color w:val="auto"/>
      <w:spacing w:val="5"/>
      <w:u w:val="single"/>
    </w:rPr>
  </w:style>
  <w:style w:type="paragraph" w:customStyle="1" w:styleId="2ColumnHeading">
    <w:name w:val="2Column Heading"/>
    <w:basedOn w:val="BodyText"/>
    <w:qFormat/>
    <w:rsid w:val="00EC56E9"/>
    <w:pPr>
      <w:spacing w:after="60"/>
      <w:ind w:left="-2268"/>
    </w:pPr>
    <w:rPr>
      <w:b/>
    </w:rPr>
  </w:style>
  <w:style w:type="paragraph" w:customStyle="1" w:styleId="Heading1TOC">
    <w:name w:val="Heading1 TOC"/>
    <w:basedOn w:val="Normal"/>
    <w:qFormat/>
    <w:rsid w:val="00EC56E9"/>
    <w:pPr>
      <w:spacing w:before="240" w:after="120"/>
    </w:pPr>
    <w:rPr>
      <w:rFonts w:ascii="Times New Roman" w:hAnsi="Times New Roman"/>
      <w:b/>
      <w:sz w:val="32"/>
    </w:rPr>
  </w:style>
  <w:style w:type="paragraph" w:customStyle="1" w:styleId="Heading2TOC">
    <w:name w:val="Heading2 TOC"/>
    <w:basedOn w:val="Normal"/>
    <w:qFormat/>
    <w:rsid w:val="00EC56E9"/>
    <w:pPr>
      <w:spacing w:before="240" w:after="60"/>
    </w:pPr>
    <w:rPr>
      <w:rFonts w:ascii="Times New Roman" w:hAnsi="Times New Roman"/>
      <w:b/>
      <w:sz w:val="28"/>
    </w:rPr>
  </w:style>
  <w:style w:type="character" w:customStyle="1" w:styleId="Underline">
    <w:name w:val="Underline"/>
    <w:basedOn w:val="DefaultParagraphFont"/>
    <w:qFormat/>
    <w:rsid w:val="00EC56E9"/>
    <w:rPr>
      <w:u w:val="single"/>
    </w:rPr>
  </w:style>
  <w:style w:type="paragraph" w:styleId="BalloonText">
    <w:name w:val="Balloon Text"/>
    <w:basedOn w:val="Normal"/>
    <w:link w:val="BalloonTextChar"/>
    <w:rsid w:val="00EC56E9"/>
    <w:rPr>
      <w:rFonts w:ascii="Tahoma" w:hAnsi="Tahoma" w:cs="Tahoma"/>
      <w:sz w:val="16"/>
      <w:szCs w:val="16"/>
    </w:rPr>
  </w:style>
  <w:style w:type="character" w:customStyle="1" w:styleId="BalloonTextChar">
    <w:name w:val="Balloon Text Char"/>
    <w:basedOn w:val="DefaultParagraphFont"/>
    <w:link w:val="BalloonText"/>
    <w:rsid w:val="00EC56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56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6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8316</Characters>
  <Application>Microsoft Office Word</Application>
  <DocSecurity>0</DocSecurity>
  <Lines>311</Lines>
  <Paragraphs>167</Paragraphs>
  <ScaleCrop>false</ScaleCrop>
  <Company>Author-it Software Corporation Ltd.</Company>
  <LinksUpToDate>false</LinksUpToDate>
  <CharactersWithSpaces>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FNSACC604A Monitor corporate governance activities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2012-05-26T16:12:00Z</dcterms:created>
  <dcterms:modified xsi:type="dcterms:W3CDTF">2012-05-26T16:12:00Z</dcterms:modified>
</cp:coreProperties>
</file>