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F54" w:rsidP="00B77F54">
      <w:pPr>
        <w:pStyle w:val="Title"/>
      </w:pPr>
      <w:r>
        <w:fldChar w:fldCharType="begin"/>
      </w:r>
      <w:r>
        <w:instrText xml:space="preserve"> TITLE   \* MERGEFORMAT </w:instrText>
      </w:r>
      <w:r>
        <w:fldChar w:fldCharType="separate"/>
      </w:r>
      <w:r>
        <w:t>FNSACC603A Implement tax plans and evaluate tax compliance</w:t>
      </w:r>
      <w:r>
        <w:fldChar w:fldCharType="end"/>
      </w:r>
    </w:p>
    <w:p w:rsidR="00B77F54" w:rsidP="00B77F54">
      <w:pPr>
        <w:pStyle w:val="Version"/>
        <w:sectPr w:rsidSect="00330F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30F5B" w:rsidP="00330F5B">
      <w:pPr>
        <w:pStyle w:val="SuperHeading"/>
      </w:pPr>
      <w:r w:rsidRPr="00330F5B">
        <w:t>FNSACC603A Implement tax plans and evaluate tax compliance</w:t>
      </w:r>
    </w:p>
    <w:p w:rsidR="00000000" w:rsidRPr="00330F5B" w:rsidP="00330F5B">
      <w:pPr>
        <w:pStyle w:val="SuperHeading"/>
      </w:pPr>
    </w:p>
    <w:p w:rsidR="00000000" w:rsidRPr="00330F5B" w:rsidP="00330F5B">
      <w:pPr>
        <w:pStyle w:val="Heading1"/>
      </w:pPr>
      <w:bookmarkStart w:id="1" w:name="O_77187"/>
      <w:bookmarkEnd w:id="1"/>
      <w:r w:rsidRPr="00330F5B">
        <w:t>Modification History</w:t>
      </w:r>
    </w:p>
    <w:p w:rsidR="00000000" w:rsidRPr="00330F5B" w:rsidP="00330F5B">
      <w:pPr>
        <w:pStyle w:val="BodyText"/>
      </w:pPr>
      <w:r w:rsidRPr="00330F5B">
        <w:t>Not applicable.</w:t>
      </w:r>
    </w:p>
    <w:p w:rsidR="00000000" w:rsidRPr="00330F5B" w:rsidP="00330F5B">
      <w:pPr>
        <w:pStyle w:val="AllowPageBreak"/>
      </w:pPr>
    </w:p>
    <w:p w:rsidR="00000000" w:rsidRPr="00330F5B" w:rsidP="00330F5B">
      <w:pPr>
        <w:pStyle w:val="Heading1"/>
      </w:pPr>
      <w:bookmarkStart w:id="2" w:name="O_77188"/>
      <w:bookmarkEnd w:id="2"/>
      <w:r w:rsidRPr="00330F5B">
        <w:t>Unit Descriptor</w:t>
      </w:r>
    </w:p>
    <w:tbl>
      <w:tblPr>
        <w:tblW w:w="0" w:type="auto"/>
        <w:tblLayout w:type="fixed"/>
        <w:tblCellMar>
          <w:left w:w="62" w:type="dxa"/>
          <w:right w:w="62" w:type="dxa"/>
        </w:tblCellMar>
        <w:tblLook w:val="0000"/>
      </w:tblPr>
      <w:tblGrid>
        <w:gridCol w:w="2599"/>
        <w:gridCol w:w="5923"/>
      </w:tblGrid>
      <w:tr w:rsidTr="00B77F54">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Unit descriptor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This unit describes the performance outcomes, skills and knowledge required to assess taxation</w:t>
            </w:r>
            <w:r w:rsidRPr="00330F5B">
              <w:t xml:space="preserve"> liabilities, optimise tax positions, establish processes and plans, evaluate tax policies and review tax compliance.</w:t>
            </w:r>
          </w:p>
          <w:p w:rsidR="00000000" w:rsidRPr="00330F5B" w:rsidP="00330F5B">
            <w:pPr>
              <w:pStyle w:val="BodyText"/>
            </w:pPr>
          </w:p>
          <w:p w:rsidR="00000000" w:rsidRPr="00330F5B" w:rsidP="00330F5B">
            <w:pPr>
              <w:pStyle w:val="BodyText"/>
            </w:pPr>
            <w:r w:rsidRPr="00330F5B">
              <w:t xml:space="preserve">This unit has application to a variety of financial services sectors and is applicable to individuals working within enterprises and job </w:t>
            </w:r>
            <w:r w:rsidRPr="00330F5B">
              <w:t>roles subject to licensing, legislative, regulatory or certification requirements. The Tax Practitioner's Board has set specific educational and experience requirements for registration of tax agents that must be met.</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3" w:name="O_77189"/>
      <w:bookmarkEnd w:id="3"/>
      <w:r w:rsidRPr="00330F5B">
        <w:t>Application of the Unit</w:t>
      </w:r>
    </w:p>
    <w:tbl>
      <w:tblPr>
        <w:tblW w:w="0" w:type="auto"/>
        <w:tblLayout w:type="fixed"/>
        <w:tblCellMar>
          <w:left w:w="62" w:type="dxa"/>
          <w:right w:w="62" w:type="dxa"/>
        </w:tblCellMar>
        <w:tblLook w:val="0000"/>
      </w:tblPr>
      <w:tblGrid>
        <w:gridCol w:w="2682"/>
        <w:gridCol w:w="5840"/>
      </w:tblGrid>
      <w:tr w:rsidTr="00B77F54">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Application of the unit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The unit can be applied across the financial services industry, and is appropriate for a person with suitable qualifications and experience such as an accountant and taxation specialist.</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4" w:name="O_77190"/>
      <w:bookmarkEnd w:id="4"/>
      <w:r w:rsidRPr="00330F5B">
        <w:t>Lice</w:t>
      </w:r>
      <w:r w:rsidRPr="00330F5B">
        <w:t>nsing/Regulatory Information</w:t>
      </w:r>
    </w:p>
    <w:p w:rsidR="00000000" w:rsidRPr="00330F5B" w:rsidP="00330F5B">
      <w:pPr>
        <w:pStyle w:val="BodyText"/>
      </w:pPr>
      <w:r w:rsidRPr="00330F5B">
        <w:t>Not applicable.</w:t>
      </w:r>
    </w:p>
    <w:p w:rsidR="00000000" w:rsidRPr="00330F5B" w:rsidP="00330F5B">
      <w:pPr>
        <w:pStyle w:val="AllowPageBreak"/>
      </w:pPr>
    </w:p>
    <w:p w:rsidR="00000000" w:rsidRPr="00330F5B" w:rsidP="00330F5B">
      <w:pPr>
        <w:pStyle w:val="Heading1"/>
      </w:pPr>
      <w:bookmarkStart w:id="5" w:name="O_77192"/>
      <w:bookmarkEnd w:id="5"/>
      <w:r w:rsidRPr="00330F5B">
        <w:t>Pre-Requisites</w:t>
      </w:r>
    </w:p>
    <w:tbl>
      <w:tblPr>
        <w:tblW w:w="0" w:type="auto"/>
        <w:tblLayout w:type="fixed"/>
        <w:tblCellMar>
          <w:left w:w="62" w:type="dxa"/>
          <w:right w:w="62" w:type="dxa"/>
        </w:tblCellMar>
        <w:tblLook w:val="0000"/>
      </w:tblPr>
      <w:tblGrid>
        <w:gridCol w:w="2604"/>
        <w:gridCol w:w="2342"/>
        <w:gridCol w:w="3576"/>
      </w:tblGrid>
      <w:tr w:rsidTr="00B77F54">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Prerequisite units</w:t>
            </w:r>
          </w:p>
        </w:tc>
        <w:tc>
          <w:tcPr>
            <w:tcW w:w="591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p>
        </w:tc>
      </w:tr>
      <w:tr w:rsidTr="00B77F5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FNSACC502A</w:t>
            </w: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 xml:space="preserve">Prepare income tax returns for </w:t>
            </w:r>
            <w:r w:rsidRPr="00330F5B">
              <w:t>individuals</w:t>
            </w:r>
          </w:p>
        </w:tc>
      </w:tr>
      <w:tr w:rsidTr="00B77F54">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6" w:name="O_77191"/>
      <w:bookmarkEnd w:id="6"/>
      <w:r w:rsidRPr="00330F5B">
        <w:t>Employability Skills Information</w:t>
      </w:r>
    </w:p>
    <w:tbl>
      <w:tblPr>
        <w:tblW w:w="0" w:type="auto"/>
        <w:tblLayout w:type="fixed"/>
        <w:tblCellMar>
          <w:left w:w="62" w:type="dxa"/>
          <w:right w:w="62" w:type="dxa"/>
        </w:tblCellMar>
        <w:tblLook w:val="0000"/>
      </w:tblPr>
      <w:tblGrid>
        <w:gridCol w:w="2723"/>
        <w:gridCol w:w="5799"/>
      </w:tblGrid>
      <w:tr w:rsidTr="00B77F54">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Employability skills</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This unit contains employability skills.</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7" w:name="O_77193"/>
      <w:bookmarkEnd w:id="7"/>
      <w:r w:rsidRPr="00330F5B">
        <w:t>Elements and Performance Criteria Pre-Content</w:t>
      </w:r>
    </w:p>
    <w:tbl>
      <w:tblPr>
        <w:tblW w:w="0" w:type="auto"/>
        <w:tblLayout w:type="fixed"/>
        <w:tblCellMar>
          <w:left w:w="62" w:type="dxa"/>
          <w:right w:w="62" w:type="dxa"/>
        </w:tblCellMar>
        <w:tblLook w:val="0000"/>
      </w:tblPr>
      <w:tblGrid>
        <w:gridCol w:w="2543"/>
        <w:gridCol w:w="5979"/>
      </w:tblGrid>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Performance criteria describe the performance needed to demonstrate achievement of the</w:t>
            </w:r>
            <w:r w:rsidRPr="00330F5B">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8" w:name="O_77194"/>
      <w:bookmarkEnd w:id="8"/>
      <w:r w:rsidRPr="00330F5B">
        <w:t>Elements and Perform</w:t>
      </w:r>
      <w:r w:rsidRPr="00330F5B">
        <w:t>ance Criteria</w:t>
      </w:r>
    </w:p>
    <w:tbl>
      <w:tblPr>
        <w:tblW w:w="0" w:type="auto"/>
        <w:tblLayout w:type="fixed"/>
        <w:tblCellMar>
          <w:left w:w="62" w:type="dxa"/>
          <w:right w:w="62" w:type="dxa"/>
        </w:tblCellMar>
        <w:tblLook w:val="0000"/>
      </w:tblPr>
      <w:tblGrid>
        <w:gridCol w:w="2543"/>
        <w:gridCol w:w="5979"/>
      </w:tblGrid>
      <w:tr w:rsidTr="00B77F54">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PERFORMANCE CRITERIA</w:t>
            </w:r>
          </w:p>
        </w:tc>
      </w:tr>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List"/>
              <w:rPr>
                <w:lang w:val="en-NZ"/>
              </w:rPr>
            </w:pPr>
            <w:r w:rsidRPr="00330F5B">
              <w:t>1.</w:t>
            </w:r>
            <w:r w:rsidRPr="00330F5B">
              <w:tab/>
              <w:t>Assess tax liabilities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2"/>
            </w:pPr>
            <w:r w:rsidRPr="00330F5B">
              <w:t>1.1.</w:t>
            </w:r>
            <w:r w:rsidRPr="00330F5B">
              <w:tab/>
              <w:t xml:space="preserve">Organisational and operational </w:t>
            </w:r>
            <w:r w:rsidRPr="00330F5B">
              <w:rPr>
                <w:rStyle w:val="BoldandItalics"/>
              </w:rPr>
              <w:t>tax liabilities</w:t>
            </w:r>
            <w:r w:rsidRPr="00330F5B">
              <w:t xml:space="preserve"> are identified by analysis of external and internal </w:t>
            </w:r>
            <w:r w:rsidRPr="00330F5B">
              <w:rPr>
                <w:rStyle w:val="BoldandItalics"/>
              </w:rPr>
              <w:t>taxable transactions</w:t>
            </w:r>
          </w:p>
          <w:p w:rsidR="00000000" w:rsidRPr="00330F5B" w:rsidP="00330F5B">
            <w:pPr>
              <w:pStyle w:val="List2"/>
            </w:pPr>
            <w:r w:rsidRPr="00330F5B">
              <w:t>1.2.</w:t>
            </w:r>
            <w:r w:rsidRPr="00330F5B">
              <w:tab/>
              <w:t xml:space="preserve">History and trends in </w:t>
            </w:r>
            <w:r w:rsidRPr="00330F5B">
              <w:rPr>
                <w:rStyle w:val="BoldandItalics"/>
              </w:rPr>
              <w:t>obligations</w:t>
            </w:r>
            <w:r w:rsidRPr="00330F5B">
              <w:t xml:space="preserve"> arising from organisational transactions are quantified using </w:t>
            </w:r>
            <w:r w:rsidRPr="00330F5B">
              <w:rPr>
                <w:rStyle w:val="BoldandItalics"/>
              </w:rPr>
              <w:t>standard accounting techniques</w:t>
            </w:r>
          </w:p>
          <w:p w:rsidR="00000000" w:rsidRPr="00330F5B" w:rsidP="00330F5B">
            <w:pPr>
              <w:pStyle w:val="List2"/>
            </w:pPr>
            <w:r w:rsidRPr="00330F5B">
              <w:t>1.3.</w:t>
            </w:r>
            <w:r w:rsidRPr="00330F5B">
              <w:tab/>
            </w:r>
            <w:r w:rsidRPr="00330F5B">
              <w:rPr>
                <w:rStyle w:val="BoldandItalics"/>
              </w:rPr>
              <w:t>Data</w:t>
            </w:r>
            <w:r w:rsidRPr="00330F5B">
              <w:t xml:space="preserve"> from transactions are analysed to resolve ambiguities and determine the nature of taxation options</w:t>
            </w:r>
          </w:p>
          <w:p w:rsidR="00000000" w:rsidP="00330F5B">
            <w:pPr>
              <w:pStyle w:val="List2"/>
              <w:rPr>
                <w:lang w:val="en-NZ"/>
              </w:rPr>
            </w:pPr>
            <w:r w:rsidRPr="00330F5B">
              <w:t>1.4.</w:t>
            </w:r>
            <w:r w:rsidRPr="00330F5B">
              <w:tab/>
              <w:t>Effects of taxes are analysed and scheduled by a</w:t>
            </w:r>
            <w:r w:rsidRPr="00330F5B">
              <w:t xml:space="preserve">ssessing </w:t>
            </w:r>
            <w:r w:rsidRPr="00330F5B">
              <w:rPr>
                <w:rStyle w:val="BoldandItalics"/>
              </w:rPr>
              <w:t>methods of determination</w:t>
            </w:r>
            <w:r w:rsidRPr="00330F5B">
              <w:t xml:space="preserve">, </w:t>
            </w:r>
            <w:r w:rsidRPr="00330F5B">
              <w:rPr>
                <w:rStyle w:val="BoldandItalics"/>
              </w:rPr>
              <w:t>tax bases</w:t>
            </w:r>
            <w:r w:rsidRPr="00330F5B">
              <w:t xml:space="preserve"> and timing of incidence</w:t>
            </w:r>
          </w:p>
        </w:tc>
      </w:tr>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List"/>
              <w:rPr>
                <w:lang w:val="en-NZ"/>
              </w:rPr>
            </w:pPr>
            <w:r w:rsidRPr="00330F5B">
              <w:t>2.</w:t>
            </w:r>
            <w:r w:rsidRPr="00330F5B">
              <w:tab/>
              <w:t>Optimise tax positions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2"/>
            </w:pPr>
            <w:r w:rsidRPr="00330F5B">
              <w:t>2.1.</w:t>
            </w:r>
            <w:r w:rsidRPr="00330F5B">
              <w:tab/>
              <w:t>Implications of obligations on operations and structures are assessed to develop a range of treatments and responses</w:t>
            </w:r>
          </w:p>
          <w:p w:rsidR="00000000" w:rsidRPr="00330F5B" w:rsidP="00330F5B">
            <w:pPr>
              <w:pStyle w:val="List2"/>
            </w:pPr>
            <w:r w:rsidRPr="00330F5B">
              <w:t>2.2.</w:t>
            </w:r>
            <w:r w:rsidRPr="00330F5B">
              <w:tab/>
            </w:r>
            <w:r w:rsidRPr="00330F5B">
              <w:rPr>
                <w:rStyle w:val="BoldandItalics"/>
              </w:rPr>
              <w:t>Financial management strategies</w:t>
            </w:r>
            <w:r w:rsidRPr="00330F5B">
              <w:t xml:space="preserve"> a</w:t>
            </w:r>
            <w:r w:rsidRPr="00330F5B">
              <w:t>re developed to ensure the alignment of cash flow with incidence and schedules of tax payments</w:t>
            </w:r>
          </w:p>
          <w:p w:rsidR="00000000" w:rsidP="00330F5B">
            <w:pPr>
              <w:pStyle w:val="List2"/>
              <w:rPr>
                <w:lang w:val="en-NZ"/>
              </w:rPr>
            </w:pPr>
            <w:r w:rsidRPr="00330F5B">
              <w:t>2.3.</w:t>
            </w:r>
            <w:r w:rsidRPr="00330F5B">
              <w:tab/>
              <w:t>Trends in tax liabilities are analysed and monitored to develop a history of obligations and compliance</w:t>
            </w:r>
          </w:p>
        </w:tc>
      </w:tr>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List"/>
              <w:rPr>
                <w:lang w:val="en-NZ"/>
              </w:rPr>
            </w:pPr>
            <w:r w:rsidRPr="00330F5B">
              <w:t>3.</w:t>
            </w:r>
            <w:r w:rsidRPr="00330F5B">
              <w:tab/>
              <w:t>Establish processes and plans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2"/>
            </w:pPr>
            <w:r w:rsidRPr="00330F5B">
              <w:t>3.1.</w:t>
            </w:r>
            <w:r w:rsidRPr="00330F5B">
              <w:tab/>
              <w:t>Management pl</w:t>
            </w:r>
            <w:r w:rsidRPr="00330F5B">
              <w:t xml:space="preserve">ans and </w:t>
            </w:r>
            <w:r w:rsidRPr="00330F5B">
              <w:rPr>
                <w:rStyle w:val="BoldandItalics"/>
              </w:rPr>
              <w:t>record keeping systems</w:t>
            </w:r>
            <w:r w:rsidRPr="00330F5B">
              <w:t xml:space="preserve"> are developed to implement financial management strategies and ensure the maintenance of an audit trail</w:t>
            </w:r>
          </w:p>
          <w:p w:rsidR="00000000" w:rsidRPr="00330F5B" w:rsidP="00330F5B">
            <w:pPr>
              <w:pStyle w:val="List2"/>
            </w:pPr>
            <w:r w:rsidRPr="00330F5B">
              <w:t>3.2.</w:t>
            </w:r>
            <w:r w:rsidRPr="00330F5B">
              <w:tab/>
            </w:r>
            <w:r w:rsidRPr="00330F5B">
              <w:rPr>
                <w:rStyle w:val="BoldandItalics"/>
              </w:rPr>
              <w:t>Management processes</w:t>
            </w:r>
            <w:r w:rsidRPr="00330F5B">
              <w:t xml:space="preserve"> are documented to ensure they promote standard application of compliance requirements</w:t>
            </w:r>
          </w:p>
          <w:p w:rsidR="00000000" w:rsidRPr="00330F5B" w:rsidP="00330F5B">
            <w:pPr>
              <w:pStyle w:val="List2"/>
            </w:pPr>
            <w:r w:rsidRPr="00330F5B">
              <w:t>3.3.</w:t>
            </w:r>
            <w:r w:rsidRPr="00330F5B">
              <w:tab/>
            </w:r>
            <w:r w:rsidRPr="00330F5B">
              <w:t>Taxation liabilities are derived from income and expenditure estimates using standard accounting techniques</w:t>
            </w:r>
          </w:p>
          <w:p w:rsidR="00000000" w:rsidP="00330F5B">
            <w:pPr>
              <w:pStyle w:val="List2"/>
              <w:rPr>
                <w:lang w:val="en-NZ"/>
              </w:rPr>
            </w:pPr>
            <w:r w:rsidRPr="00330F5B">
              <w:t>3.4.</w:t>
            </w:r>
            <w:r w:rsidRPr="00330F5B">
              <w:tab/>
              <w:t>Budgets are prepared in accordance with estimates and reviewed to ensure ongoing relevance of liability estimates</w:t>
            </w:r>
          </w:p>
        </w:tc>
      </w:tr>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List"/>
              <w:rPr>
                <w:lang w:val="en-NZ"/>
              </w:rPr>
            </w:pPr>
            <w:r w:rsidRPr="00330F5B">
              <w:t>4.</w:t>
            </w:r>
            <w:r w:rsidRPr="00330F5B">
              <w:tab/>
              <w:t>Evaluate tax policies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2"/>
            </w:pPr>
            <w:r w:rsidRPr="00330F5B">
              <w:t>4.1</w:t>
            </w:r>
            <w:r w:rsidRPr="00330F5B">
              <w:t>.</w:t>
            </w:r>
            <w:r w:rsidRPr="00330F5B">
              <w:tab/>
            </w:r>
            <w:r w:rsidRPr="00330F5B">
              <w:rPr>
                <w:rStyle w:val="BoldandItalics"/>
              </w:rPr>
              <w:t>Variances</w:t>
            </w:r>
            <w:r w:rsidRPr="00330F5B">
              <w:t xml:space="preserve"> between liabilities and taxation plans are analysed to identify errors in tax strategies</w:t>
            </w:r>
          </w:p>
          <w:p w:rsidR="00000000" w:rsidRPr="00330F5B" w:rsidP="00330F5B">
            <w:pPr>
              <w:pStyle w:val="List2"/>
            </w:pPr>
            <w:r w:rsidRPr="00330F5B">
              <w:t>4.2.</w:t>
            </w:r>
            <w:r w:rsidRPr="00330F5B">
              <w:tab/>
              <w:t>Performance of tax liabilities in similar or related organisations and operations are monitored and evaluated to measure tax effectiveness and prepare</w:t>
            </w:r>
            <w:r w:rsidRPr="00330F5B">
              <w:t xml:space="preserve"> benchmarks and standards</w:t>
            </w:r>
          </w:p>
          <w:p w:rsidR="00000000" w:rsidP="00330F5B">
            <w:pPr>
              <w:pStyle w:val="List2"/>
              <w:rPr>
                <w:lang w:val="en-NZ"/>
              </w:rPr>
            </w:pPr>
            <w:r w:rsidRPr="00330F5B">
              <w:t>4.3.</w:t>
            </w:r>
            <w:r w:rsidRPr="00330F5B">
              <w:tab/>
              <w:t xml:space="preserve">Data is reviewed for accuracy, completeness and reliability of </w:t>
            </w:r>
            <w:r w:rsidRPr="00330F5B">
              <w:rPr>
                <w:rStyle w:val="BoldandItalics"/>
              </w:rPr>
              <w:t>assumptions</w:t>
            </w:r>
            <w:r w:rsidRPr="00330F5B">
              <w:t xml:space="preserve"> in liability projections</w:t>
            </w:r>
          </w:p>
        </w:tc>
      </w:tr>
      <w:tr w:rsidTr="00B77F54">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List"/>
              <w:rPr>
                <w:lang w:val="en-NZ"/>
              </w:rPr>
            </w:pPr>
            <w:r w:rsidRPr="00330F5B">
              <w:t>5.</w:t>
            </w:r>
            <w:r w:rsidRPr="00330F5B">
              <w:tab/>
              <w:t>Review tax compliance</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2"/>
            </w:pPr>
            <w:r w:rsidRPr="00330F5B">
              <w:t>5.1.</w:t>
            </w:r>
            <w:r w:rsidRPr="00330F5B">
              <w:tab/>
              <w:t>The achievement of performance indicators is assessed and reviewed against key result areas</w:t>
            </w:r>
          </w:p>
          <w:p w:rsidR="00000000" w:rsidRPr="00330F5B" w:rsidP="00330F5B">
            <w:pPr>
              <w:pStyle w:val="List2"/>
            </w:pPr>
            <w:r w:rsidRPr="00330F5B">
              <w:t>5.</w:t>
            </w:r>
            <w:r w:rsidRPr="00330F5B">
              <w:t>2.</w:t>
            </w:r>
            <w:r w:rsidRPr="00330F5B">
              <w:tab/>
              <w:t>Taxation preparation processes are monitored and reviewed in line with professional taxation and accounting standards requirements</w:t>
            </w:r>
          </w:p>
          <w:p w:rsidR="00000000" w:rsidRPr="00330F5B" w:rsidP="00330F5B">
            <w:pPr>
              <w:pStyle w:val="List2"/>
            </w:pPr>
            <w:r w:rsidRPr="00330F5B">
              <w:t>5.3.</w:t>
            </w:r>
            <w:r w:rsidRPr="00330F5B">
              <w:tab/>
              <w:t>Failures in compliance are analysed to diagnose shortcomings and to remedy processes in line with taxation authoritie</w:t>
            </w:r>
            <w:r w:rsidRPr="00330F5B">
              <w:t>s' requirements</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9" w:name="O_77195"/>
      <w:bookmarkEnd w:id="9"/>
      <w:r w:rsidRPr="00330F5B">
        <w:t>Required Skills and Knowledge</w:t>
      </w:r>
    </w:p>
    <w:tbl>
      <w:tblPr>
        <w:tblW w:w="0" w:type="auto"/>
        <w:tblLayout w:type="fixed"/>
        <w:tblCellMar>
          <w:left w:w="62" w:type="dxa"/>
          <w:right w:w="62" w:type="dxa"/>
        </w:tblCellMar>
        <w:tblLook w:val="0000"/>
      </w:tblPr>
      <w:tblGrid>
        <w:gridCol w:w="8522"/>
      </w:tblGrid>
      <w:tr w:rsidTr="00B77F5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REQUIRED SKILLS AND KNOWLEDGE</w:t>
            </w:r>
          </w:p>
        </w:tc>
      </w:tr>
      <w:tr w:rsidTr="00B77F5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This section describes the skills and knowledge required for this unit.</w:t>
            </w:r>
          </w:p>
        </w:tc>
      </w:tr>
      <w:tr w:rsidTr="00B77F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Required skills</w:t>
            </w:r>
          </w:p>
        </w:tc>
      </w:tr>
      <w:tr w:rsidTr="00B77F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well-developed communication skills to:</w:t>
            </w:r>
          </w:p>
          <w:p w:rsidR="00000000" w:rsidRPr="00330F5B" w:rsidP="00330F5B">
            <w:pPr>
              <w:pStyle w:val="ListBullet2"/>
            </w:pPr>
            <w:r w:rsidRPr="00330F5B">
              <w:t xml:space="preserve">determine and confirm taxation planning and compliance requirements and deal with client's, using questioning and active listening as required </w:t>
            </w:r>
          </w:p>
          <w:p w:rsidR="00000000" w:rsidRPr="00330F5B" w:rsidP="00330F5B">
            <w:pPr>
              <w:pStyle w:val="ListBullet2"/>
            </w:pPr>
            <w:r w:rsidRPr="00330F5B">
              <w:t>liaise with others, share information, listen and understand</w:t>
            </w:r>
          </w:p>
          <w:p w:rsidR="00000000" w:rsidRPr="00330F5B" w:rsidP="00330F5B">
            <w:pPr>
              <w:pStyle w:val="ListBullet2"/>
            </w:pPr>
            <w:r w:rsidRPr="00330F5B">
              <w:t>use language and concepts appropriate to cultural d</w:t>
            </w:r>
            <w:r w:rsidRPr="00330F5B">
              <w:t>ifferences</w:t>
            </w:r>
          </w:p>
          <w:p w:rsidR="00000000" w:rsidRPr="00330F5B" w:rsidP="00330F5B">
            <w:pPr>
              <w:pStyle w:val="ListBullet"/>
            </w:pPr>
            <w:r w:rsidRPr="00330F5B">
              <w:t>highly developed research skills such as:</w:t>
            </w:r>
          </w:p>
          <w:p w:rsidR="00000000" w:rsidRPr="00330F5B" w:rsidP="00330F5B">
            <w:pPr>
              <w:pStyle w:val="ListBullet2"/>
            </w:pPr>
            <w:r w:rsidRPr="00330F5B">
              <w:t xml:space="preserve"> accessing and managing complex financial services information</w:t>
            </w:r>
          </w:p>
          <w:p w:rsidR="00000000" w:rsidRPr="00330F5B" w:rsidP="00330F5B">
            <w:pPr>
              <w:pStyle w:val="ListBullet2"/>
            </w:pPr>
            <w:r w:rsidRPr="00330F5B">
              <w:t>accessing and interpreting complex taxation plans and legislation</w:t>
            </w:r>
          </w:p>
          <w:p w:rsidR="00000000" w:rsidRPr="00330F5B" w:rsidP="00330F5B">
            <w:pPr>
              <w:pStyle w:val="ListBullet"/>
            </w:pPr>
            <w:r w:rsidRPr="00330F5B">
              <w:t>literacy skills for analysing information needs and preparing clear wri</w:t>
            </w:r>
            <w:r w:rsidRPr="00330F5B">
              <w:t>tten advice for clients and taxation planning documentation</w:t>
            </w:r>
          </w:p>
          <w:p w:rsidR="00000000" w:rsidRPr="00330F5B" w:rsidP="00330F5B">
            <w:pPr>
              <w:pStyle w:val="ListBullet"/>
            </w:pPr>
            <w:r w:rsidRPr="00330F5B">
              <w:t>well-developed numeracy skills for financial calculations and analysis</w:t>
            </w:r>
          </w:p>
          <w:p w:rsidR="00000000" w:rsidRPr="00330F5B" w:rsidP="00330F5B">
            <w:pPr>
              <w:pStyle w:val="ListBullet"/>
            </w:pPr>
            <w:r w:rsidRPr="00330F5B">
              <w:t>IT skills for developing, using and troubleshooting integrated financial systems, spreadsheets and databases and using intern</w:t>
            </w:r>
            <w:r w:rsidRPr="00330F5B">
              <w:t>et information</w:t>
            </w:r>
          </w:p>
          <w:p w:rsidR="00000000" w:rsidRPr="00330F5B" w:rsidP="00330F5B">
            <w:pPr>
              <w:pStyle w:val="ListBullet"/>
            </w:pPr>
            <w:r w:rsidRPr="00330F5B">
              <w:t>learning skills to maintain knowledge of changes to taxation legislation and requirements</w:t>
            </w:r>
          </w:p>
          <w:p w:rsidR="00000000" w:rsidRPr="00330F5B" w:rsidP="00330F5B">
            <w:pPr>
              <w:pStyle w:val="ListBullet"/>
            </w:pPr>
            <w:r w:rsidRPr="00330F5B">
              <w:t xml:space="preserve">high level problem solving skills to identify any taxation issues that have the potential to impact on clients and to develop options to resolve these </w:t>
            </w:r>
            <w:r w:rsidRPr="00330F5B">
              <w:t>issues when they arise</w:t>
            </w:r>
          </w:p>
          <w:p w:rsidR="00000000" w:rsidRPr="00330F5B" w:rsidP="00330F5B">
            <w:pPr>
              <w:pStyle w:val="ListBullet"/>
            </w:pPr>
            <w:r w:rsidRPr="00330F5B">
              <w:t>organisational skills, including the ability to plan and sequence work and correctly schedule taxation lodgements</w:t>
            </w:r>
          </w:p>
          <w:p w:rsidR="00000000" w:rsidP="00330F5B">
            <w:pPr>
              <w:pStyle w:val="ListBullet"/>
              <w:rPr>
                <w:lang w:val="en-NZ"/>
              </w:rPr>
            </w:pPr>
            <w:r w:rsidRPr="00330F5B">
              <w:t>research skills to identify valuations and applicable professional standards</w:t>
            </w:r>
          </w:p>
        </w:tc>
      </w:tr>
      <w:tr w:rsidTr="00B77F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Required knowledge</w:t>
            </w:r>
          </w:p>
        </w:tc>
      </w:tr>
      <w:tr w:rsidTr="00B77F5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current financial legislation</w:t>
            </w:r>
          </w:p>
          <w:p w:rsidR="00000000" w:rsidRPr="00330F5B" w:rsidP="00330F5B">
            <w:pPr>
              <w:pStyle w:val="ListBullet2"/>
            </w:pPr>
            <w:r w:rsidRPr="00330F5B">
              <w:t>taxable transactions</w:t>
            </w:r>
          </w:p>
          <w:p w:rsidR="00000000" w:rsidRPr="00330F5B" w:rsidP="00330F5B">
            <w:pPr>
              <w:pStyle w:val="ListBullet2"/>
            </w:pPr>
            <w:r w:rsidRPr="00330F5B">
              <w:t>reporting requirements</w:t>
            </w:r>
          </w:p>
          <w:p w:rsidR="00000000" w:rsidRPr="00330F5B" w:rsidP="00330F5B">
            <w:pPr>
              <w:pStyle w:val="ListBullet"/>
            </w:pPr>
            <w:r w:rsidRPr="00330F5B">
              <w:t>detailed knowledge of formats required for submission of statutory returns</w:t>
            </w:r>
          </w:p>
          <w:p w:rsidR="00000000" w:rsidRPr="00330F5B" w:rsidP="00330F5B">
            <w:pPr>
              <w:pStyle w:val="ListBullet"/>
            </w:pPr>
            <w:r w:rsidRPr="00330F5B">
              <w:t>ethical considerations for preparation of returns including disclosure</w:t>
            </w:r>
          </w:p>
          <w:p w:rsidR="00000000" w:rsidRPr="00330F5B" w:rsidP="00330F5B">
            <w:pPr>
              <w:pStyle w:val="ListBullet"/>
            </w:pPr>
            <w:r w:rsidRPr="00330F5B">
              <w:t>methods and principles of accrual accounting</w:t>
            </w:r>
          </w:p>
          <w:p w:rsidR="00000000" w:rsidRPr="00330F5B" w:rsidP="00330F5B">
            <w:pPr>
              <w:pStyle w:val="ListBullet"/>
            </w:pPr>
            <w:r w:rsidRPr="00330F5B">
              <w:t>principles of internal control including statutory requirements</w:t>
            </w:r>
          </w:p>
          <w:p w:rsidR="00000000" w:rsidRPr="00330F5B" w:rsidP="00330F5B">
            <w:pPr>
              <w:pStyle w:val="ListBullet"/>
            </w:pPr>
            <w:r w:rsidRPr="00330F5B">
              <w:t>principles of valuation and common methods of depreciation</w:t>
            </w:r>
          </w:p>
          <w:p w:rsidR="00000000" w:rsidRPr="00330F5B" w:rsidP="00330F5B">
            <w:pPr>
              <w:pStyle w:val="ListBullet"/>
            </w:pPr>
            <w:r w:rsidRPr="00330F5B">
              <w:t>range of acceptable practices required to obtain deductions under relevant tax legislati</w:t>
            </w:r>
            <w:r w:rsidRPr="00330F5B">
              <w:t>on such as:</w:t>
            </w:r>
          </w:p>
          <w:p w:rsidR="00000000" w:rsidRPr="00330F5B" w:rsidP="00330F5B">
            <w:pPr>
              <w:pStyle w:val="ListBullet2"/>
            </w:pPr>
            <w:r w:rsidRPr="00330F5B">
              <w:t>Capital Gains Tax (CGT)</w:t>
            </w:r>
          </w:p>
          <w:p w:rsidR="00000000" w:rsidRPr="00330F5B" w:rsidP="00330F5B">
            <w:pPr>
              <w:pStyle w:val="ListBullet2"/>
            </w:pPr>
            <w:r w:rsidRPr="00330F5B">
              <w:t>income tax</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10" w:name="O_77196"/>
      <w:bookmarkEnd w:id="10"/>
      <w:r w:rsidRPr="00330F5B">
        <w:t>Evidence Guide</w:t>
      </w:r>
    </w:p>
    <w:tbl>
      <w:tblPr>
        <w:tblW w:w="9570" w:type="dxa"/>
        <w:tblLayout w:type="fixed"/>
        <w:tblCellMar>
          <w:left w:w="62" w:type="dxa"/>
          <w:right w:w="62" w:type="dxa"/>
        </w:tblCellMar>
        <w:tblLook w:val="0000"/>
      </w:tblPr>
      <w:tblGrid>
        <w:gridCol w:w="2808"/>
        <w:gridCol w:w="6762"/>
      </w:tblGrid>
      <w:tr w:rsidTr="00B77F5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EVIDENCE GUIDE</w:t>
            </w:r>
          </w:p>
        </w:tc>
      </w:tr>
      <w:tr w:rsidTr="00B77F5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 xml:space="preserve">The Evidence Guide provides advice on assessment and must be read in conjunction with the performance criteria, required skills and knowledge, </w:t>
            </w:r>
            <w:r w:rsidRPr="00330F5B">
              <w:t>range statement and the Assessment Guidelines for the Training Package.</w:t>
            </w:r>
          </w:p>
        </w:tc>
      </w:tr>
      <w:tr w:rsidTr="00B77F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p>
        </w:tc>
      </w:tr>
      <w:tr w:rsidTr="00B77F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Evidence of the ability to:</w:t>
            </w:r>
          </w:p>
          <w:p w:rsidR="00000000" w:rsidRPr="00330F5B" w:rsidP="00330F5B">
            <w:pPr>
              <w:pStyle w:val="ListBullet"/>
            </w:pPr>
            <w:r w:rsidRPr="00330F5B">
              <w:t xml:space="preserve">interpret and use standard accounting techniques </w:t>
            </w:r>
          </w:p>
          <w:p w:rsidR="00000000" w:rsidRPr="00330F5B" w:rsidP="00330F5B">
            <w:pPr>
              <w:pStyle w:val="BodyText"/>
            </w:pPr>
            <w:r w:rsidRPr="00330F5B">
              <w:t>work within organisational policies and procedures</w:t>
            </w:r>
          </w:p>
          <w:p w:rsidR="00000000" w:rsidRPr="00330F5B" w:rsidP="00330F5B">
            <w:pPr>
              <w:pStyle w:val="ListBullet"/>
            </w:pPr>
            <w:r w:rsidRPr="00330F5B">
              <w:t xml:space="preserve">assess tax liabilities and optimise tax position </w:t>
            </w:r>
          </w:p>
          <w:p w:rsidR="00000000" w:rsidRPr="00330F5B" w:rsidP="00330F5B">
            <w:pPr>
              <w:pStyle w:val="ListBullet"/>
            </w:pPr>
            <w:r w:rsidRPr="00330F5B">
              <w:t xml:space="preserve">establish processes and plans </w:t>
            </w:r>
          </w:p>
          <w:p w:rsidR="00000000" w:rsidP="00330F5B">
            <w:pPr>
              <w:pStyle w:val="ListBullet"/>
              <w:rPr>
                <w:lang w:val="en-NZ"/>
              </w:rPr>
            </w:pPr>
            <w:r w:rsidRPr="00330F5B">
              <w:t>evaluate tax policies and review compliance.</w:t>
            </w:r>
          </w:p>
        </w:tc>
      </w:tr>
      <w:tr w:rsidTr="00B77F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Context of and specific res</w:t>
            </w:r>
            <w:r w:rsidRPr="00330F5B">
              <w:rPr>
                <w:rStyle w:val="SpecialBold"/>
              </w:rPr>
              <w:t>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Assessment must ensure:</w:t>
            </w:r>
          </w:p>
          <w:p w:rsidR="00000000" w:rsidRPr="00330F5B" w:rsidP="00330F5B">
            <w:pPr>
              <w:pStyle w:val="ListBullet"/>
            </w:pPr>
            <w:r w:rsidRPr="00330F5B">
              <w:t>competency is demonstrated in the context of the financial services work environment and conditions specified in the range statement either in a relevant workplace or a closely simulated work environment</w:t>
            </w:r>
          </w:p>
          <w:p w:rsidR="00000000" w:rsidRPr="00330F5B" w:rsidP="00330F5B">
            <w:pPr>
              <w:pStyle w:val="ListBullet"/>
            </w:pPr>
            <w:r w:rsidRPr="00330F5B">
              <w:t>acces</w:t>
            </w:r>
            <w:r w:rsidRPr="00330F5B">
              <w:t>s to and the use of a range of common office equipment, technology, software and consumables</w:t>
            </w:r>
          </w:p>
          <w:p w:rsidR="00000000" w:rsidP="00330F5B">
            <w:pPr>
              <w:pStyle w:val="ListBullet"/>
              <w:rPr>
                <w:lang w:val="en-NZ"/>
              </w:rPr>
            </w:pPr>
            <w:r w:rsidRPr="00330F5B">
              <w:t>access to an integrated financial software system and data.</w:t>
            </w:r>
          </w:p>
        </w:tc>
      </w:tr>
      <w:tr w:rsidTr="00B77F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A range of assessment methods should be used to assess practical skills and knowledge. The following examples, in combination, are appropriate for this unit:</w:t>
            </w:r>
          </w:p>
          <w:p w:rsidR="00000000" w:rsidRPr="00330F5B" w:rsidP="00330F5B">
            <w:pPr>
              <w:pStyle w:val="ListBullet"/>
            </w:pPr>
            <w:r w:rsidRPr="00330F5B">
              <w:t>evaluating an integrated activity which combines the elements of competency for the unit or a clu</w:t>
            </w:r>
            <w:r w:rsidRPr="00330F5B">
              <w:t>ster of related units of competency</w:t>
            </w:r>
          </w:p>
          <w:p w:rsidR="00000000" w:rsidRPr="00330F5B" w:rsidP="00330F5B">
            <w:pPr>
              <w:pStyle w:val="ListBullet"/>
            </w:pPr>
            <w:r w:rsidRPr="00330F5B">
              <w:t>assessment as set by the Tax Practitioners Board for BAS and tax agent registration</w:t>
            </w:r>
          </w:p>
          <w:p w:rsidR="00000000" w:rsidRPr="00330F5B" w:rsidP="00330F5B">
            <w:pPr>
              <w:pStyle w:val="ListBullet"/>
            </w:pPr>
            <w:r w:rsidRPr="00330F5B">
              <w:t xml:space="preserve">verbal or written questioning on underpinning knowledge and skills </w:t>
            </w:r>
          </w:p>
          <w:p w:rsidR="00000000" w:rsidRPr="00330F5B" w:rsidP="00330F5B">
            <w:pPr>
              <w:pStyle w:val="ListBullet"/>
            </w:pPr>
            <w:r w:rsidRPr="00330F5B">
              <w:t>setting and reviewing business taxation simulations</w:t>
            </w:r>
          </w:p>
          <w:p w:rsidR="00000000" w:rsidP="00330F5B">
            <w:pPr>
              <w:pStyle w:val="ListBullet"/>
              <w:rPr>
                <w:lang w:val="en-NZ"/>
              </w:rPr>
            </w:pPr>
            <w:r w:rsidRPr="00330F5B">
              <w:t>evaluating sampl</w:t>
            </w:r>
            <w:r w:rsidRPr="00330F5B">
              <w:t>es of work.</w:t>
            </w:r>
          </w:p>
        </w:tc>
      </w:tr>
      <w:tr w:rsidTr="00B77F54">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11" w:name="O_77197"/>
      <w:bookmarkEnd w:id="11"/>
      <w:r w:rsidRPr="00330F5B">
        <w:t>Range Statement</w:t>
      </w:r>
    </w:p>
    <w:tbl>
      <w:tblPr>
        <w:tblW w:w="0" w:type="auto"/>
        <w:tblLayout w:type="fixed"/>
        <w:tblCellMar>
          <w:left w:w="62" w:type="dxa"/>
          <w:right w:w="62" w:type="dxa"/>
        </w:tblCellMar>
        <w:tblLook w:val="0000"/>
      </w:tblPr>
      <w:tblGrid>
        <w:gridCol w:w="2497"/>
        <w:gridCol w:w="6025"/>
      </w:tblGrid>
      <w:tr w:rsidTr="00B77F5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RANGE STATEMENT</w:t>
            </w:r>
          </w:p>
        </w:tc>
      </w:tr>
      <w:tr w:rsidTr="00B77F5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t xml:space="preserve">The range statement relates to the unit of competency as a whole. It allows for different work environments and situations that may affect </w:t>
            </w:r>
            <w:r w:rsidRPr="00330F5B">
              <w:t>performance. Bold italicised wording, if used in the performance criteria, is detailed below. Essential operating conditions that may be present with training and assessment (depending on the work situation, needs of the candidate, accessibility of the ite</w:t>
            </w:r>
            <w:r w:rsidRPr="00330F5B">
              <w:t>m, and local industry and regional contexts) may also be included.</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Tax liabilities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Fringe Benefits Tax (FBT)</w:t>
            </w:r>
          </w:p>
          <w:p w:rsidR="00000000" w:rsidRPr="00330F5B" w:rsidP="00330F5B">
            <w:pPr>
              <w:pStyle w:val="ListBullet"/>
            </w:pPr>
            <w:r w:rsidRPr="00330F5B">
              <w:t>fuel tax credits.</w:t>
            </w:r>
          </w:p>
          <w:p w:rsidR="00000000" w:rsidRPr="00330F5B" w:rsidP="00330F5B">
            <w:pPr>
              <w:pStyle w:val="ListBullet"/>
            </w:pPr>
            <w:r w:rsidRPr="00330F5B">
              <w:t xml:space="preserve">Goods and Services Tax (GST) </w:t>
            </w:r>
          </w:p>
          <w:p w:rsidR="00000000" w:rsidRPr="00330F5B" w:rsidP="00330F5B">
            <w:pPr>
              <w:pStyle w:val="ListBullet"/>
            </w:pPr>
            <w:r w:rsidRPr="00330F5B">
              <w:t>income tax including corporate tax and CGT</w:t>
            </w:r>
          </w:p>
          <w:p w:rsidR="00000000" w:rsidRPr="00330F5B" w:rsidP="00330F5B">
            <w:pPr>
              <w:pStyle w:val="ListBullet"/>
            </w:pPr>
            <w:r w:rsidRPr="00330F5B">
              <w:t>instalments</w:t>
            </w:r>
          </w:p>
          <w:p w:rsidR="00000000" w:rsidRPr="00330F5B" w:rsidP="00330F5B">
            <w:pPr>
              <w:pStyle w:val="ListBullet"/>
            </w:pPr>
            <w:r w:rsidRPr="00330F5B">
              <w:t>luxury car tax</w:t>
            </w:r>
          </w:p>
          <w:p w:rsidR="00000000" w:rsidRPr="00330F5B" w:rsidP="00330F5B">
            <w:pPr>
              <w:pStyle w:val="ListBullet"/>
            </w:pPr>
            <w:r w:rsidRPr="00330F5B">
              <w:t>Pay-As-You Go (PAYG) tax withheld</w:t>
            </w:r>
          </w:p>
          <w:p w:rsidR="00000000" w:rsidRPr="00330F5B" w:rsidP="00330F5B">
            <w:pPr>
              <w:pStyle w:val="ListBullet"/>
            </w:pPr>
            <w:r w:rsidRPr="00330F5B">
              <w:t>PAYG income tax instalments</w:t>
            </w:r>
          </w:p>
          <w:p w:rsidR="00000000" w:rsidRPr="00330F5B" w:rsidP="00330F5B">
            <w:pPr>
              <w:pStyle w:val="ListBullet"/>
            </w:pPr>
            <w:r w:rsidRPr="00330F5B">
              <w:t>State government charges such as payroll taxes</w:t>
            </w:r>
          </w:p>
          <w:p w:rsidR="00000000" w:rsidRPr="00330F5B" w:rsidP="00330F5B">
            <w:pPr>
              <w:pStyle w:val="ListBullet"/>
            </w:pPr>
            <w:r w:rsidRPr="00330F5B">
              <w:t>superannuation requirements</w:t>
            </w:r>
          </w:p>
          <w:p w:rsidR="00000000" w:rsidRPr="00330F5B" w:rsidP="00330F5B">
            <w:pPr>
              <w:pStyle w:val="ListBullet"/>
            </w:pPr>
            <w:r w:rsidRPr="00330F5B">
              <w:t>wine equalisation tax</w:t>
            </w:r>
          </w:p>
          <w:p w:rsidR="00000000" w:rsidP="00330F5B">
            <w:pPr>
              <w:pStyle w:val="ListBullet"/>
              <w:rPr>
                <w:lang w:val="en-NZ"/>
              </w:rPr>
            </w:pPr>
            <w:r w:rsidRPr="00330F5B">
              <w:t>withholdings.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Taxable transactions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allowable deductions</w:t>
            </w:r>
          </w:p>
          <w:p w:rsidR="00000000" w:rsidRPr="00330F5B" w:rsidP="00330F5B">
            <w:pPr>
              <w:pStyle w:val="ListBullet"/>
            </w:pPr>
            <w:r w:rsidRPr="00330F5B">
              <w:t>capital gains</w:t>
            </w:r>
          </w:p>
          <w:p w:rsidR="00000000" w:rsidRPr="00330F5B" w:rsidP="00330F5B">
            <w:pPr>
              <w:pStyle w:val="ListBullet"/>
            </w:pPr>
            <w:r w:rsidRPr="00330F5B">
              <w:t>financial adjustments such as:</w:t>
            </w:r>
          </w:p>
          <w:p w:rsidR="00000000" w:rsidRPr="00330F5B" w:rsidP="00330F5B">
            <w:pPr>
              <w:pStyle w:val="ListBullet2"/>
            </w:pPr>
            <w:r w:rsidRPr="00330F5B">
              <w:t xml:space="preserve">write-offs </w:t>
            </w:r>
          </w:p>
          <w:p w:rsidR="00000000" w:rsidRPr="00330F5B" w:rsidP="00330F5B">
            <w:pPr>
              <w:pStyle w:val="ListBullet2"/>
            </w:pPr>
            <w:r w:rsidRPr="00330F5B">
              <w:t>revaluations</w:t>
            </w:r>
          </w:p>
          <w:p w:rsidR="00000000" w:rsidRPr="00330F5B" w:rsidP="00330F5B">
            <w:pPr>
              <w:pStyle w:val="ListBullet"/>
            </w:pPr>
            <w:r w:rsidRPr="00330F5B">
              <w:t>income</w:t>
            </w:r>
          </w:p>
          <w:p w:rsidR="00000000" w:rsidRPr="00330F5B" w:rsidP="00330F5B">
            <w:pPr>
              <w:pStyle w:val="ListBullet"/>
            </w:pPr>
            <w:r w:rsidRPr="00330F5B">
              <w:t>payments</w:t>
            </w:r>
          </w:p>
          <w:p w:rsidR="00000000" w:rsidRPr="00330F5B" w:rsidP="00330F5B">
            <w:pPr>
              <w:pStyle w:val="ListBullet"/>
            </w:pPr>
            <w:r w:rsidRPr="00330F5B">
              <w:t>purchases</w:t>
            </w:r>
          </w:p>
          <w:p w:rsidR="00000000" w:rsidP="00330F5B">
            <w:pPr>
              <w:pStyle w:val="ListBullet"/>
              <w:rPr>
                <w:lang w:val="en-NZ"/>
              </w:rPr>
            </w:pPr>
            <w:r w:rsidRPr="00330F5B">
              <w:t>superannuation payments.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Obligations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explanatory statements</w:t>
            </w:r>
          </w:p>
          <w:p w:rsidR="00000000" w:rsidRPr="00330F5B" w:rsidP="00330F5B">
            <w:pPr>
              <w:pStyle w:val="ListBullet"/>
            </w:pPr>
            <w:r w:rsidRPr="00330F5B">
              <w:t>lodgement dates</w:t>
            </w:r>
          </w:p>
          <w:p w:rsidR="00000000" w:rsidRPr="00330F5B" w:rsidP="00330F5B">
            <w:pPr>
              <w:pStyle w:val="ListBullet"/>
            </w:pPr>
            <w:r w:rsidRPr="00330F5B">
              <w:t>repayment schedules</w:t>
            </w:r>
          </w:p>
          <w:p w:rsidR="00000000" w:rsidP="00330F5B">
            <w:pPr>
              <w:pStyle w:val="ListBullet"/>
              <w:rPr>
                <w:lang w:val="en-NZ"/>
              </w:rPr>
            </w:pPr>
            <w:r w:rsidRPr="00330F5B">
              <w:t>supporting documentation.</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Standard accounting techniques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deprival asset valuations</w:t>
            </w:r>
          </w:p>
          <w:p w:rsidR="00000000" w:rsidRPr="00330F5B" w:rsidP="00330F5B">
            <w:pPr>
              <w:pStyle w:val="ListBullet"/>
            </w:pPr>
            <w:r w:rsidRPr="00330F5B">
              <w:t>direct allocation</w:t>
            </w:r>
          </w:p>
          <w:p w:rsidR="00000000" w:rsidRPr="00330F5B" w:rsidP="00330F5B">
            <w:pPr>
              <w:pStyle w:val="ListBullet"/>
            </w:pPr>
            <w:r w:rsidRPr="00330F5B">
              <w:t>discounted cash flows</w:t>
            </w:r>
          </w:p>
          <w:p w:rsidR="00000000" w:rsidRPr="00330F5B" w:rsidP="00330F5B">
            <w:pPr>
              <w:pStyle w:val="ListBullet"/>
            </w:pPr>
            <w:r w:rsidRPr="00330F5B">
              <w:t>forecasting techniques</w:t>
            </w:r>
          </w:p>
          <w:p w:rsidR="00000000" w:rsidRPr="00330F5B" w:rsidP="00330F5B">
            <w:pPr>
              <w:pStyle w:val="ListBullet"/>
            </w:pPr>
            <w:r w:rsidRPr="00330F5B">
              <w:t>impact statements</w:t>
            </w:r>
          </w:p>
          <w:p w:rsidR="00000000" w:rsidRPr="00330F5B" w:rsidP="00330F5B">
            <w:pPr>
              <w:pStyle w:val="ListBullet"/>
            </w:pPr>
            <w:r w:rsidRPr="00330F5B">
              <w:t>pay-back periods</w:t>
            </w:r>
          </w:p>
          <w:p w:rsidR="00000000" w:rsidRPr="00330F5B" w:rsidP="00330F5B">
            <w:pPr>
              <w:pStyle w:val="ListBullet"/>
            </w:pPr>
            <w:r w:rsidRPr="00330F5B">
              <w:t>pro rata and percentage apportionment</w:t>
            </w:r>
          </w:p>
          <w:p w:rsidR="00000000" w:rsidP="00330F5B">
            <w:pPr>
              <w:pStyle w:val="ListBullet"/>
              <w:rPr>
                <w:lang w:val="en-NZ"/>
              </w:rPr>
            </w:pPr>
            <w:r w:rsidRPr="00330F5B">
              <w:t>rates of return.</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Data</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Australian Bureau of Statistics (ABS) economic data</w:t>
            </w:r>
          </w:p>
          <w:p w:rsidR="00000000" w:rsidRPr="00330F5B" w:rsidP="00330F5B">
            <w:pPr>
              <w:pStyle w:val="ListBullet"/>
            </w:pPr>
            <w:r w:rsidRPr="00330F5B">
              <w:t>budgets and forecasts</w:t>
            </w:r>
          </w:p>
          <w:p w:rsidR="00000000" w:rsidRPr="00330F5B" w:rsidP="00330F5B">
            <w:pPr>
              <w:pStyle w:val="ListBullet"/>
            </w:pPr>
            <w:r w:rsidRPr="00330F5B">
              <w:t>credit ratings</w:t>
            </w:r>
          </w:p>
          <w:p w:rsidR="00000000" w:rsidRPr="00330F5B" w:rsidP="00330F5B">
            <w:pPr>
              <w:pStyle w:val="ListBullet"/>
            </w:pPr>
            <w:r w:rsidRPr="00330F5B">
              <w:t xml:space="preserve">financial markets monitoring services </w:t>
            </w:r>
          </w:p>
          <w:p w:rsidR="00000000" w:rsidRPr="00330F5B" w:rsidP="00330F5B">
            <w:pPr>
              <w:pStyle w:val="ListBullet"/>
            </w:pPr>
            <w:r w:rsidRPr="00330F5B">
              <w:t>financial statements and reports</w:t>
            </w:r>
          </w:p>
          <w:p w:rsidR="00000000" w:rsidRPr="00330F5B" w:rsidP="00330F5B">
            <w:pPr>
              <w:pStyle w:val="ListBullet"/>
            </w:pPr>
            <w:r w:rsidRPr="00330F5B">
              <w:t>market valuations</w:t>
            </w:r>
          </w:p>
          <w:p w:rsidR="00000000" w:rsidP="00330F5B">
            <w:pPr>
              <w:pStyle w:val="ListBullet"/>
              <w:rPr>
                <w:lang w:val="en-NZ"/>
              </w:rPr>
            </w:pPr>
            <w:r w:rsidRPr="00330F5B">
              <w:t>revenue and sales.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Methods of determination</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forecasted income</w:t>
            </w:r>
          </w:p>
          <w:p w:rsidR="00000000" w:rsidRPr="00330F5B" w:rsidP="00330F5B">
            <w:pPr>
              <w:pStyle w:val="ListBullet"/>
            </w:pPr>
            <w:r w:rsidRPr="00330F5B">
              <w:t>fringe benefits assessments</w:t>
            </w:r>
          </w:p>
          <w:p w:rsidR="00000000" w:rsidRPr="00330F5B" w:rsidP="00330F5B">
            <w:pPr>
              <w:pStyle w:val="ListBullet"/>
            </w:pPr>
            <w:r w:rsidRPr="00330F5B">
              <w:t>income assessment</w:t>
            </w:r>
          </w:p>
          <w:p w:rsidR="00000000" w:rsidRPr="00330F5B" w:rsidP="00330F5B">
            <w:pPr>
              <w:pStyle w:val="ListBullet"/>
            </w:pPr>
            <w:r w:rsidRPr="00330F5B">
              <w:t>investment income</w:t>
            </w:r>
          </w:p>
          <w:p w:rsidR="00000000" w:rsidRPr="00330F5B" w:rsidP="00330F5B">
            <w:pPr>
              <w:pStyle w:val="ListBullet"/>
            </w:pPr>
            <w:r w:rsidRPr="00330F5B">
              <w:t>sales receipts</w:t>
            </w:r>
          </w:p>
          <w:p w:rsidR="00000000" w:rsidP="00330F5B">
            <w:pPr>
              <w:pStyle w:val="ListBullet"/>
              <w:rPr>
                <w:lang w:val="en-NZ"/>
              </w:rPr>
            </w:pPr>
            <w:r w:rsidRPr="00330F5B">
              <w:t>superannuation contributions.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Tax bases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employees</w:t>
            </w:r>
          </w:p>
          <w:p w:rsidR="00000000" w:rsidRPr="00330F5B" w:rsidP="00330F5B">
            <w:pPr>
              <w:pStyle w:val="ListBullet"/>
            </w:pPr>
            <w:r w:rsidRPr="00330F5B">
              <w:t>revenue gathering practices</w:t>
            </w:r>
          </w:p>
          <w:p w:rsidR="00000000" w:rsidRPr="00330F5B" w:rsidP="00330F5B">
            <w:pPr>
              <w:pStyle w:val="ListBullet"/>
            </w:pPr>
            <w:r w:rsidRPr="00330F5B">
              <w:t>salaries</w:t>
            </w:r>
          </w:p>
          <w:p w:rsidR="00000000" w:rsidP="00330F5B">
            <w:pPr>
              <w:pStyle w:val="ListBullet"/>
              <w:rPr>
                <w:lang w:val="en-NZ"/>
              </w:rPr>
            </w:pPr>
            <w:r w:rsidRPr="00330F5B">
              <w:t>superannuation.</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Financial management strategies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adjustment of borrowings</w:t>
            </w:r>
          </w:p>
          <w:p w:rsidR="00000000" w:rsidRPr="00330F5B" w:rsidP="00330F5B">
            <w:pPr>
              <w:pStyle w:val="ListBullet"/>
            </w:pPr>
            <w:r w:rsidRPr="00330F5B">
              <w:t>asset liquidation</w:t>
            </w:r>
          </w:p>
          <w:p w:rsidR="00000000" w:rsidRPr="00330F5B" w:rsidP="00330F5B">
            <w:pPr>
              <w:pStyle w:val="ListBullet"/>
            </w:pPr>
            <w:r w:rsidRPr="00330F5B">
              <w:t>budget absorption</w:t>
            </w:r>
          </w:p>
          <w:p w:rsidR="00000000" w:rsidRPr="00330F5B" w:rsidP="00330F5B">
            <w:pPr>
              <w:pStyle w:val="ListBullet"/>
            </w:pPr>
            <w:r w:rsidRPr="00330F5B">
              <w:t>cost recoveries</w:t>
            </w:r>
          </w:p>
          <w:p w:rsidR="00000000" w:rsidRPr="00330F5B" w:rsidP="00330F5B">
            <w:pPr>
              <w:pStyle w:val="ListBullet"/>
            </w:pPr>
            <w:r w:rsidRPr="00330F5B">
              <w:t>long-term investments</w:t>
            </w:r>
          </w:p>
          <w:p w:rsidR="00000000" w:rsidP="00330F5B">
            <w:pPr>
              <w:pStyle w:val="ListBullet"/>
              <w:rPr>
                <w:lang w:val="en-NZ"/>
              </w:rPr>
            </w:pPr>
            <w:r w:rsidRPr="00330F5B">
              <w:t>purchases.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Record keeping systems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centralised and decentralised recording</w:t>
            </w:r>
          </w:p>
          <w:p w:rsidR="00000000" w:rsidRPr="00330F5B" w:rsidP="00330F5B">
            <w:pPr>
              <w:pStyle w:val="ListBullet"/>
            </w:pPr>
            <w:r w:rsidRPr="00330F5B">
              <w:t>classification by account performance</w:t>
            </w:r>
          </w:p>
          <w:p w:rsidR="00000000" w:rsidRPr="00330F5B" w:rsidP="00330F5B">
            <w:pPr>
              <w:pStyle w:val="ListBullet"/>
            </w:pPr>
            <w:r w:rsidRPr="00330F5B">
              <w:t>classification by account type</w:t>
            </w:r>
          </w:p>
          <w:p w:rsidR="00000000" w:rsidRPr="00330F5B" w:rsidP="00330F5B">
            <w:pPr>
              <w:pStyle w:val="ListBullet"/>
            </w:pPr>
            <w:r w:rsidRPr="00330F5B">
              <w:t>invoices</w:t>
            </w:r>
          </w:p>
          <w:p w:rsidR="00000000" w:rsidRPr="00330F5B" w:rsidP="00330F5B">
            <w:pPr>
              <w:pStyle w:val="ListBullet"/>
            </w:pPr>
            <w:r w:rsidRPr="00330F5B">
              <w:t xml:space="preserve">periodic updates: </w:t>
            </w:r>
          </w:p>
          <w:p w:rsidR="00000000" w:rsidRPr="00330F5B" w:rsidP="00330F5B">
            <w:pPr>
              <w:pStyle w:val="ListBullet2"/>
            </w:pPr>
            <w:r w:rsidRPr="00330F5B">
              <w:t xml:space="preserve">daily </w:t>
            </w:r>
          </w:p>
          <w:p w:rsidR="00000000" w:rsidRPr="00330F5B" w:rsidP="00330F5B">
            <w:pPr>
              <w:pStyle w:val="ListBullet2"/>
            </w:pPr>
            <w:r w:rsidRPr="00330F5B">
              <w:t xml:space="preserve">transaction-based </w:t>
            </w:r>
          </w:p>
          <w:p w:rsidR="00000000" w:rsidRPr="00330F5B" w:rsidP="00330F5B">
            <w:pPr>
              <w:pStyle w:val="ListBullet2"/>
            </w:pPr>
            <w:r w:rsidRPr="00330F5B">
              <w:t>monthly</w:t>
            </w:r>
          </w:p>
          <w:p w:rsidR="00000000" w:rsidRPr="00330F5B" w:rsidP="00330F5B">
            <w:pPr>
              <w:pStyle w:val="ListBullet"/>
            </w:pPr>
            <w:r w:rsidRPr="00330F5B">
              <w:t>purchase orders</w:t>
            </w:r>
          </w:p>
          <w:p w:rsidR="00000000" w:rsidRPr="00330F5B" w:rsidP="00330F5B">
            <w:pPr>
              <w:pStyle w:val="ListBullet"/>
            </w:pPr>
            <w:r w:rsidRPr="00330F5B">
              <w:t>receipts</w:t>
            </w:r>
          </w:p>
          <w:p w:rsidR="00000000" w:rsidRPr="00330F5B" w:rsidP="00330F5B">
            <w:pPr>
              <w:pStyle w:val="ListBullet"/>
            </w:pPr>
            <w:r w:rsidRPr="00330F5B">
              <w:t>recording authorities</w:t>
            </w:r>
          </w:p>
          <w:p w:rsidR="00000000" w:rsidP="00330F5B">
            <w:pPr>
              <w:pStyle w:val="ListBullet"/>
              <w:rPr>
                <w:lang w:val="en-NZ"/>
              </w:rPr>
            </w:pPr>
            <w:r w:rsidRPr="00330F5B">
              <w:t>requisitions.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Management processes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decision making authorities</w:t>
            </w:r>
          </w:p>
          <w:p w:rsidR="00000000" w:rsidRPr="00330F5B" w:rsidP="00330F5B">
            <w:pPr>
              <w:pStyle w:val="ListBullet"/>
            </w:pPr>
            <w:r w:rsidRPr="00330F5B">
              <w:t>expenditure authorities</w:t>
            </w:r>
          </w:p>
          <w:p w:rsidR="00000000" w:rsidRPr="00330F5B" w:rsidP="00330F5B">
            <w:pPr>
              <w:pStyle w:val="ListBullet"/>
            </w:pPr>
            <w:r w:rsidRPr="00330F5B">
              <w:t>lending approvals</w:t>
            </w:r>
          </w:p>
          <w:p w:rsidR="00000000" w:rsidRPr="00330F5B" w:rsidP="00330F5B">
            <w:pPr>
              <w:pStyle w:val="ListBullet"/>
            </w:pPr>
            <w:r w:rsidRPr="00330F5B">
              <w:t>program responsibilities</w:t>
            </w:r>
          </w:p>
          <w:p w:rsidR="00000000" w:rsidP="00330F5B">
            <w:pPr>
              <w:pStyle w:val="ListBullet"/>
              <w:rPr>
                <w:lang w:val="en-NZ"/>
              </w:rPr>
            </w:pPr>
            <w:r w:rsidRPr="00330F5B">
              <w:t>signature approvals.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Variances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budget expenditures</w:t>
            </w:r>
          </w:p>
          <w:p w:rsidR="00000000" w:rsidRPr="00330F5B" w:rsidP="00330F5B">
            <w:pPr>
              <w:pStyle w:val="ListBullet"/>
            </w:pPr>
            <w:r w:rsidRPr="00330F5B">
              <w:t>profits and losses</w:t>
            </w:r>
          </w:p>
          <w:p w:rsidR="00000000" w:rsidRPr="00330F5B" w:rsidP="00330F5B">
            <w:pPr>
              <w:pStyle w:val="ListBullet"/>
            </w:pPr>
            <w:r w:rsidRPr="00330F5B">
              <w:t>rates of investment returns</w:t>
            </w:r>
          </w:p>
          <w:p w:rsidR="00000000" w:rsidP="00330F5B">
            <w:pPr>
              <w:pStyle w:val="ListBullet"/>
              <w:rPr>
                <w:lang w:val="en-NZ"/>
              </w:rPr>
            </w:pPr>
            <w:r w:rsidRPr="00330F5B">
              <w:t>unit costs.</w:t>
            </w:r>
          </w:p>
        </w:tc>
      </w:tr>
      <w:tr w:rsidTr="00B77F54">
        <w:tblPrEx>
          <w:tblW w:w="0" w:type="auto"/>
          <w:tblLayout w:type="fixed"/>
          <w:tblCellMar>
            <w:left w:w="62" w:type="dxa"/>
            <w:right w:w="62" w:type="dxa"/>
          </w:tblCellMar>
          <w:tblLook w:val="0000"/>
        </w:tblPrEx>
        <w:tc>
          <w:tcPr>
            <w:tcW w:w="2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BoldandItalics"/>
              </w:rPr>
              <w:t>Assumptions</w:t>
            </w:r>
            <w:r w:rsidRPr="00330F5B">
              <w:t xml:space="preserve"> may include:</w:t>
            </w:r>
          </w:p>
        </w:tc>
        <w:tc>
          <w:tcPr>
            <w:tcW w:w="6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ListBullet"/>
            </w:pPr>
            <w:r w:rsidRPr="00330F5B">
              <w:t>cash and business returns</w:t>
            </w:r>
          </w:p>
          <w:p w:rsidR="00000000" w:rsidRPr="00330F5B" w:rsidP="00330F5B">
            <w:pPr>
              <w:pStyle w:val="ListBullet"/>
            </w:pPr>
            <w:r w:rsidRPr="00330F5B">
              <w:t>competitors' behaviour</w:t>
            </w:r>
          </w:p>
          <w:p w:rsidR="00000000" w:rsidRPr="00330F5B" w:rsidP="00330F5B">
            <w:pPr>
              <w:pStyle w:val="ListBullet"/>
            </w:pPr>
            <w:r w:rsidRPr="00330F5B">
              <w:t>expenditure limits</w:t>
            </w:r>
          </w:p>
          <w:p w:rsidR="00000000" w:rsidRPr="00330F5B" w:rsidP="00330F5B">
            <w:pPr>
              <w:pStyle w:val="ListBullet"/>
            </w:pPr>
            <w:r w:rsidRPr="00330F5B">
              <w:t>market share growth</w:t>
            </w:r>
          </w:p>
          <w:p w:rsidR="00000000" w:rsidRPr="00330F5B" w:rsidP="00330F5B">
            <w:pPr>
              <w:pStyle w:val="ListBullet"/>
            </w:pPr>
            <w:r w:rsidRPr="00330F5B">
              <w:t>productivity levels</w:t>
            </w:r>
          </w:p>
          <w:p w:rsidR="00000000" w:rsidRPr="00330F5B" w:rsidP="00330F5B">
            <w:pPr>
              <w:pStyle w:val="ListBullet"/>
            </w:pPr>
            <w:r w:rsidRPr="00330F5B">
              <w:t>regulatory stability.</w:t>
            </w:r>
          </w:p>
        </w:tc>
      </w:tr>
    </w:tbl>
    <w:p w:rsidR="00B77F54" w:rsidP="00330F5B">
      <w:pPr>
        <w:pStyle w:val="BodyText"/>
      </w:pPr>
    </w:p>
    <w:p w:rsidR="00B77F54" w:rsidP="00330F5B">
      <w:pPr>
        <w:pStyle w:val="BodyText"/>
      </w:pPr>
    </w:p>
    <w:p w:rsidR="00000000" w:rsidRPr="00330F5B" w:rsidP="00330F5B">
      <w:pPr>
        <w:pStyle w:val="Heading1"/>
      </w:pPr>
      <w:bookmarkStart w:id="12" w:name="O_77198"/>
      <w:bookmarkEnd w:id="12"/>
      <w:r w:rsidRPr="00330F5B">
        <w:t>Unit Sector(s)</w:t>
      </w:r>
    </w:p>
    <w:tbl>
      <w:tblPr>
        <w:tblW w:w="0" w:type="auto"/>
        <w:tblLayout w:type="fixed"/>
        <w:tblCellMar>
          <w:left w:w="62" w:type="dxa"/>
          <w:right w:w="62" w:type="dxa"/>
        </w:tblCellMar>
        <w:tblLook w:val="0000"/>
      </w:tblPr>
      <w:tblGrid>
        <w:gridCol w:w="2550"/>
        <w:gridCol w:w="5972"/>
      </w:tblGrid>
      <w:tr w:rsidTr="00B77F54">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Unit sector</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r w:rsidRPr="00330F5B">
              <w:t>Accounting</w:t>
            </w: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13" w:name="O_156105"/>
      <w:bookmarkEnd w:id="13"/>
      <w:r w:rsidRPr="00330F5B">
        <w:t>Competency field</w:t>
      </w:r>
    </w:p>
    <w:tbl>
      <w:tblPr>
        <w:tblW w:w="0" w:type="auto"/>
        <w:tblLayout w:type="fixed"/>
        <w:tblCellMar>
          <w:left w:w="62" w:type="dxa"/>
          <w:right w:w="62" w:type="dxa"/>
        </w:tblCellMar>
        <w:tblLook w:val="0000"/>
      </w:tblPr>
      <w:tblGrid>
        <w:gridCol w:w="2713"/>
        <w:gridCol w:w="5809"/>
      </w:tblGrid>
      <w:tr w:rsidTr="00B77F54">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Competency field</w:t>
            </w:r>
          </w:p>
        </w:tc>
        <w:tc>
          <w:tcPr>
            <w:tcW w:w="5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p>
        </w:tc>
      </w:tr>
    </w:tbl>
    <w:p w:rsidR="00000000" w:rsidRPr="00330F5B" w:rsidP="00330F5B">
      <w:pPr>
        <w:pStyle w:val="BodyText"/>
      </w:pPr>
    </w:p>
    <w:p w:rsidR="00000000" w:rsidRPr="00330F5B" w:rsidP="00330F5B">
      <w:pPr>
        <w:pStyle w:val="AllowPageBreak"/>
      </w:pPr>
    </w:p>
    <w:p w:rsidR="00000000" w:rsidRPr="00330F5B" w:rsidP="00330F5B">
      <w:pPr>
        <w:pStyle w:val="Heading1"/>
      </w:pPr>
      <w:bookmarkStart w:id="14" w:name="O_156104"/>
      <w:bookmarkEnd w:id="14"/>
      <w:r w:rsidRPr="00330F5B">
        <w:t>Co-requisite units</w:t>
      </w:r>
    </w:p>
    <w:tbl>
      <w:tblPr>
        <w:tblW w:w="0" w:type="auto"/>
        <w:tblLayout w:type="fixed"/>
        <w:tblCellMar>
          <w:left w:w="62" w:type="dxa"/>
          <w:right w:w="62" w:type="dxa"/>
        </w:tblCellMar>
        <w:tblLook w:val="0000"/>
      </w:tblPr>
      <w:tblGrid>
        <w:gridCol w:w="2587"/>
        <w:gridCol w:w="1556"/>
        <w:gridCol w:w="4379"/>
      </w:tblGrid>
      <w:tr w:rsidTr="00B77F54">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r w:rsidRPr="00330F5B">
              <w:rPr>
                <w:rStyle w:val="SpecialBold"/>
              </w:rPr>
              <w:t>Co-requisite units</w:t>
            </w:r>
          </w:p>
        </w:tc>
        <w:tc>
          <w:tcPr>
            <w:tcW w:w="1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F5B">
            <w:pPr>
              <w:pStyle w:val="BodyText"/>
              <w:rPr>
                <w:lang w:val="en-NZ"/>
              </w:rPr>
            </w:pPr>
          </w:p>
        </w:tc>
      </w:tr>
      <w:tr w:rsidTr="00B77F5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F5B" w:rsidP="00330F5B">
            <w:pPr>
              <w:pStyle w:val="BodyText"/>
            </w:pPr>
          </w:p>
        </w:tc>
      </w:tr>
    </w:tbl>
    <w:p w:rsidR="00000000" w:rsidRPr="00330F5B" w:rsidP="00330F5B">
      <w:pPr>
        <w:pStyle w:val="BodyText"/>
      </w:pPr>
    </w:p>
    <w:p w:rsidR="00000000" w:rsidRPr="00330F5B" w:rsidP="00330F5B"/>
    <w:sectPr w:rsidSect="00330F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F54" w:rsidP="00B77F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54" w:rsidP="00330F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7F54" w:rsidP="00330F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7F54" w:rsidP="00330F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7F54" w:rsidP="00B77F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F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54" w:rsidP="00330F5B">
    <w:pPr>
      <w:pStyle w:val="Header"/>
      <w:framePr w:wrap="around"/>
    </w:pPr>
    <w:r>
      <w:fldChar w:fldCharType="begin"/>
    </w:r>
    <w:r>
      <w:instrText xml:space="preserve"> TITLE   \* MERGEFORMAT </w:instrText>
    </w:r>
    <w:r>
      <w:fldChar w:fldCharType="separate"/>
    </w:r>
    <w:r>
      <w:t>FNSACC603A Implement tax plans and evaluate tax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7F54" w:rsidP="00330F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07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2A4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071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F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F5B"/>
    <w:pPr>
      <w:spacing w:before="360" w:after="60"/>
      <w:outlineLvl w:val="0"/>
    </w:pPr>
    <w:rPr>
      <w:sz w:val="32"/>
    </w:rPr>
  </w:style>
  <w:style w:type="paragraph" w:styleId="Heading2">
    <w:name w:val="heading 2"/>
    <w:basedOn w:val="HeadingBase"/>
    <w:next w:val="BodyText"/>
    <w:link w:val="Heading2Char"/>
    <w:qFormat/>
    <w:rsid w:val="00330F5B"/>
    <w:pPr>
      <w:keepLines/>
      <w:spacing w:before="240" w:after="120"/>
      <w:outlineLvl w:val="1"/>
    </w:pPr>
    <w:rPr>
      <w:sz w:val="28"/>
      <w:szCs w:val="40"/>
    </w:rPr>
  </w:style>
  <w:style w:type="paragraph" w:styleId="Heading3">
    <w:name w:val="heading 3"/>
    <w:basedOn w:val="HeadingBase"/>
    <w:next w:val="BodyText"/>
    <w:link w:val="Heading3Char"/>
    <w:qFormat/>
    <w:rsid w:val="00330F5B"/>
    <w:pPr>
      <w:spacing w:before="180" w:after="120"/>
      <w:outlineLvl w:val="2"/>
    </w:pPr>
    <w:rPr>
      <w:spacing w:val="-10"/>
      <w:kern w:val="32"/>
    </w:rPr>
  </w:style>
  <w:style w:type="paragraph" w:styleId="Heading4">
    <w:name w:val="heading 4"/>
    <w:basedOn w:val="HeadingBase"/>
    <w:next w:val="BodyText"/>
    <w:link w:val="Heading4Char"/>
    <w:qFormat/>
    <w:rsid w:val="00330F5B"/>
    <w:pPr>
      <w:spacing w:before="160" w:after="120"/>
      <w:outlineLvl w:val="3"/>
    </w:pPr>
    <w:rPr>
      <w:sz w:val="22"/>
    </w:rPr>
  </w:style>
  <w:style w:type="paragraph" w:styleId="Heading5">
    <w:name w:val="heading 5"/>
    <w:basedOn w:val="HeadingBase"/>
    <w:next w:val="Normal"/>
    <w:link w:val="Heading5Char"/>
    <w:qFormat/>
    <w:rsid w:val="00330F5B"/>
    <w:pPr>
      <w:spacing w:before="80"/>
      <w:outlineLvl w:val="4"/>
    </w:pPr>
    <w:rPr>
      <w:color w:val="918585"/>
      <w:sz w:val="20"/>
    </w:rPr>
  </w:style>
  <w:style w:type="paragraph" w:styleId="Heading6">
    <w:name w:val="heading 6"/>
    <w:basedOn w:val="HeadingBase"/>
    <w:next w:val="Normal"/>
    <w:link w:val="Heading6Char"/>
    <w:qFormat/>
    <w:rsid w:val="00330F5B"/>
    <w:pPr>
      <w:spacing w:before="60"/>
      <w:outlineLvl w:val="5"/>
    </w:pPr>
    <w:rPr>
      <w:color w:val="918585"/>
      <w:sz w:val="20"/>
    </w:rPr>
  </w:style>
  <w:style w:type="paragraph" w:styleId="Heading7">
    <w:name w:val="heading 7"/>
    <w:basedOn w:val="Normal"/>
    <w:next w:val="Normal"/>
    <w:link w:val="Heading7Char"/>
    <w:qFormat/>
    <w:rsid w:val="00330F5B"/>
    <w:pPr>
      <w:ind w:left="720"/>
      <w:outlineLvl w:val="6"/>
    </w:pPr>
    <w:rPr>
      <w:i/>
    </w:rPr>
  </w:style>
  <w:style w:type="paragraph" w:styleId="Heading8">
    <w:name w:val="heading 8"/>
    <w:basedOn w:val="Normal"/>
    <w:next w:val="Normal"/>
    <w:link w:val="Heading8Char"/>
    <w:qFormat/>
    <w:rsid w:val="00330F5B"/>
    <w:pPr>
      <w:ind w:left="720"/>
      <w:outlineLvl w:val="7"/>
    </w:pPr>
    <w:rPr>
      <w:i/>
    </w:rPr>
  </w:style>
  <w:style w:type="paragraph" w:styleId="Heading9">
    <w:name w:val="heading 9"/>
    <w:basedOn w:val="Normal"/>
    <w:next w:val="Normal"/>
    <w:link w:val="Heading9Char"/>
    <w:qFormat/>
    <w:rsid w:val="00330F5B"/>
    <w:pPr>
      <w:ind w:left="720"/>
      <w:outlineLvl w:val="8"/>
    </w:pPr>
    <w:rPr>
      <w:i/>
    </w:rPr>
  </w:style>
  <w:style w:type="character" w:default="1" w:styleId="DefaultParagraphFont">
    <w:name w:val="Default Paragraph Font"/>
    <w:uiPriority w:val="1"/>
    <w:unhideWhenUsed/>
    <w:rsid w:val="00330F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F5B"/>
  </w:style>
  <w:style w:type="character" w:customStyle="1" w:styleId="Heading1Char">
    <w:name w:val="Heading 1 Char"/>
    <w:basedOn w:val="DefaultParagraphFont"/>
    <w:link w:val="Heading1"/>
    <w:rsid w:val="00330F5B"/>
    <w:rPr>
      <w:rFonts w:ascii="Times New Roman" w:eastAsia="Times New Roman" w:hAnsi="Times New Roman" w:cs="Times New Roman"/>
      <w:b/>
      <w:sz w:val="32"/>
      <w:szCs w:val="20"/>
      <w:lang w:eastAsia="en-US"/>
    </w:rPr>
  </w:style>
  <w:style w:type="paragraph" w:styleId="BodyText">
    <w:name w:val="Body Text"/>
    <w:basedOn w:val="Normal"/>
    <w:link w:val="BodyTextChar"/>
    <w:rsid w:val="00330F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F5B"/>
    <w:rPr>
      <w:rFonts w:ascii="Times New Roman" w:eastAsia="Times New Roman" w:hAnsi="Times New Roman" w:cs="Times New Roman"/>
      <w:sz w:val="24"/>
      <w:lang w:val="en-US" w:eastAsia="en-US"/>
    </w:rPr>
  </w:style>
  <w:style w:type="paragraph" w:styleId="Footer">
    <w:name w:val="footer"/>
    <w:basedOn w:val="Normal"/>
    <w:link w:val="FooterChar"/>
    <w:rsid w:val="00330F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F5B"/>
    <w:rPr>
      <w:rFonts w:ascii="Times New Roman" w:eastAsia="Times New Roman" w:hAnsi="Times New Roman" w:cs="Times New Roman"/>
      <w:sz w:val="16"/>
      <w:lang w:val="en-US" w:eastAsia="en-US"/>
    </w:rPr>
  </w:style>
  <w:style w:type="paragraph" w:styleId="List">
    <w:name w:val="List"/>
    <w:basedOn w:val="BodyText"/>
    <w:next w:val="BodyText"/>
    <w:rsid w:val="00330F5B"/>
    <w:pPr>
      <w:tabs>
        <w:tab w:val="left" w:pos="340"/>
      </w:tabs>
      <w:spacing w:before="60" w:after="60"/>
      <w:ind w:left="340" w:hanging="340"/>
    </w:pPr>
  </w:style>
  <w:style w:type="paragraph" w:styleId="ListBullet">
    <w:name w:val="List Bullet"/>
    <w:basedOn w:val="List"/>
    <w:rsid w:val="00330F5B"/>
    <w:pPr>
      <w:numPr>
        <w:numId w:val="13"/>
      </w:numPr>
      <w:tabs>
        <w:tab w:val="clear" w:pos="340"/>
      </w:tabs>
      <w:spacing w:before="40" w:after="40"/>
    </w:pPr>
  </w:style>
  <w:style w:type="character" w:customStyle="1" w:styleId="SpecialBold">
    <w:name w:val="Special Bold"/>
    <w:basedOn w:val="DefaultParagraphFont"/>
    <w:rsid w:val="00330F5B"/>
    <w:rPr>
      <w:b/>
      <w:spacing w:val="0"/>
    </w:rPr>
  </w:style>
  <w:style w:type="paragraph" w:styleId="ListBullet2">
    <w:name w:val="List Bullet 2"/>
    <w:basedOn w:val="List2"/>
    <w:rsid w:val="00330F5B"/>
    <w:pPr>
      <w:numPr>
        <w:numId w:val="14"/>
      </w:numPr>
      <w:tabs>
        <w:tab w:val="clear" w:pos="680"/>
      </w:tabs>
    </w:pPr>
  </w:style>
  <w:style w:type="paragraph" w:styleId="Header">
    <w:name w:val="header"/>
    <w:basedOn w:val="Normal"/>
    <w:link w:val="HeaderChar"/>
    <w:rsid w:val="00330F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F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0F5B"/>
    <w:pPr>
      <w:spacing w:before="240" w:after="120"/>
      <w:outlineLvl w:val="0"/>
    </w:pPr>
    <w:rPr>
      <w:rFonts w:ascii="Times New Roman" w:hAnsi="Times New Roman"/>
      <w:b/>
      <w:sz w:val="28"/>
    </w:rPr>
  </w:style>
  <w:style w:type="paragraph" w:customStyle="1" w:styleId="AllowPageBreak">
    <w:name w:val="AllowPageBreak"/>
    <w:rsid w:val="00330F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0F5B"/>
    <w:pPr>
      <w:tabs>
        <w:tab w:val="left" w:pos="680"/>
      </w:tabs>
      <w:spacing w:before="60" w:after="60"/>
      <w:ind w:left="680" w:hanging="340"/>
    </w:pPr>
  </w:style>
  <w:style w:type="character" w:customStyle="1" w:styleId="BoldandItalics">
    <w:name w:val="Bold and Italics"/>
    <w:qFormat/>
    <w:rsid w:val="00330F5B"/>
    <w:rPr>
      <w:b/>
      <w:i/>
      <w:u w:val="none"/>
    </w:rPr>
  </w:style>
  <w:style w:type="character" w:customStyle="1" w:styleId="Heading2Char">
    <w:name w:val="Heading 2 Char"/>
    <w:basedOn w:val="DefaultParagraphFont"/>
    <w:link w:val="Heading2"/>
    <w:rsid w:val="00330F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F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F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F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F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F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F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F5B"/>
    <w:rPr>
      <w:rFonts w:ascii="Courier New" w:eastAsia="Times New Roman" w:hAnsi="Courier New" w:cs="Times New Roman"/>
      <w:i/>
      <w:szCs w:val="20"/>
      <w:lang w:val="en-US" w:eastAsia="en-US"/>
    </w:rPr>
  </w:style>
  <w:style w:type="paragraph" w:customStyle="1" w:styleId="HeadingBase">
    <w:name w:val="Heading Base"/>
    <w:rsid w:val="00330F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F5B"/>
    <w:pPr>
      <w:tabs>
        <w:tab w:val="right" w:leader="dot" w:pos="9072"/>
      </w:tabs>
      <w:ind w:left="567"/>
    </w:pPr>
    <w:rPr>
      <w:szCs w:val="22"/>
    </w:rPr>
  </w:style>
  <w:style w:type="paragraph" w:customStyle="1" w:styleId="TOCBase">
    <w:name w:val="TOC Base"/>
    <w:rsid w:val="00330F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F5B"/>
    <w:pPr>
      <w:tabs>
        <w:tab w:val="right" w:leader="dot" w:pos="9072"/>
      </w:tabs>
      <w:spacing w:before="40" w:after="40"/>
      <w:ind w:left="284"/>
    </w:pPr>
    <w:rPr>
      <w:rFonts w:ascii="Times New Roman" w:hAnsi="Times New Roman"/>
    </w:rPr>
  </w:style>
  <w:style w:type="paragraph" w:styleId="TOC1">
    <w:name w:val="toc 1"/>
    <w:basedOn w:val="TOCBase"/>
    <w:next w:val="Normal"/>
    <w:rsid w:val="00330F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F5B"/>
    <w:pPr>
      <w:spacing w:before="5040"/>
      <w:jc w:val="center"/>
    </w:pPr>
    <w:rPr>
      <w:sz w:val="48"/>
      <w:szCs w:val="72"/>
      <w:lang w:val="en-US"/>
    </w:rPr>
  </w:style>
  <w:style w:type="character" w:customStyle="1" w:styleId="TitleChar">
    <w:name w:val="Title Char"/>
    <w:basedOn w:val="DefaultParagraphFont"/>
    <w:link w:val="Title"/>
    <w:rsid w:val="00330F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F5B"/>
    <w:pPr>
      <w:tabs>
        <w:tab w:val="left" w:pos="3600"/>
        <w:tab w:val="left" w:pos="3958"/>
      </w:tabs>
    </w:pPr>
  </w:style>
  <w:style w:type="paragraph" w:customStyle="1" w:styleId="Note">
    <w:name w:val="Note"/>
    <w:basedOn w:val="BodyText"/>
    <w:rsid w:val="00330F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F5B"/>
    <w:pPr>
      <w:framePr w:wrap="auto" w:hAnchor="text" w:y="6049"/>
    </w:pPr>
    <w:rPr>
      <w:color w:val="000000"/>
      <w:sz w:val="40"/>
    </w:rPr>
  </w:style>
  <w:style w:type="paragraph" w:customStyle="1" w:styleId="TOCTitle">
    <w:name w:val="TOCTitle"/>
    <w:basedOn w:val="Heading1"/>
    <w:rsid w:val="00330F5B"/>
    <w:pPr>
      <w:spacing w:after="240"/>
      <w:jc w:val="center"/>
      <w:outlineLvl w:val="9"/>
    </w:pPr>
    <w:rPr>
      <w:caps/>
    </w:rPr>
  </w:style>
  <w:style w:type="paragraph" w:customStyle="1" w:styleId="Version">
    <w:name w:val="Version"/>
    <w:rsid w:val="00330F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F5B"/>
    <w:pPr>
      <w:keepNext w:val="0"/>
      <w:tabs>
        <w:tab w:val="right" w:pos="4176"/>
      </w:tabs>
      <w:ind w:left="198" w:hanging="198"/>
    </w:pPr>
    <w:rPr>
      <w:rFonts w:ascii="Garamond" w:hAnsi="Garamond"/>
    </w:rPr>
  </w:style>
  <w:style w:type="paragraph" w:styleId="IndexHeading">
    <w:name w:val="index heading"/>
    <w:basedOn w:val="Normal"/>
    <w:next w:val="Index1"/>
    <w:semiHidden/>
    <w:rsid w:val="00330F5B"/>
    <w:pPr>
      <w:spacing w:before="120" w:after="120"/>
    </w:pPr>
    <w:rPr>
      <w:rFonts w:ascii="Arial" w:hAnsi="Arial"/>
      <w:b/>
      <w:color w:val="918585"/>
      <w:sz w:val="24"/>
    </w:rPr>
  </w:style>
  <w:style w:type="paragraph" w:customStyle="1" w:styleId="Chapter">
    <w:name w:val="Chapter"/>
    <w:basedOn w:val="Normal"/>
    <w:rsid w:val="00330F5B"/>
    <w:pPr>
      <w:spacing w:before="240"/>
    </w:pPr>
    <w:rPr>
      <w:rFonts w:ascii="Times New Roman" w:hAnsi="Times New Roman"/>
      <w:smallCaps/>
      <w:spacing w:val="80"/>
      <w:sz w:val="28"/>
    </w:rPr>
  </w:style>
  <w:style w:type="paragraph" w:customStyle="1" w:styleId="InChapter">
    <w:name w:val="InChapter"/>
    <w:basedOn w:val="Heading3"/>
    <w:rsid w:val="00330F5B"/>
    <w:pPr>
      <w:spacing w:after="240"/>
      <w:outlineLvl w:val="9"/>
    </w:pPr>
    <w:rPr>
      <w:noProof/>
    </w:rPr>
  </w:style>
  <w:style w:type="paragraph" w:styleId="Index2">
    <w:name w:val="index 2"/>
    <w:basedOn w:val="Normal"/>
    <w:next w:val="Normal"/>
    <w:semiHidden/>
    <w:rsid w:val="00330F5B"/>
    <w:pPr>
      <w:tabs>
        <w:tab w:val="right" w:pos="4176"/>
      </w:tabs>
      <w:ind w:left="568" w:hanging="284"/>
    </w:pPr>
    <w:rPr>
      <w:rFonts w:ascii="Garamond" w:hAnsi="Garamond"/>
    </w:rPr>
  </w:style>
  <w:style w:type="paragraph" w:customStyle="1" w:styleId="Byline">
    <w:name w:val="Byline"/>
    <w:rsid w:val="00330F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F5B"/>
    <w:pPr>
      <w:tabs>
        <w:tab w:val="clear" w:pos="3600"/>
        <w:tab w:val="clear" w:pos="3958"/>
      </w:tabs>
      <w:jc w:val="right"/>
    </w:pPr>
  </w:style>
  <w:style w:type="character" w:styleId="Emphasis">
    <w:name w:val="Emphasis"/>
    <w:basedOn w:val="DefaultParagraphFont"/>
    <w:qFormat/>
    <w:rsid w:val="00330F5B"/>
    <w:rPr>
      <w:i/>
    </w:rPr>
  </w:style>
  <w:style w:type="paragraph" w:styleId="Caption">
    <w:name w:val="caption"/>
    <w:basedOn w:val="BodyText"/>
    <w:next w:val="Normal"/>
    <w:qFormat/>
    <w:rsid w:val="00330F5B"/>
    <w:pPr>
      <w:framePr w:w="2268" w:hSpace="181" w:vSpace="181" w:wrap="around" w:vAnchor="text" w:hAnchor="page" w:x="1135" w:y="285" w:anchorLock="1"/>
    </w:pPr>
    <w:rPr>
      <w:i/>
    </w:rPr>
  </w:style>
  <w:style w:type="paragraph" w:customStyle="1" w:styleId="MiniTOCTitle">
    <w:name w:val="MiniTOCTitle"/>
    <w:basedOn w:val="Heading4"/>
    <w:rsid w:val="00330F5B"/>
    <w:pPr>
      <w:spacing w:before="240"/>
      <w:outlineLvl w:val="9"/>
    </w:pPr>
    <w:rPr>
      <w:noProof/>
      <w:sz w:val="24"/>
    </w:rPr>
  </w:style>
  <w:style w:type="paragraph" w:customStyle="1" w:styleId="MiniTOCItem">
    <w:name w:val="MiniTOCItem"/>
    <w:basedOn w:val="ListBullet"/>
    <w:rsid w:val="00330F5B"/>
    <w:pPr>
      <w:numPr>
        <w:numId w:val="0"/>
      </w:numPr>
      <w:tabs>
        <w:tab w:val="right" w:leader="dot" w:pos="6521"/>
      </w:tabs>
      <w:spacing w:before="0" w:after="0"/>
    </w:pPr>
  </w:style>
  <w:style w:type="paragraph" w:customStyle="1" w:styleId="TOFTitle">
    <w:name w:val="TOFTitle"/>
    <w:basedOn w:val="TOCTitle"/>
    <w:rsid w:val="00330F5B"/>
  </w:style>
  <w:style w:type="paragraph" w:styleId="TableofFigures">
    <w:name w:val="table of figures"/>
    <w:basedOn w:val="Normal"/>
    <w:next w:val="Normal"/>
    <w:semiHidden/>
    <w:rsid w:val="00330F5B"/>
    <w:pPr>
      <w:tabs>
        <w:tab w:val="right" w:leader="dot" w:pos="9072"/>
      </w:tabs>
      <w:ind w:left="970" w:hanging="403"/>
    </w:pPr>
    <w:rPr>
      <w:rFonts w:ascii="Times New Roman" w:hAnsi="Times New Roman"/>
      <w:b/>
    </w:rPr>
  </w:style>
  <w:style w:type="paragraph" w:styleId="ListNumber">
    <w:name w:val="List Number"/>
    <w:basedOn w:val="List"/>
    <w:rsid w:val="00330F5B"/>
    <w:pPr>
      <w:numPr>
        <w:numId w:val="11"/>
      </w:numPr>
    </w:pPr>
  </w:style>
  <w:style w:type="character" w:customStyle="1" w:styleId="WingdingSymbols">
    <w:name w:val="Wingding Symbols"/>
    <w:rsid w:val="00330F5B"/>
    <w:rPr>
      <w:rFonts w:ascii="Wingdings" w:hAnsi="Wingdings"/>
    </w:rPr>
  </w:style>
  <w:style w:type="paragraph" w:customStyle="1" w:styleId="TableHeading">
    <w:name w:val="Table Heading"/>
    <w:basedOn w:val="HeadingBase"/>
    <w:rsid w:val="00330F5B"/>
    <w:pPr>
      <w:keepLines/>
      <w:pBdr>
        <w:bottom w:val="single" w:sz="6" w:space="1" w:color="918585"/>
      </w:pBdr>
      <w:spacing w:before="240"/>
    </w:pPr>
  </w:style>
  <w:style w:type="character" w:customStyle="1" w:styleId="HotSpot">
    <w:name w:val="HotSpot"/>
    <w:rsid w:val="00330F5B"/>
    <w:rPr>
      <w:color w:val="0033CC"/>
      <w:u w:val="none"/>
    </w:rPr>
  </w:style>
  <w:style w:type="paragraph" w:customStyle="1" w:styleId="BodyTextRight">
    <w:name w:val="Body Text Right"/>
    <w:basedOn w:val="BodyText"/>
    <w:rsid w:val="00330F5B"/>
    <w:pPr>
      <w:spacing w:before="0" w:after="0"/>
      <w:jc w:val="right"/>
    </w:pPr>
  </w:style>
  <w:style w:type="paragraph" w:styleId="Index3">
    <w:name w:val="index 3"/>
    <w:basedOn w:val="ListNumber2"/>
    <w:next w:val="Normal"/>
    <w:semiHidden/>
    <w:rsid w:val="00330F5B"/>
    <w:pPr>
      <w:numPr>
        <w:numId w:val="0"/>
      </w:numPr>
      <w:tabs>
        <w:tab w:val="right" w:leader="dot" w:pos="4176"/>
      </w:tabs>
    </w:pPr>
  </w:style>
  <w:style w:type="paragraph" w:styleId="ListNumber2">
    <w:name w:val="List Number 2"/>
    <w:basedOn w:val="List2"/>
    <w:rsid w:val="00330F5B"/>
    <w:pPr>
      <w:numPr>
        <w:numId w:val="10"/>
      </w:numPr>
      <w:tabs>
        <w:tab w:val="clear" w:pos="1060"/>
      </w:tabs>
    </w:pPr>
  </w:style>
  <w:style w:type="paragraph" w:customStyle="1" w:styleId="MarginNote">
    <w:name w:val="Margin Note"/>
    <w:basedOn w:val="BodyText"/>
    <w:rsid w:val="00330F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F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F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F5B"/>
    <w:rPr>
      <w:sz w:val="32"/>
    </w:rPr>
  </w:style>
  <w:style w:type="paragraph" w:customStyle="1" w:styleId="HeadingProcedure">
    <w:name w:val="Heading Procedure"/>
    <w:basedOn w:val="HeadingBase"/>
    <w:next w:val="Normal"/>
    <w:rsid w:val="00330F5B"/>
    <w:pPr>
      <w:tabs>
        <w:tab w:val="left" w:pos="0"/>
      </w:tabs>
      <w:spacing w:before="120" w:after="60"/>
    </w:pPr>
    <w:rPr>
      <w:i/>
      <w:color w:val="918585"/>
      <w:sz w:val="22"/>
    </w:rPr>
  </w:style>
  <w:style w:type="paragraph" w:customStyle="1" w:styleId="TableBodyText">
    <w:name w:val="Table Body Text"/>
    <w:basedOn w:val="BodyText"/>
    <w:rsid w:val="00330F5B"/>
    <w:pPr>
      <w:spacing w:before="60" w:after="60"/>
    </w:pPr>
  </w:style>
  <w:style w:type="paragraph" w:styleId="ListContinue">
    <w:name w:val="List Continue"/>
    <w:basedOn w:val="List"/>
    <w:rsid w:val="00330F5B"/>
    <w:pPr>
      <w:ind w:firstLine="0"/>
    </w:pPr>
  </w:style>
  <w:style w:type="paragraph" w:customStyle="1" w:styleId="ListNote">
    <w:name w:val="List Note"/>
    <w:basedOn w:val="List"/>
    <w:rsid w:val="00330F5B"/>
    <w:pPr>
      <w:pBdr>
        <w:top w:val="single" w:sz="6" w:space="2" w:color="918585"/>
        <w:bottom w:val="single" w:sz="6" w:space="2" w:color="918585"/>
      </w:pBdr>
      <w:tabs>
        <w:tab w:val="left" w:pos="1021"/>
      </w:tabs>
      <w:ind w:firstLine="0"/>
    </w:pPr>
  </w:style>
  <w:style w:type="paragraph" w:customStyle="1" w:styleId="Warning">
    <w:name w:val="Warning"/>
    <w:basedOn w:val="BodyText"/>
    <w:rsid w:val="00330F5B"/>
    <w:pPr>
      <w:shd w:val="clear" w:color="auto" w:fill="D9D9D9"/>
      <w:tabs>
        <w:tab w:val="left" w:pos="992"/>
      </w:tabs>
      <w:ind w:left="119" w:right="119"/>
    </w:pPr>
    <w:rPr>
      <w:sz w:val="20"/>
    </w:rPr>
  </w:style>
  <w:style w:type="paragraph" w:customStyle="1" w:styleId="MarginIcons">
    <w:name w:val="Margin Icons"/>
    <w:basedOn w:val="BodyText"/>
    <w:rsid w:val="00330F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F5B"/>
    <w:rPr>
      <w:rFonts w:ascii="Courier New" w:hAnsi="Courier New"/>
    </w:rPr>
  </w:style>
  <w:style w:type="paragraph" w:customStyle="1" w:styleId="NoteBullet">
    <w:name w:val="Note Bullet"/>
    <w:basedOn w:val="Note"/>
    <w:rsid w:val="00330F5B"/>
    <w:pPr>
      <w:tabs>
        <w:tab w:val="clear" w:pos="680"/>
      </w:tabs>
      <w:spacing w:before="60" w:after="60"/>
    </w:pPr>
  </w:style>
  <w:style w:type="paragraph" w:customStyle="1" w:styleId="SubHeading2">
    <w:name w:val="SubHeading2"/>
    <w:basedOn w:val="HeadingBase"/>
    <w:rsid w:val="00330F5B"/>
    <w:pPr>
      <w:spacing w:before="240" w:after="60"/>
    </w:pPr>
    <w:rPr>
      <w:sz w:val="20"/>
    </w:rPr>
  </w:style>
  <w:style w:type="paragraph" w:customStyle="1" w:styleId="SubHeading1">
    <w:name w:val="SubHeading1"/>
    <w:basedOn w:val="HeadingBase"/>
    <w:rsid w:val="00330F5B"/>
    <w:pPr>
      <w:spacing w:before="240" w:after="60"/>
    </w:pPr>
    <w:rPr>
      <w:color w:val="918585"/>
      <w:sz w:val="22"/>
    </w:rPr>
  </w:style>
  <w:style w:type="paragraph" w:customStyle="1" w:styleId="SideHeading">
    <w:name w:val="Side Heading"/>
    <w:basedOn w:val="HeadingBase"/>
    <w:rsid w:val="00330F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F5B"/>
    <w:pPr>
      <w:numPr>
        <w:numId w:val="12"/>
      </w:numPr>
    </w:pPr>
  </w:style>
  <w:style w:type="paragraph" w:styleId="PlainText">
    <w:name w:val="Plain Text"/>
    <w:basedOn w:val="Normal"/>
    <w:link w:val="PlainTextChar"/>
    <w:rsid w:val="00330F5B"/>
    <w:rPr>
      <w:sz w:val="20"/>
    </w:rPr>
  </w:style>
  <w:style w:type="character" w:customStyle="1" w:styleId="PlainTextChar">
    <w:name w:val="Plain Text Char"/>
    <w:basedOn w:val="DefaultParagraphFont"/>
    <w:link w:val="PlainText"/>
    <w:rsid w:val="00330F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F5B"/>
    <w:rPr>
      <w:b/>
      <w:smallCaps/>
    </w:rPr>
  </w:style>
  <w:style w:type="paragraph" w:customStyle="1" w:styleId="TableListNumber">
    <w:name w:val="Table List Number"/>
    <w:basedOn w:val="ListNumber"/>
    <w:rsid w:val="00330F5B"/>
    <w:pPr>
      <w:numPr>
        <w:numId w:val="0"/>
      </w:numPr>
    </w:pPr>
  </w:style>
  <w:style w:type="paragraph" w:styleId="TOC4">
    <w:name w:val="toc 4"/>
    <w:basedOn w:val="TOCBase"/>
    <w:next w:val="Normal"/>
    <w:semiHidden/>
    <w:rsid w:val="00330F5B"/>
    <w:pPr>
      <w:tabs>
        <w:tab w:val="right" w:leader="dot" w:pos="9071"/>
      </w:tabs>
      <w:ind w:left="1701"/>
    </w:pPr>
  </w:style>
  <w:style w:type="paragraph" w:customStyle="1" w:styleId="ListAlpha">
    <w:name w:val="List Alpha"/>
    <w:basedOn w:val="List"/>
    <w:rsid w:val="00330F5B"/>
    <w:pPr>
      <w:numPr>
        <w:numId w:val="9"/>
      </w:numPr>
    </w:pPr>
  </w:style>
  <w:style w:type="paragraph" w:customStyle="1" w:styleId="ListAlpha2">
    <w:name w:val="List Alpha 2"/>
    <w:basedOn w:val="List2"/>
    <w:rsid w:val="00330F5B"/>
    <w:pPr>
      <w:numPr>
        <w:numId w:val="8"/>
      </w:numPr>
    </w:pPr>
  </w:style>
  <w:style w:type="paragraph" w:styleId="List3">
    <w:name w:val="List 3"/>
    <w:basedOn w:val="BodyText"/>
    <w:rsid w:val="00330F5B"/>
    <w:pPr>
      <w:tabs>
        <w:tab w:val="left" w:pos="1021"/>
      </w:tabs>
      <w:spacing w:before="60" w:after="60"/>
      <w:ind w:left="1020" w:hanging="340"/>
    </w:pPr>
  </w:style>
  <w:style w:type="paragraph" w:styleId="List4">
    <w:name w:val="List 4"/>
    <w:basedOn w:val="BodyText"/>
    <w:rsid w:val="00330F5B"/>
    <w:pPr>
      <w:tabs>
        <w:tab w:val="left" w:pos="1361"/>
      </w:tabs>
      <w:spacing w:before="60" w:after="60"/>
      <w:ind w:left="1361" w:hanging="340"/>
    </w:pPr>
  </w:style>
  <w:style w:type="paragraph" w:styleId="List5">
    <w:name w:val="List 5"/>
    <w:basedOn w:val="BodyText"/>
    <w:rsid w:val="00330F5B"/>
    <w:pPr>
      <w:tabs>
        <w:tab w:val="left" w:pos="1701"/>
      </w:tabs>
      <w:spacing w:before="60" w:after="60"/>
      <w:ind w:left="1701" w:hanging="340"/>
    </w:pPr>
  </w:style>
  <w:style w:type="paragraph" w:styleId="ListBullet3">
    <w:name w:val="List Bullet 3"/>
    <w:basedOn w:val="List3"/>
    <w:rsid w:val="00330F5B"/>
    <w:pPr>
      <w:numPr>
        <w:numId w:val="15"/>
      </w:numPr>
      <w:tabs>
        <w:tab w:val="clear" w:pos="1021"/>
      </w:tabs>
      <w:ind w:left="1037" w:hanging="357"/>
    </w:pPr>
  </w:style>
  <w:style w:type="paragraph" w:styleId="ListBullet4">
    <w:name w:val="List Bullet 4"/>
    <w:basedOn w:val="List4"/>
    <w:rsid w:val="00330F5B"/>
    <w:pPr>
      <w:numPr>
        <w:numId w:val="3"/>
      </w:numPr>
    </w:pPr>
  </w:style>
  <w:style w:type="paragraph" w:styleId="ListBullet5">
    <w:name w:val="List Bullet 5"/>
    <w:basedOn w:val="List5"/>
    <w:rsid w:val="00330F5B"/>
    <w:pPr>
      <w:numPr>
        <w:numId w:val="4"/>
      </w:numPr>
    </w:pPr>
  </w:style>
  <w:style w:type="paragraph" w:styleId="ListContinue2">
    <w:name w:val="List Continue 2"/>
    <w:basedOn w:val="List2"/>
    <w:rsid w:val="00330F5B"/>
    <w:pPr>
      <w:ind w:firstLine="0"/>
    </w:pPr>
  </w:style>
  <w:style w:type="paragraph" w:styleId="ListContinue3">
    <w:name w:val="List Continue 3"/>
    <w:basedOn w:val="List3"/>
    <w:rsid w:val="00330F5B"/>
    <w:pPr>
      <w:ind w:left="1021" w:firstLine="0"/>
    </w:pPr>
  </w:style>
  <w:style w:type="paragraph" w:styleId="ListContinue4">
    <w:name w:val="List Continue 4"/>
    <w:basedOn w:val="List4"/>
    <w:rsid w:val="00330F5B"/>
    <w:pPr>
      <w:ind w:firstLine="0"/>
    </w:pPr>
  </w:style>
  <w:style w:type="paragraph" w:styleId="ListContinue5">
    <w:name w:val="List Continue 5"/>
    <w:basedOn w:val="List5"/>
    <w:rsid w:val="00330F5B"/>
    <w:pPr>
      <w:ind w:firstLine="0"/>
    </w:pPr>
  </w:style>
  <w:style w:type="paragraph" w:styleId="ListNumber3">
    <w:name w:val="List Number 3"/>
    <w:basedOn w:val="List3"/>
    <w:rsid w:val="00330F5B"/>
    <w:pPr>
      <w:numPr>
        <w:numId w:val="5"/>
      </w:numPr>
    </w:pPr>
  </w:style>
  <w:style w:type="paragraph" w:styleId="ListNumber4">
    <w:name w:val="List Number 4"/>
    <w:basedOn w:val="List4"/>
    <w:rsid w:val="00330F5B"/>
    <w:pPr>
      <w:numPr>
        <w:numId w:val="6"/>
      </w:numPr>
    </w:pPr>
  </w:style>
  <w:style w:type="paragraph" w:styleId="ListNumber5">
    <w:name w:val="List Number 5"/>
    <w:basedOn w:val="List5"/>
    <w:rsid w:val="00330F5B"/>
    <w:pPr>
      <w:numPr>
        <w:numId w:val="7"/>
      </w:numPr>
    </w:pPr>
  </w:style>
  <w:style w:type="paragraph" w:styleId="BlockText">
    <w:name w:val="Block Text"/>
    <w:basedOn w:val="Normal"/>
    <w:rsid w:val="00330F5B"/>
    <w:pPr>
      <w:spacing w:after="120"/>
      <w:ind w:left="1440" w:right="1440"/>
    </w:pPr>
  </w:style>
  <w:style w:type="character" w:customStyle="1" w:styleId="Subscript">
    <w:name w:val="Subscript"/>
    <w:basedOn w:val="DefaultParagraphFont"/>
    <w:rsid w:val="00330F5B"/>
    <w:rPr>
      <w:sz w:val="16"/>
      <w:vertAlign w:val="subscript"/>
    </w:rPr>
  </w:style>
  <w:style w:type="character" w:customStyle="1" w:styleId="Superscript">
    <w:name w:val="Superscript"/>
    <w:basedOn w:val="DefaultParagraphFont"/>
    <w:rsid w:val="00330F5B"/>
    <w:rPr>
      <w:sz w:val="16"/>
      <w:vertAlign w:val="superscript"/>
    </w:rPr>
  </w:style>
  <w:style w:type="character" w:customStyle="1" w:styleId="Symbols">
    <w:name w:val="Symbols"/>
    <w:basedOn w:val="DefaultParagraphFont"/>
    <w:rsid w:val="00330F5B"/>
    <w:rPr>
      <w:rFonts w:ascii="Symbol" w:hAnsi="Symbol"/>
    </w:rPr>
  </w:style>
  <w:style w:type="character" w:customStyle="1" w:styleId="MenuOptions">
    <w:name w:val="Menu Options"/>
    <w:basedOn w:val="DefaultParagraphFont"/>
    <w:rsid w:val="00330F5B"/>
    <w:rPr>
      <w:rFonts w:ascii="Arial Narrow" w:hAnsi="Arial Narrow"/>
      <w:smallCaps/>
    </w:rPr>
  </w:style>
  <w:style w:type="character" w:customStyle="1" w:styleId="Buttons">
    <w:name w:val="Buttons"/>
    <w:basedOn w:val="DefaultParagraphFont"/>
    <w:rsid w:val="00330F5B"/>
    <w:rPr>
      <w:b/>
    </w:rPr>
  </w:style>
  <w:style w:type="character" w:customStyle="1" w:styleId="Underlined">
    <w:name w:val="Underlined"/>
    <w:basedOn w:val="DefaultParagraphFont"/>
    <w:rsid w:val="00330F5B"/>
    <w:rPr>
      <w:u w:val="single"/>
    </w:rPr>
  </w:style>
  <w:style w:type="paragraph" w:customStyle="1" w:styleId="TableBodyTextRight">
    <w:name w:val="Table Body Text Right"/>
    <w:basedOn w:val="TableBodyText"/>
    <w:rsid w:val="00330F5B"/>
    <w:pPr>
      <w:widowControl w:val="0"/>
      <w:autoSpaceDE w:val="0"/>
      <w:autoSpaceDN w:val="0"/>
      <w:adjustRightInd w:val="0"/>
      <w:jc w:val="right"/>
    </w:pPr>
    <w:rPr>
      <w:rFonts w:cs="Arial"/>
      <w:szCs w:val="18"/>
    </w:rPr>
  </w:style>
  <w:style w:type="paragraph" w:customStyle="1" w:styleId="CopyrightText">
    <w:name w:val="Copyright Text"/>
    <w:basedOn w:val="BodyText"/>
    <w:rsid w:val="00330F5B"/>
    <w:rPr>
      <w:sz w:val="18"/>
    </w:rPr>
  </w:style>
  <w:style w:type="paragraph" w:customStyle="1" w:styleId="BodySmallRight">
    <w:name w:val="Body Small Right"/>
    <w:basedOn w:val="BodyTextRight"/>
    <w:rsid w:val="00330F5B"/>
    <w:rPr>
      <w:sz w:val="18"/>
      <w:szCs w:val="18"/>
    </w:rPr>
  </w:style>
  <w:style w:type="paragraph" w:customStyle="1" w:styleId="MarginEdition">
    <w:name w:val="Margin Edition"/>
    <w:basedOn w:val="MarginNote"/>
    <w:rsid w:val="00330F5B"/>
    <w:pPr>
      <w:spacing w:before="0" w:after="0"/>
    </w:pPr>
    <w:rPr>
      <w:rFonts w:ascii="Times New Roman" w:hAnsi="Times New Roman"/>
      <w:color w:val="999999"/>
    </w:rPr>
  </w:style>
  <w:style w:type="paragraph" w:customStyle="1" w:styleId="Spacer">
    <w:name w:val="Spacer"/>
    <w:basedOn w:val="Normal"/>
    <w:rsid w:val="00330F5B"/>
    <w:rPr>
      <w:sz w:val="2"/>
      <w:szCs w:val="2"/>
    </w:rPr>
  </w:style>
  <w:style w:type="character" w:customStyle="1" w:styleId="Small">
    <w:name w:val="Small"/>
    <w:basedOn w:val="DefaultParagraphFont"/>
    <w:rsid w:val="00330F5B"/>
    <w:rPr>
      <w:sz w:val="16"/>
    </w:rPr>
  </w:style>
  <w:style w:type="paragraph" w:customStyle="1" w:styleId="WideTable">
    <w:name w:val="Wide Table"/>
    <w:basedOn w:val="Normal"/>
    <w:rsid w:val="00330F5B"/>
    <w:pPr>
      <w:ind w:left="-1418"/>
    </w:pPr>
    <w:rPr>
      <w:sz w:val="2"/>
      <w:szCs w:val="2"/>
    </w:rPr>
  </w:style>
  <w:style w:type="character" w:styleId="PageNumber">
    <w:name w:val="page number"/>
    <w:basedOn w:val="DefaultParagraphFont"/>
    <w:rsid w:val="00330F5B"/>
  </w:style>
  <w:style w:type="paragraph" w:styleId="Quote">
    <w:name w:val="Quote"/>
    <w:basedOn w:val="Heading1"/>
    <w:link w:val="QuoteChar"/>
    <w:qFormat/>
    <w:rsid w:val="00330F5B"/>
    <w:rPr>
      <w:b w:val="0"/>
      <w:sz w:val="72"/>
      <w:szCs w:val="72"/>
      <w:lang w:val="en-NZ"/>
    </w:rPr>
  </w:style>
  <w:style w:type="character" w:customStyle="1" w:styleId="QuoteChar">
    <w:name w:val="Quote Char"/>
    <w:basedOn w:val="DefaultParagraphFont"/>
    <w:link w:val="Quote"/>
    <w:rsid w:val="00330F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F5B"/>
    <w:pPr>
      <w:pageBreakBefore/>
    </w:pPr>
  </w:style>
  <w:style w:type="paragraph" w:customStyle="1" w:styleId="Border">
    <w:name w:val="Border"/>
    <w:basedOn w:val="Normal"/>
    <w:qFormat/>
    <w:rsid w:val="00330F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F5B"/>
    <w:rPr>
      <w:b/>
      <w:bCs/>
      <w:i/>
      <w:iCs/>
      <w:color w:val="auto"/>
    </w:rPr>
  </w:style>
  <w:style w:type="paragraph" w:styleId="IntenseQuote">
    <w:name w:val="Intense Quote"/>
    <w:basedOn w:val="Normal"/>
    <w:next w:val="Normal"/>
    <w:link w:val="IntenseQuoteChar"/>
    <w:uiPriority w:val="30"/>
    <w:qFormat/>
    <w:rsid w:val="00330F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F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F5B"/>
    <w:rPr>
      <w:smallCaps/>
      <w:color w:val="auto"/>
      <w:u w:val="single"/>
    </w:rPr>
  </w:style>
  <w:style w:type="character" w:styleId="IntenseReference">
    <w:name w:val="Intense Reference"/>
    <w:basedOn w:val="DefaultParagraphFont"/>
    <w:uiPriority w:val="32"/>
    <w:qFormat/>
    <w:rsid w:val="00330F5B"/>
    <w:rPr>
      <w:b/>
      <w:bCs/>
      <w:smallCaps/>
      <w:color w:val="auto"/>
      <w:spacing w:val="5"/>
      <w:u w:val="single"/>
    </w:rPr>
  </w:style>
  <w:style w:type="paragraph" w:customStyle="1" w:styleId="2ColumnHeading">
    <w:name w:val="2Column Heading"/>
    <w:basedOn w:val="BodyText"/>
    <w:qFormat/>
    <w:rsid w:val="00330F5B"/>
    <w:pPr>
      <w:spacing w:after="60"/>
      <w:ind w:left="-2268"/>
    </w:pPr>
    <w:rPr>
      <w:b/>
    </w:rPr>
  </w:style>
  <w:style w:type="paragraph" w:customStyle="1" w:styleId="Heading1TOC">
    <w:name w:val="Heading1 TOC"/>
    <w:basedOn w:val="Normal"/>
    <w:qFormat/>
    <w:rsid w:val="00330F5B"/>
    <w:pPr>
      <w:spacing w:before="240" w:after="120"/>
    </w:pPr>
    <w:rPr>
      <w:rFonts w:ascii="Times New Roman" w:hAnsi="Times New Roman"/>
      <w:b/>
      <w:sz w:val="32"/>
    </w:rPr>
  </w:style>
  <w:style w:type="paragraph" w:customStyle="1" w:styleId="Heading2TOC">
    <w:name w:val="Heading2 TOC"/>
    <w:basedOn w:val="Normal"/>
    <w:qFormat/>
    <w:rsid w:val="00330F5B"/>
    <w:pPr>
      <w:spacing w:before="240" w:after="60"/>
    </w:pPr>
    <w:rPr>
      <w:rFonts w:ascii="Times New Roman" w:hAnsi="Times New Roman"/>
      <w:b/>
      <w:sz w:val="28"/>
    </w:rPr>
  </w:style>
  <w:style w:type="character" w:customStyle="1" w:styleId="Underline">
    <w:name w:val="Underline"/>
    <w:basedOn w:val="DefaultParagraphFont"/>
    <w:qFormat/>
    <w:rsid w:val="00330F5B"/>
    <w:rPr>
      <w:u w:val="single"/>
    </w:rPr>
  </w:style>
  <w:style w:type="paragraph" w:styleId="BalloonText">
    <w:name w:val="Balloon Text"/>
    <w:basedOn w:val="Normal"/>
    <w:link w:val="BalloonTextChar"/>
    <w:rsid w:val="00330F5B"/>
    <w:rPr>
      <w:rFonts w:ascii="Tahoma" w:hAnsi="Tahoma" w:cs="Tahoma"/>
      <w:sz w:val="16"/>
      <w:szCs w:val="16"/>
    </w:rPr>
  </w:style>
  <w:style w:type="character" w:customStyle="1" w:styleId="BalloonTextChar">
    <w:name w:val="Balloon Text Char"/>
    <w:basedOn w:val="DefaultParagraphFont"/>
    <w:link w:val="BalloonText"/>
    <w:rsid w:val="00330F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F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F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9047</Characters>
  <Application>Microsoft Office Word</Application>
  <DocSecurity>0</DocSecurity>
  <Lines>345</Lines>
  <Paragraphs>208</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FNSACC603A Implement tax plans and evaluate tax compliance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2012-05-26T16:12:00Z</dcterms:created>
  <dcterms:modified xsi:type="dcterms:W3CDTF">2012-05-26T16:12:00Z</dcterms:modified>
</cp:coreProperties>
</file>