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88B" w:rsidP="0084488B">
      <w:pPr>
        <w:pStyle w:val="Title"/>
      </w:pPr>
      <w:r>
        <w:fldChar w:fldCharType="begin"/>
      </w:r>
      <w:r>
        <w:instrText xml:space="preserve"> TITLE   \* MERGEFORMAT </w:instrText>
      </w:r>
      <w:r>
        <w:fldChar w:fldCharType="separate"/>
      </w:r>
      <w:r>
        <w:t>FNSACC504A Prepare financial reports for corporate entities</w:t>
      </w:r>
      <w:r>
        <w:fldChar w:fldCharType="end"/>
      </w:r>
    </w:p>
    <w:p w:rsidR="0084488B" w:rsidP="0084488B">
      <w:pPr>
        <w:pStyle w:val="Version"/>
        <w:sectPr w:rsidSect="00837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7F87" w:rsidP="00837F87">
      <w:pPr>
        <w:pStyle w:val="SuperHeading"/>
      </w:pPr>
      <w:r w:rsidRPr="00837F87">
        <w:t>FNSACC504A Prepare financial reports for corporate entities</w:t>
      </w:r>
    </w:p>
    <w:p w:rsidR="00000000" w:rsidRPr="00837F87" w:rsidP="00837F87">
      <w:pPr>
        <w:pStyle w:val="SuperHeading"/>
      </w:pPr>
    </w:p>
    <w:p w:rsidR="00000000" w:rsidRPr="00837F87" w:rsidP="00837F87">
      <w:pPr>
        <w:pStyle w:val="Heading1"/>
      </w:pPr>
      <w:bookmarkStart w:id="1" w:name="O_77115"/>
      <w:bookmarkEnd w:id="1"/>
      <w:r w:rsidRPr="00837F87">
        <w:t>Modification History</w:t>
      </w:r>
    </w:p>
    <w:p w:rsidR="00000000" w:rsidRPr="00837F87" w:rsidP="00837F87">
      <w:pPr>
        <w:pStyle w:val="BodyText"/>
      </w:pPr>
      <w:r w:rsidRPr="00837F87">
        <w:t>Not applicable.</w:t>
      </w:r>
    </w:p>
    <w:p w:rsidR="00000000" w:rsidRPr="00837F87" w:rsidP="00837F87">
      <w:pPr>
        <w:pStyle w:val="AllowPageBreak"/>
      </w:pPr>
    </w:p>
    <w:p w:rsidR="00000000" w:rsidRPr="00837F87" w:rsidP="00837F87">
      <w:pPr>
        <w:pStyle w:val="Heading1"/>
      </w:pPr>
      <w:bookmarkStart w:id="2" w:name="O_77116"/>
      <w:bookmarkEnd w:id="2"/>
      <w:r w:rsidRPr="00837F87">
        <w:t>Unit Descriptor</w:t>
      </w:r>
    </w:p>
    <w:tbl>
      <w:tblPr>
        <w:tblW w:w="0" w:type="auto"/>
        <w:tblLayout w:type="fixed"/>
        <w:tblCellMar>
          <w:left w:w="62" w:type="dxa"/>
          <w:right w:w="62" w:type="dxa"/>
        </w:tblCellMar>
        <w:tblLook w:val="0000"/>
      </w:tblPr>
      <w:tblGrid>
        <w:gridCol w:w="2657"/>
        <w:gridCol w:w="5865"/>
      </w:tblGrid>
      <w:tr w:rsidTr="0084488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This unit describes the performance outcomes, skills and knowledge required to prepare financ</w:t>
            </w:r>
            <w:r w:rsidRPr="00837F87">
              <w:t>ial reports for a reporting entity and encompasses compiling and analysing data and meeting statutory reporting requirements.</w:t>
            </w:r>
          </w:p>
          <w:p w:rsidR="00000000" w:rsidRPr="00837F87" w:rsidP="00837F87">
            <w:pPr>
              <w:pStyle w:val="BodyText"/>
            </w:pPr>
          </w:p>
          <w:p w:rsidR="00000000" w:rsidRPr="00837F87" w:rsidP="00837F87">
            <w:pPr>
              <w:pStyle w:val="BodyText"/>
            </w:pPr>
            <w:r w:rsidRPr="00837F87">
              <w:t xml:space="preserve">This unit has application to a variety of financial services sectors and is applicable to individuals working within enterprises </w:t>
            </w:r>
            <w:r w:rsidRPr="00837F87">
              <w:t>and job roles subject to licensing, legislative, regulatory or certification requirements so the varying Commonwealth, State or Territory requirements should be confirmed with the relevant body.</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3" w:name="O_77117"/>
      <w:bookmarkEnd w:id="3"/>
      <w:r w:rsidRPr="00837F87">
        <w:t>Application of the Unit</w:t>
      </w:r>
    </w:p>
    <w:tbl>
      <w:tblPr>
        <w:tblW w:w="0" w:type="auto"/>
        <w:tblLayout w:type="fixed"/>
        <w:tblCellMar>
          <w:left w:w="62" w:type="dxa"/>
          <w:right w:w="62" w:type="dxa"/>
        </w:tblCellMar>
        <w:tblLook w:val="0000"/>
      </w:tblPr>
      <w:tblGrid>
        <w:gridCol w:w="2754"/>
        <w:gridCol w:w="5768"/>
      </w:tblGrid>
      <w:tr w:rsidTr="0084488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The unit has application to any job roles that have responsibility for producing financial reports for corporate entities.</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4" w:name="O_77118"/>
      <w:bookmarkEnd w:id="4"/>
      <w:r w:rsidRPr="00837F87">
        <w:t>Licensing/Regulatory Information</w:t>
      </w:r>
    </w:p>
    <w:p w:rsidR="00000000" w:rsidRPr="00837F87" w:rsidP="00837F87">
      <w:pPr>
        <w:pStyle w:val="BodyText"/>
      </w:pPr>
      <w:r w:rsidRPr="00837F87">
        <w:t>Not applicable.</w:t>
      </w:r>
    </w:p>
    <w:p w:rsidR="00000000" w:rsidRPr="00837F87" w:rsidP="00837F87">
      <w:pPr>
        <w:pStyle w:val="AllowPageBreak"/>
      </w:pPr>
    </w:p>
    <w:p w:rsidR="00000000" w:rsidRPr="00837F87" w:rsidP="00837F87">
      <w:pPr>
        <w:pStyle w:val="Heading1"/>
      </w:pPr>
      <w:bookmarkStart w:id="5" w:name="O_77119"/>
      <w:bookmarkEnd w:id="5"/>
      <w:r w:rsidRPr="00837F87">
        <w:t>Pre-Requisites</w:t>
      </w:r>
    </w:p>
    <w:tbl>
      <w:tblPr>
        <w:tblW w:w="0" w:type="auto"/>
        <w:tblLayout w:type="fixed"/>
        <w:tblCellMar>
          <w:left w:w="62" w:type="dxa"/>
          <w:right w:w="62" w:type="dxa"/>
        </w:tblCellMar>
        <w:tblLook w:val="0000"/>
      </w:tblPr>
      <w:tblGrid>
        <w:gridCol w:w="2775"/>
        <w:gridCol w:w="1295"/>
        <w:gridCol w:w="4452"/>
      </w:tblGrid>
      <w:tr w:rsidTr="008448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p>
        </w:tc>
      </w:tr>
      <w:tr w:rsidTr="008448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p>
        </w:tc>
      </w:tr>
      <w:tr w:rsidTr="008448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6" w:name="O_77120"/>
      <w:bookmarkEnd w:id="6"/>
      <w:r w:rsidRPr="00837F87">
        <w:t>Employability Skills Information</w:t>
      </w:r>
    </w:p>
    <w:tbl>
      <w:tblPr>
        <w:tblW w:w="0" w:type="auto"/>
        <w:tblLayout w:type="fixed"/>
        <w:tblCellMar>
          <w:left w:w="62" w:type="dxa"/>
          <w:right w:w="62" w:type="dxa"/>
        </w:tblCellMar>
        <w:tblLook w:val="0000"/>
      </w:tblPr>
      <w:tblGrid>
        <w:gridCol w:w="2802"/>
        <w:gridCol w:w="5720"/>
      </w:tblGrid>
      <w:tr w:rsidTr="008448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This unit contains employability skills.</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7" w:name="O_77121"/>
      <w:bookmarkEnd w:id="7"/>
      <w:r w:rsidRPr="00837F87">
        <w:t>Elements and Performance Criteria Pre-Content</w:t>
      </w:r>
    </w:p>
    <w:tbl>
      <w:tblPr>
        <w:tblW w:w="0" w:type="auto"/>
        <w:tblLayout w:type="fixed"/>
        <w:tblCellMar>
          <w:left w:w="62" w:type="dxa"/>
          <w:right w:w="62" w:type="dxa"/>
        </w:tblCellMar>
        <w:tblLook w:val="0000"/>
      </w:tblPr>
      <w:tblGrid>
        <w:gridCol w:w="2541"/>
        <w:gridCol w:w="5981"/>
      </w:tblGrid>
      <w:tr w:rsidTr="0084488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Performance criteria describe the performance needed to demonstrate achievement of the element. Where bold italicised text is used, further information is detailed in the required skills and</w:t>
            </w:r>
            <w:r w:rsidRPr="00837F87">
              <w:t xml:space="preserve"> knowledge section and the range statement. Assessment of performance is to be consistent with the evidence guide.</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8" w:name="O_77122"/>
      <w:bookmarkEnd w:id="8"/>
      <w:r w:rsidRPr="00837F87">
        <w:t>Elements and Performance Criteria</w:t>
      </w:r>
    </w:p>
    <w:tbl>
      <w:tblPr>
        <w:tblW w:w="0" w:type="auto"/>
        <w:tblLayout w:type="fixed"/>
        <w:tblCellMar>
          <w:left w:w="62" w:type="dxa"/>
          <w:right w:w="62" w:type="dxa"/>
        </w:tblCellMar>
        <w:tblLook w:val="0000"/>
      </w:tblPr>
      <w:tblGrid>
        <w:gridCol w:w="2541"/>
        <w:gridCol w:w="5981"/>
      </w:tblGrid>
      <w:tr w:rsidTr="0084488B">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PERFORMANCE CRITERIA</w:t>
            </w:r>
          </w:p>
        </w:tc>
      </w:tr>
      <w:tr w:rsidTr="0084488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List"/>
              <w:rPr>
                <w:lang w:val="en-NZ"/>
              </w:rPr>
            </w:pPr>
            <w:r w:rsidRPr="00837F87">
              <w:t>1.</w:t>
            </w:r>
            <w:r w:rsidRPr="00837F87">
              <w:tab/>
              <w:t>Compile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2"/>
            </w:pPr>
            <w:r w:rsidRPr="00837F87">
              <w:t>1.1.</w:t>
            </w:r>
            <w:r w:rsidRPr="00837F87">
              <w:tab/>
            </w:r>
            <w:r w:rsidRPr="00837F87">
              <w:rPr>
                <w:rStyle w:val="BoldandItalics"/>
              </w:rPr>
              <w:t>Data</w:t>
            </w:r>
            <w:r w:rsidRPr="00837F87">
              <w:t xml:space="preserve"> are systematically coded, classified and checked for accuracy and reliability in accordance with organisational policies, procedures and </w:t>
            </w:r>
            <w:r w:rsidRPr="00837F87">
              <w:rPr>
                <w:rStyle w:val="BoldandItalics"/>
              </w:rPr>
              <w:t>accounting standards</w:t>
            </w:r>
          </w:p>
          <w:p w:rsidR="00000000" w:rsidRPr="00837F87" w:rsidP="00837F87">
            <w:pPr>
              <w:pStyle w:val="List2"/>
            </w:pPr>
            <w:r w:rsidRPr="00837F87">
              <w:t>1.2.</w:t>
            </w:r>
            <w:r w:rsidRPr="00837F87">
              <w:tab/>
            </w:r>
            <w:r w:rsidRPr="00837F87">
              <w:rPr>
                <w:rStyle w:val="BoldandItalics"/>
              </w:rPr>
              <w:t>Conversion and consolidation procedures</w:t>
            </w:r>
            <w:r w:rsidRPr="00837F87">
              <w:t xml:space="preserve"> are used to compile data in accordance with </w:t>
            </w:r>
            <w:r w:rsidRPr="00837F87">
              <w:rPr>
                <w:rStyle w:val="BoldandItalics"/>
              </w:rPr>
              <w:t>organisa</w:t>
            </w:r>
            <w:r w:rsidRPr="00837F87">
              <w:rPr>
                <w:rStyle w:val="BoldandItalics"/>
              </w:rPr>
              <w:t>tional policies and procedures</w:t>
            </w:r>
          </w:p>
          <w:p w:rsidR="00000000" w:rsidRPr="00837F87" w:rsidP="00837F87">
            <w:pPr>
              <w:pStyle w:val="List2"/>
            </w:pPr>
            <w:r w:rsidRPr="00837F87">
              <w:t>1.3.</w:t>
            </w:r>
            <w:r w:rsidRPr="00837F87">
              <w:tab/>
              <w:t>Valuations in compliance with relevant accounting standards are recorded</w:t>
            </w:r>
          </w:p>
          <w:p w:rsidR="00000000" w:rsidP="00837F87">
            <w:pPr>
              <w:pStyle w:val="List2"/>
              <w:rPr>
                <w:lang w:val="en-NZ"/>
              </w:rPr>
            </w:pPr>
            <w:r w:rsidRPr="00837F87">
              <w:t>1.4.</w:t>
            </w:r>
            <w:r w:rsidRPr="00837F87">
              <w:tab/>
              <w:t>Effects of taxation are identified and recorded</w:t>
            </w:r>
          </w:p>
        </w:tc>
      </w:tr>
      <w:tr w:rsidTr="0084488B">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List"/>
              <w:rPr>
                <w:lang w:val="en-NZ"/>
              </w:rPr>
            </w:pPr>
            <w:r w:rsidRPr="00837F87">
              <w:t>2.</w:t>
            </w:r>
            <w:r w:rsidRPr="00837F87">
              <w:tab/>
              <w:t>Prepare reports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2"/>
            </w:pPr>
            <w:r w:rsidRPr="00837F87">
              <w:t>2.1.</w:t>
            </w:r>
            <w:r w:rsidRPr="00837F87">
              <w:tab/>
              <w:t xml:space="preserve">Charts, diagrams and supporting data are presented in an appropriate </w:t>
            </w:r>
            <w:r w:rsidRPr="00837F87">
              <w:t>format</w:t>
            </w:r>
          </w:p>
          <w:p w:rsidR="00000000" w:rsidRPr="00837F87" w:rsidP="00837F87">
            <w:pPr>
              <w:pStyle w:val="List2"/>
            </w:pPr>
            <w:r w:rsidRPr="00837F87">
              <w:t>2.2.</w:t>
            </w:r>
            <w:r w:rsidRPr="00837F87">
              <w:tab/>
              <w:t xml:space="preserve">Structure and </w:t>
            </w:r>
            <w:r w:rsidRPr="00837F87">
              <w:rPr>
                <w:rStyle w:val="BoldandItalics"/>
              </w:rPr>
              <w:t>format of reports</w:t>
            </w:r>
            <w:r w:rsidRPr="00837F87">
              <w:t xml:space="preserve"> are clear and conform to </w:t>
            </w:r>
            <w:r w:rsidRPr="00837F87">
              <w:rPr>
                <w:rStyle w:val="BoldandItalics"/>
              </w:rPr>
              <w:t>statutory requirements</w:t>
            </w:r>
            <w:r w:rsidRPr="00837F87">
              <w:t xml:space="preserve"> and organisational procedures</w:t>
            </w:r>
          </w:p>
          <w:p w:rsidR="00000000" w:rsidRPr="00837F87" w:rsidP="00837F87">
            <w:pPr>
              <w:pStyle w:val="List2"/>
            </w:pPr>
            <w:r w:rsidRPr="00837F87">
              <w:t>2.3.</w:t>
            </w:r>
            <w:r w:rsidRPr="00837F87">
              <w:tab/>
              <w:t>Statements and data are error free, comprehensive and comply with statutory requirements and organisational procedures</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9" w:name="O_77123"/>
      <w:bookmarkEnd w:id="9"/>
      <w:r w:rsidRPr="00837F87">
        <w:t>Required Skills and Knowledge</w:t>
      </w:r>
    </w:p>
    <w:tbl>
      <w:tblPr>
        <w:tblW w:w="0" w:type="auto"/>
        <w:tblLayout w:type="fixed"/>
        <w:tblCellMar>
          <w:left w:w="62" w:type="dxa"/>
          <w:right w:w="62" w:type="dxa"/>
        </w:tblCellMar>
        <w:tblLook w:val="0000"/>
      </w:tblPr>
      <w:tblGrid>
        <w:gridCol w:w="8522"/>
      </w:tblGrid>
      <w:tr w:rsidTr="008448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REQUIRED SKILLS AND KNOWLEDGE</w:t>
            </w:r>
          </w:p>
        </w:tc>
      </w:tr>
      <w:tr w:rsidTr="008448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t>This section describes the skills and knowledge required for this unit.</w:t>
            </w:r>
          </w:p>
        </w:tc>
      </w:tr>
      <w:tr w:rsidTr="008448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Required skills</w:t>
            </w:r>
          </w:p>
        </w:tc>
      </w:tr>
      <w:tr w:rsidTr="008448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communication skills to:</w:t>
            </w:r>
          </w:p>
          <w:p w:rsidR="00000000" w:rsidRPr="00837F87" w:rsidP="00837F87">
            <w:pPr>
              <w:pStyle w:val="ListBullet2"/>
            </w:pPr>
            <w:r w:rsidRPr="00837F87">
              <w:t xml:space="preserve">determine and confirm reporting requirements </w:t>
            </w:r>
          </w:p>
          <w:p w:rsidR="00000000" w:rsidRPr="00837F87" w:rsidP="00837F87">
            <w:pPr>
              <w:pStyle w:val="ListBullet2"/>
            </w:pPr>
            <w:r w:rsidRPr="00837F87">
              <w:t>liaise with others, share information, listen and understand</w:t>
            </w:r>
          </w:p>
          <w:p w:rsidR="00000000" w:rsidRPr="00837F87" w:rsidP="00837F87">
            <w:pPr>
              <w:pStyle w:val="ListBullet2"/>
            </w:pPr>
            <w:r w:rsidRPr="00837F87">
              <w:t>use language and concepts appropriate to cultural differences</w:t>
            </w:r>
          </w:p>
          <w:p w:rsidR="00000000" w:rsidRPr="00837F87" w:rsidP="00837F87">
            <w:pPr>
              <w:pStyle w:val="ListBullet"/>
            </w:pPr>
            <w:r w:rsidRPr="00837F87">
              <w:t>research  and analysis skills for  accessing, analysing  and managing financial services information</w:t>
            </w:r>
          </w:p>
          <w:p w:rsidR="00000000" w:rsidRPr="00837F87" w:rsidP="00837F87">
            <w:pPr>
              <w:pStyle w:val="ListBullet"/>
            </w:pPr>
            <w:r w:rsidRPr="00837F87">
              <w:t>literacy skills for preparing c</w:t>
            </w:r>
            <w:r w:rsidRPr="00837F87">
              <w:t>lear written reports for organisations and business units in required formats</w:t>
            </w:r>
          </w:p>
          <w:p w:rsidR="00000000" w:rsidRPr="00837F87" w:rsidP="00837F87">
            <w:pPr>
              <w:pStyle w:val="ListBullet"/>
            </w:pPr>
            <w:r w:rsidRPr="00837F87">
              <w:t>numeracy skills for financial calculations and analysis, estimating and forecasting</w:t>
            </w:r>
          </w:p>
          <w:p w:rsidR="00000000" w:rsidRPr="00837F87" w:rsidP="00837F87">
            <w:pPr>
              <w:pStyle w:val="ListBullet"/>
            </w:pPr>
            <w:r w:rsidRPr="00837F87">
              <w:t>IT skills for developing and integrated financial systems, using spreadsheets and databases an</w:t>
            </w:r>
            <w:r w:rsidRPr="00837F87">
              <w:t>d accessing internet information</w:t>
            </w:r>
          </w:p>
          <w:p w:rsidR="00000000" w:rsidRPr="00837F87" w:rsidP="00837F87">
            <w:pPr>
              <w:pStyle w:val="ListBullet"/>
            </w:pPr>
            <w:r w:rsidRPr="00837F87">
              <w:t>learning skills to maintain knowledge of reporting statutory requirements and procedures</w:t>
            </w:r>
          </w:p>
          <w:p w:rsidR="00000000" w:rsidRPr="00837F87" w:rsidP="00837F87">
            <w:pPr>
              <w:pStyle w:val="ListBullet"/>
            </w:pPr>
            <w:r w:rsidRPr="00837F87">
              <w:t>problem solving skills to identify any reporting issues that have the potential to impact on organisations and to develop options to r</w:t>
            </w:r>
            <w:r w:rsidRPr="00837F87">
              <w:t>esolve these issues when they arise</w:t>
            </w:r>
          </w:p>
          <w:p w:rsidR="00000000" w:rsidP="00837F87">
            <w:pPr>
              <w:pStyle w:val="ListBullet"/>
              <w:rPr>
                <w:lang w:val="en-NZ"/>
              </w:rPr>
            </w:pPr>
            <w:r w:rsidRPr="00837F87">
              <w:t>organisational skills, including the ability to plan and sequence work and correctly schedule reporting</w:t>
            </w:r>
          </w:p>
        </w:tc>
      </w:tr>
      <w:tr w:rsidTr="008448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Required knowledge</w:t>
            </w:r>
          </w:p>
        </w:tc>
      </w:tr>
      <w:tr w:rsidTr="008448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current business taxation requirements</w:t>
            </w:r>
          </w:p>
          <w:p w:rsidR="00000000" w:rsidRPr="00837F87" w:rsidP="00837F87">
            <w:pPr>
              <w:pStyle w:val="ListBullet"/>
            </w:pPr>
            <w:r w:rsidRPr="00837F87">
              <w:t>current financial legislation including:</w:t>
            </w:r>
          </w:p>
          <w:p w:rsidR="00000000" w:rsidRPr="00837F87" w:rsidP="00837F87">
            <w:pPr>
              <w:pStyle w:val="ListBullet2"/>
            </w:pPr>
            <w:r w:rsidRPr="00837F87">
              <w:t>taxable transactions</w:t>
            </w:r>
          </w:p>
          <w:p w:rsidR="00000000" w:rsidRPr="00837F87" w:rsidP="00837F87">
            <w:pPr>
              <w:pStyle w:val="ListBullet2"/>
            </w:pPr>
            <w:r w:rsidRPr="00837F87">
              <w:t>reporting requirements</w:t>
            </w:r>
          </w:p>
          <w:p w:rsidR="00000000" w:rsidRPr="00837F87" w:rsidP="00837F87">
            <w:pPr>
              <w:pStyle w:val="ListBullet"/>
            </w:pPr>
            <w:r w:rsidRPr="00837F87">
              <w:t>ethical considerations such as:</w:t>
            </w:r>
          </w:p>
          <w:p w:rsidR="00000000" w:rsidRPr="00837F87" w:rsidP="00837F87">
            <w:pPr>
              <w:pStyle w:val="ListBullet2"/>
            </w:pPr>
            <w:r w:rsidRPr="00837F87">
              <w:t>conflict of interests</w:t>
            </w:r>
          </w:p>
          <w:p w:rsidR="00000000" w:rsidRPr="00837F87" w:rsidP="00837F87">
            <w:pPr>
              <w:pStyle w:val="ListBullet2"/>
            </w:pPr>
            <w:r w:rsidRPr="00837F87">
              <w:t>confidentiality</w:t>
            </w:r>
          </w:p>
          <w:p w:rsidR="00000000" w:rsidRPr="00837F87" w:rsidP="00837F87">
            <w:pPr>
              <w:pStyle w:val="ListBullet2"/>
            </w:pPr>
            <w:r w:rsidRPr="00837F87">
              <w:t>disclosure requirements</w:t>
            </w:r>
          </w:p>
          <w:p w:rsidR="00000000" w:rsidRPr="00837F87" w:rsidP="00837F87">
            <w:pPr>
              <w:pStyle w:val="ListBullet"/>
            </w:pPr>
            <w:r w:rsidRPr="00837F87">
              <w:t>integrated computerised accounting systems</w:t>
            </w:r>
          </w:p>
          <w:p w:rsidR="00000000" w:rsidRPr="00837F87" w:rsidP="00837F87">
            <w:pPr>
              <w:pStyle w:val="ListBullet"/>
            </w:pPr>
            <w:r w:rsidRPr="00837F87">
              <w:t>methods and formats of presenting financial data</w:t>
            </w:r>
          </w:p>
          <w:p w:rsidR="00000000" w:rsidRPr="00837F87" w:rsidP="00837F87">
            <w:pPr>
              <w:pStyle w:val="ListBullet"/>
            </w:pPr>
            <w:r w:rsidRPr="00837F87">
              <w:t>options, methods and practices for recording and reporting  deductions, benefits and depreciation</w:t>
            </w:r>
          </w:p>
          <w:p w:rsidR="00000000" w:rsidRPr="00837F87" w:rsidP="00837F87">
            <w:pPr>
              <w:pStyle w:val="ListBullet"/>
            </w:pPr>
            <w:r w:rsidRPr="00837F87">
              <w:t>organisational guidelines and procedures</w:t>
            </w:r>
          </w:p>
          <w:p w:rsidR="00000000" w:rsidRPr="00837F87" w:rsidP="00837F87">
            <w:pPr>
              <w:pStyle w:val="ListBullet"/>
            </w:pPr>
            <w:r w:rsidRPr="00837F87">
              <w:t>principles of double-entry bookkeeping and accrual accounting</w:t>
            </w:r>
          </w:p>
          <w:p w:rsidR="00000000" w:rsidRPr="00837F87" w:rsidP="00837F87">
            <w:pPr>
              <w:pStyle w:val="ListBullet"/>
            </w:pPr>
            <w:r w:rsidRPr="00837F87">
              <w:t>relevant business legal requirements</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10" w:name="O_77124"/>
      <w:bookmarkEnd w:id="10"/>
      <w:r w:rsidRPr="00837F87">
        <w:t>Evidence Guide</w:t>
      </w:r>
    </w:p>
    <w:tbl>
      <w:tblPr>
        <w:tblW w:w="9570" w:type="dxa"/>
        <w:tblLayout w:type="fixed"/>
        <w:tblCellMar>
          <w:left w:w="62" w:type="dxa"/>
          <w:right w:w="62" w:type="dxa"/>
        </w:tblCellMar>
        <w:tblLook w:val="0000"/>
      </w:tblPr>
      <w:tblGrid>
        <w:gridCol w:w="2808"/>
        <w:gridCol w:w="6762"/>
      </w:tblGrid>
      <w:tr w:rsidTr="008448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EVIDENCE GUIDE</w:t>
            </w:r>
          </w:p>
        </w:tc>
      </w:tr>
      <w:tr w:rsidTr="008448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t>The Evidence Guide provides advice on assessment and must be read in conjunction with the performance criteria, required skills and knowledge, range statement and the Assessment Guidelines for the Training Package.</w:t>
            </w:r>
          </w:p>
        </w:tc>
      </w:tr>
      <w:tr w:rsidTr="008448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Overvie</w:t>
            </w:r>
            <w:r w:rsidRPr="00837F87">
              <w:rPr>
                <w:rStyle w:val="SpecialBold"/>
              </w:rPr>
              <w:t>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p>
        </w:tc>
      </w:tr>
      <w:tr w:rsidTr="008448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Evidence of the ability to:</w:t>
            </w:r>
          </w:p>
          <w:p w:rsidR="00000000" w:rsidRPr="00837F87" w:rsidP="00837F87">
            <w:pPr>
              <w:pStyle w:val="ListBullet"/>
            </w:pPr>
            <w:r w:rsidRPr="00837F87">
              <w:t xml:space="preserve">interpret and apply  organisational policies and procedures and relevant accounting standards </w:t>
            </w:r>
          </w:p>
          <w:p w:rsidR="00000000" w:rsidRPr="00837F87" w:rsidP="00837F87">
            <w:pPr>
              <w:pStyle w:val="ListBullet"/>
            </w:pPr>
            <w:r w:rsidRPr="00837F87">
              <w:t xml:space="preserve">comply with relevant statutory requirements </w:t>
            </w:r>
          </w:p>
          <w:p w:rsidR="00000000" w:rsidP="00837F87">
            <w:pPr>
              <w:pStyle w:val="ListBullet"/>
              <w:rPr>
                <w:lang w:val="en-NZ"/>
              </w:rPr>
            </w:pPr>
            <w:r w:rsidRPr="00837F87">
              <w:t>access and accurately compile data and prepare reports.</w:t>
            </w:r>
          </w:p>
        </w:tc>
      </w:tr>
      <w:tr w:rsidTr="008448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Assessment must ensure:</w:t>
            </w:r>
          </w:p>
          <w:p w:rsidR="00000000" w:rsidRPr="00837F87" w:rsidP="00837F87">
            <w:pPr>
              <w:pStyle w:val="ListBullet"/>
            </w:pPr>
            <w:r w:rsidRPr="00837F87">
              <w:t>competency is demonstrated in the context of the financial services work environ</w:t>
            </w:r>
            <w:r w:rsidRPr="00837F87">
              <w:t>ment and conditions specified in the range statement either in a relevant workplace or a closely simulated work environment</w:t>
            </w:r>
          </w:p>
          <w:p w:rsidR="00000000" w:rsidP="00837F87">
            <w:pPr>
              <w:pStyle w:val="ListBullet"/>
              <w:rPr>
                <w:lang w:val="en-NZ"/>
              </w:rPr>
            </w:pPr>
            <w:r w:rsidRPr="00837F87">
              <w:t xml:space="preserve">access to and the use of a range of common office equipment, technology, software and consumables. </w:t>
            </w:r>
          </w:p>
        </w:tc>
      </w:tr>
      <w:tr w:rsidTr="008448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A range of</w:t>
            </w:r>
            <w:r w:rsidRPr="00837F87">
              <w:t xml:space="preserve"> assessment methods should be used to assess practical skills and knowledge. The following examples, in combination, are appropriate for this unit:</w:t>
            </w:r>
          </w:p>
          <w:p w:rsidR="00000000" w:rsidRPr="00837F87" w:rsidP="00837F87">
            <w:pPr>
              <w:pStyle w:val="ListBullet"/>
            </w:pPr>
            <w:r w:rsidRPr="00837F87">
              <w:t xml:space="preserve">evaluating an integrated activity which combines the elements of competency for </w:t>
            </w:r>
            <w:r w:rsidRPr="00837F87">
              <w:t>the unit or a cluster of related units of competency</w:t>
            </w:r>
          </w:p>
          <w:p w:rsidR="00000000" w:rsidRPr="00837F87" w:rsidP="00837F87">
            <w:pPr>
              <w:pStyle w:val="ListBullet"/>
            </w:pPr>
            <w:r w:rsidRPr="00837F87">
              <w:t>verbal or written questioning on underpinning knowledge and skills which may include formal examinations</w:t>
            </w:r>
          </w:p>
          <w:p w:rsidR="00000000" w:rsidRPr="00837F87" w:rsidP="00837F87">
            <w:pPr>
              <w:pStyle w:val="ListBullet"/>
            </w:pPr>
            <w:r w:rsidRPr="00837F87">
              <w:t>setting and reviewing workplace projects and business simulations</w:t>
            </w:r>
          </w:p>
          <w:p w:rsidR="00000000" w:rsidRPr="00837F87" w:rsidP="00837F87">
            <w:pPr>
              <w:pStyle w:val="ListBullet"/>
            </w:pPr>
            <w:r w:rsidRPr="00837F87">
              <w:t>evaluating samples of work</w:t>
            </w:r>
          </w:p>
          <w:p w:rsidR="00000000" w:rsidP="00837F87">
            <w:pPr>
              <w:pStyle w:val="ListBullet"/>
              <w:rPr>
                <w:lang w:val="en-NZ"/>
              </w:rPr>
            </w:pPr>
            <w:r w:rsidRPr="00837F87">
              <w:t>acces</w:t>
            </w:r>
            <w:r w:rsidRPr="00837F87">
              <w:t>sing and validating third party reports.</w:t>
            </w:r>
          </w:p>
        </w:tc>
      </w:tr>
      <w:tr w:rsidTr="008448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11" w:name="O_77125"/>
      <w:bookmarkEnd w:id="11"/>
      <w:r w:rsidRPr="00837F87">
        <w:t>Range Statement</w:t>
      </w:r>
    </w:p>
    <w:tbl>
      <w:tblPr>
        <w:tblW w:w="0" w:type="auto"/>
        <w:tblLayout w:type="fixed"/>
        <w:tblCellMar>
          <w:left w:w="62" w:type="dxa"/>
          <w:right w:w="62" w:type="dxa"/>
        </w:tblCellMar>
        <w:tblLook w:val="0000"/>
      </w:tblPr>
      <w:tblGrid>
        <w:gridCol w:w="2518"/>
        <w:gridCol w:w="6004"/>
      </w:tblGrid>
      <w:tr w:rsidTr="008448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RANGE STATEMENT</w:t>
            </w:r>
          </w:p>
        </w:tc>
      </w:tr>
      <w:tr w:rsidTr="008448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t>The range statement relates to the unit of competency as a whole. It allows for different work environments and situations that may affect performance. Bold italicised wording, if used in the performance criteria, is detailed below. Essential operating con</w:t>
            </w:r>
            <w:r w:rsidRPr="00837F87">
              <w:t>ditions that may be present with training and assessment (depending on the work situation, needs of the candidate, accessibility of the item, and local industry and regional contexts) may also be included.</w:t>
            </w:r>
          </w:p>
        </w:tc>
      </w:tr>
      <w:tr w:rsidTr="0084488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BoldandItalics"/>
              </w:rPr>
              <w:t>Data</w:t>
            </w:r>
            <w:r w:rsidRPr="00837F87">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financial and operational sta</w:t>
            </w:r>
            <w:r w:rsidRPr="00837F87">
              <w:t xml:space="preserve">tements and reports such as: </w:t>
            </w:r>
          </w:p>
          <w:p w:rsidR="00000000" w:rsidRPr="00837F87" w:rsidP="00837F87">
            <w:pPr>
              <w:pStyle w:val="ListBullet2"/>
            </w:pPr>
            <w:r w:rsidRPr="00837F87">
              <w:t xml:space="preserve">expenditures and receipts </w:t>
            </w:r>
          </w:p>
          <w:p w:rsidR="00000000" w:rsidRPr="00837F87" w:rsidP="00837F87">
            <w:pPr>
              <w:pStyle w:val="ListBullet2"/>
            </w:pPr>
            <w:r w:rsidRPr="00837F87">
              <w:t>profit and loss statements</w:t>
            </w:r>
          </w:p>
          <w:p w:rsidR="00000000" w:rsidRPr="00837F87" w:rsidP="00837F87">
            <w:pPr>
              <w:pStyle w:val="ListBullet"/>
            </w:pPr>
            <w:r w:rsidRPr="00837F87">
              <w:t>market valuations</w:t>
            </w:r>
          </w:p>
          <w:p w:rsidR="00000000" w:rsidP="00837F87">
            <w:pPr>
              <w:pStyle w:val="ListBullet"/>
              <w:rPr>
                <w:lang w:val="en-NZ"/>
              </w:rPr>
            </w:pPr>
            <w:r w:rsidRPr="00837F87">
              <w:t>share and debenture issues</w:t>
            </w:r>
          </w:p>
        </w:tc>
      </w:tr>
      <w:tr w:rsidTr="0084488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BoldandItalics"/>
              </w:rPr>
              <w:t>Accounting standards</w:t>
            </w:r>
            <w:r w:rsidRPr="00837F87">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Australian Accounting Standards</w:t>
            </w:r>
          </w:p>
          <w:p w:rsidR="00000000" w:rsidP="00837F87">
            <w:pPr>
              <w:pStyle w:val="ListBullet"/>
              <w:rPr>
                <w:lang w:val="en-NZ"/>
              </w:rPr>
            </w:pPr>
            <w:r w:rsidRPr="00837F87">
              <w:t>Australian Accounting Standards Board (AASB) requirements.</w:t>
            </w:r>
          </w:p>
        </w:tc>
      </w:tr>
      <w:tr w:rsidTr="0084488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BoldandItalics"/>
              </w:rPr>
              <w:t>Conversion and consolidation procedures</w:t>
            </w:r>
            <w:r w:rsidRPr="00837F87">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consolidation of a wholly owned subsidiary</w:t>
            </w:r>
          </w:p>
          <w:p w:rsidR="00000000" w:rsidP="00837F87">
            <w:pPr>
              <w:pStyle w:val="ListBullet"/>
              <w:rPr>
                <w:lang w:val="en-NZ"/>
              </w:rPr>
            </w:pPr>
            <w:r w:rsidRPr="00837F87">
              <w:t>purchase of the business by a company.</w:t>
            </w:r>
          </w:p>
        </w:tc>
      </w:tr>
      <w:tr w:rsidTr="0084488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BoldandItalics"/>
              </w:rPr>
              <w:t>Organisational policies and procedures</w:t>
            </w:r>
            <w:r w:rsidRPr="00837F87">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accoun</w:t>
            </w:r>
            <w:r w:rsidRPr="00837F87">
              <w:t>ting procedures manuals</w:t>
            </w:r>
          </w:p>
          <w:p w:rsidR="00000000" w:rsidRPr="00837F87" w:rsidP="00837F87">
            <w:pPr>
              <w:pStyle w:val="ListBullet"/>
            </w:pPr>
            <w:r w:rsidRPr="00837F87">
              <w:t>ethical requirements</w:t>
            </w:r>
          </w:p>
          <w:p w:rsidR="00000000" w:rsidP="00837F87">
            <w:pPr>
              <w:pStyle w:val="ListBullet"/>
              <w:rPr>
                <w:lang w:val="en-NZ"/>
              </w:rPr>
            </w:pPr>
            <w:r w:rsidRPr="00837F87">
              <w:t>reporting requirements.</w:t>
            </w:r>
          </w:p>
        </w:tc>
      </w:tr>
      <w:tr w:rsidTr="0084488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BoldandItalics"/>
              </w:rPr>
              <w:t>Formats of reports</w:t>
            </w:r>
            <w:r w:rsidRPr="00837F87">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cash flow statements</w:t>
            </w:r>
          </w:p>
          <w:p w:rsidR="00000000" w:rsidRPr="00837F87" w:rsidP="00837F87">
            <w:pPr>
              <w:pStyle w:val="ListBullet"/>
            </w:pPr>
            <w:r w:rsidRPr="00837F87">
              <w:t>electronic forms</w:t>
            </w:r>
          </w:p>
          <w:p w:rsidR="00000000" w:rsidRPr="00837F87" w:rsidP="00837F87">
            <w:pPr>
              <w:pStyle w:val="ListBullet"/>
            </w:pPr>
            <w:r w:rsidRPr="00837F87">
              <w:t>financial year reports</w:t>
            </w:r>
          </w:p>
          <w:p w:rsidR="00000000" w:rsidRPr="00837F87" w:rsidP="00837F87">
            <w:pPr>
              <w:pStyle w:val="ListBullet"/>
            </w:pPr>
            <w:r w:rsidRPr="00837F87">
              <w:t>statements of financial performance</w:t>
            </w:r>
          </w:p>
          <w:p w:rsidR="00000000" w:rsidRPr="00837F87" w:rsidP="00837F87">
            <w:pPr>
              <w:pStyle w:val="ListBullet"/>
            </w:pPr>
            <w:r w:rsidRPr="00837F87">
              <w:t>statements of financial position</w:t>
            </w:r>
          </w:p>
          <w:p w:rsidR="00000000" w:rsidP="00837F87">
            <w:pPr>
              <w:pStyle w:val="ListBullet"/>
              <w:rPr>
                <w:lang w:val="en-NZ"/>
              </w:rPr>
            </w:pPr>
            <w:r w:rsidRPr="00837F87">
              <w:t>statutory forms.</w:t>
            </w:r>
          </w:p>
        </w:tc>
      </w:tr>
      <w:tr w:rsidTr="0084488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BoldandItalics"/>
              </w:rPr>
              <w:t>Statutory requirements</w:t>
            </w:r>
            <w:r w:rsidRPr="00837F87">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ListBullet"/>
            </w:pPr>
            <w:r w:rsidRPr="00837F87">
              <w:t>delegated authorities</w:t>
            </w:r>
          </w:p>
          <w:p w:rsidR="00000000" w:rsidRPr="00837F87" w:rsidP="00837F87">
            <w:pPr>
              <w:pStyle w:val="ListBullet"/>
            </w:pPr>
            <w:r w:rsidRPr="00837F87">
              <w:t>reporting periods</w:t>
            </w:r>
          </w:p>
          <w:p w:rsidR="00000000" w:rsidRPr="00837F87" w:rsidP="00837F87">
            <w:pPr>
              <w:pStyle w:val="ListBullet"/>
            </w:pPr>
            <w:r w:rsidRPr="00837F87">
              <w:t>taxation payment timings.</w:t>
            </w:r>
          </w:p>
        </w:tc>
      </w:tr>
    </w:tbl>
    <w:p w:rsidR="0084488B" w:rsidP="00837F87">
      <w:pPr>
        <w:pStyle w:val="BodyText"/>
      </w:pPr>
    </w:p>
    <w:p w:rsidR="0084488B" w:rsidP="00837F87">
      <w:pPr>
        <w:pStyle w:val="BodyText"/>
      </w:pPr>
    </w:p>
    <w:p w:rsidR="00000000" w:rsidRPr="00837F87" w:rsidP="00837F87">
      <w:pPr>
        <w:pStyle w:val="Heading1"/>
      </w:pPr>
      <w:bookmarkStart w:id="12" w:name="O_77126"/>
      <w:bookmarkEnd w:id="12"/>
      <w:r w:rsidRPr="00837F87">
        <w:t>Unit Sector(s)</w:t>
      </w:r>
    </w:p>
    <w:tbl>
      <w:tblPr>
        <w:tblW w:w="0" w:type="auto"/>
        <w:tblLayout w:type="fixed"/>
        <w:tblCellMar>
          <w:left w:w="62" w:type="dxa"/>
          <w:right w:w="62" w:type="dxa"/>
        </w:tblCellMar>
        <w:tblLook w:val="0000"/>
      </w:tblPr>
      <w:tblGrid>
        <w:gridCol w:w="2607"/>
        <w:gridCol w:w="5915"/>
      </w:tblGrid>
      <w:tr w:rsidTr="0084488B">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r w:rsidRPr="00837F87">
              <w:t>Accounting</w:t>
            </w: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13" w:name="O_156093"/>
      <w:bookmarkEnd w:id="13"/>
      <w:r w:rsidRPr="00837F87">
        <w:t>Competency field</w:t>
      </w:r>
    </w:p>
    <w:tbl>
      <w:tblPr>
        <w:tblW w:w="0" w:type="auto"/>
        <w:tblLayout w:type="fixed"/>
        <w:tblCellMar>
          <w:left w:w="62" w:type="dxa"/>
          <w:right w:w="62" w:type="dxa"/>
        </w:tblCellMar>
        <w:tblLook w:val="0000"/>
      </w:tblPr>
      <w:tblGrid>
        <w:gridCol w:w="2784"/>
        <w:gridCol w:w="5738"/>
      </w:tblGrid>
      <w:tr w:rsidTr="008448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p>
        </w:tc>
      </w:tr>
    </w:tbl>
    <w:p w:rsidR="00000000" w:rsidRPr="00837F87" w:rsidP="00837F87">
      <w:pPr>
        <w:pStyle w:val="BodyText"/>
      </w:pPr>
    </w:p>
    <w:p w:rsidR="00000000" w:rsidRPr="00837F87" w:rsidP="00837F87">
      <w:pPr>
        <w:pStyle w:val="AllowPageBreak"/>
      </w:pPr>
    </w:p>
    <w:p w:rsidR="00000000" w:rsidRPr="00837F87" w:rsidP="00837F87">
      <w:pPr>
        <w:pStyle w:val="Heading1"/>
      </w:pPr>
      <w:bookmarkStart w:id="14" w:name="O_156092"/>
      <w:bookmarkEnd w:id="14"/>
      <w:r w:rsidRPr="00837F87">
        <w:t>Co-requisite units</w:t>
      </w:r>
    </w:p>
    <w:tbl>
      <w:tblPr>
        <w:tblW w:w="0" w:type="auto"/>
        <w:tblLayout w:type="fixed"/>
        <w:tblCellMar>
          <w:left w:w="62" w:type="dxa"/>
          <w:right w:w="62" w:type="dxa"/>
        </w:tblCellMar>
        <w:tblLook w:val="0000"/>
      </w:tblPr>
      <w:tblGrid>
        <w:gridCol w:w="2641"/>
        <w:gridCol w:w="1322"/>
        <w:gridCol w:w="4559"/>
      </w:tblGrid>
      <w:tr w:rsidTr="008448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r w:rsidRPr="00837F87">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F87">
            <w:pPr>
              <w:pStyle w:val="BodyText"/>
              <w:rPr>
                <w:lang w:val="en-NZ"/>
              </w:rPr>
            </w:pPr>
          </w:p>
        </w:tc>
      </w:tr>
      <w:tr w:rsidTr="008448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F87" w:rsidP="00837F87">
            <w:pPr>
              <w:pStyle w:val="BodyText"/>
            </w:pPr>
          </w:p>
        </w:tc>
      </w:tr>
    </w:tbl>
    <w:p w:rsidR="00000000" w:rsidRPr="00837F87" w:rsidP="00837F87">
      <w:pPr>
        <w:pStyle w:val="BodyText"/>
      </w:pPr>
    </w:p>
    <w:p w:rsidR="00000000" w:rsidRPr="00837F87" w:rsidP="00837F87"/>
    <w:sectPr w:rsidSect="00837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88B" w:rsidP="00844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8B" w:rsidP="00837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488B" w:rsidP="00837F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488B" w:rsidP="00837F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88B" w:rsidP="008448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8B" w:rsidP="00837F87">
    <w:pPr>
      <w:pStyle w:val="Header"/>
      <w:framePr w:wrap="around"/>
    </w:pPr>
    <w:r>
      <w:fldChar w:fldCharType="begin"/>
    </w:r>
    <w:r>
      <w:instrText xml:space="preserve"> TITLE   \* MERGEFORMAT </w:instrText>
    </w:r>
    <w:r>
      <w:fldChar w:fldCharType="separate"/>
    </w:r>
    <w:r>
      <w:t>FNSACC504A Prepare financial reports for corporate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88B" w:rsidP="00837F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43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CD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0A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F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7F87"/>
    <w:pPr>
      <w:spacing w:before="360" w:after="60"/>
      <w:outlineLvl w:val="0"/>
    </w:pPr>
    <w:rPr>
      <w:sz w:val="32"/>
    </w:rPr>
  </w:style>
  <w:style w:type="paragraph" w:styleId="Heading2">
    <w:name w:val="heading 2"/>
    <w:basedOn w:val="HeadingBase"/>
    <w:next w:val="BodyText"/>
    <w:link w:val="Heading2Char"/>
    <w:qFormat/>
    <w:rsid w:val="00837F87"/>
    <w:pPr>
      <w:keepLines/>
      <w:spacing w:before="240" w:after="120"/>
      <w:outlineLvl w:val="1"/>
    </w:pPr>
    <w:rPr>
      <w:sz w:val="28"/>
      <w:szCs w:val="40"/>
    </w:rPr>
  </w:style>
  <w:style w:type="paragraph" w:styleId="Heading3">
    <w:name w:val="heading 3"/>
    <w:basedOn w:val="HeadingBase"/>
    <w:next w:val="BodyText"/>
    <w:link w:val="Heading3Char"/>
    <w:qFormat/>
    <w:rsid w:val="00837F87"/>
    <w:pPr>
      <w:spacing w:before="180" w:after="120"/>
      <w:outlineLvl w:val="2"/>
    </w:pPr>
    <w:rPr>
      <w:spacing w:val="-10"/>
      <w:kern w:val="32"/>
    </w:rPr>
  </w:style>
  <w:style w:type="paragraph" w:styleId="Heading4">
    <w:name w:val="heading 4"/>
    <w:basedOn w:val="HeadingBase"/>
    <w:next w:val="BodyText"/>
    <w:link w:val="Heading4Char"/>
    <w:qFormat/>
    <w:rsid w:val="00837F87"/>
    <w:pPr>
      <w:spacing w:before="160" w:after="120"/>
      <w:outlineLvl w:val="3"/>
    </w:pPr>
    <w:rPr>
      <w:sz w:val="22"/>
    </w:rPr>
  </w:style>
  <w:style w:type="paragraph" w:styleId="Heading5">
    <w:name w:val="heading 5"/>
    <w:basedOn w:val="HeadingBase"/>
    <w:next w:val="Normal"/>
    <w:link w:val="Heading5Char"/>
    <w:qFormat/>
    <w:rsid w:val="00837F87"/>
    <w:pPr>
      <w:spacing w:before="80"/>
      <w:outlineLvl w:val="4"/>
    </w:pPr>
    <w:rPr>
      <w:color w:val="918585"/>
      <w:sz w:val="20"/>
    </w:rPr>
  </w:style>
  <w:style w:type="paragraph" w:styleId="Heading6">
    <w:name w:val="heading 6"/>
    <w:basedOn w:val="HeadingBase"/>
    <w:next w:val="Normal"/>
    <w:link w:val="Heading6Char"/>
    <w:qFormat/>
    <w:rsid w:val="00837F87"/>
    <w:pPr>
      <w:spacing w:before="60"/>
      <w:outlineLvl w:val="5"/>
    </w:pPr>
    <w:rPr>
      <w:color w:val="918585"/>
      <w:sz w:val="20"/>
    </w:rPr>
  </w:style>
  <w:style w:type="paragraph" w:styleId="Heading7">
    <w:name w:val="heading 7"/>
    <w:basedOn w:val="Normal"/>
    <w:next w:val="Normal"/>
    <w:link w:val="Heading7Char"/>
    <w:qFormat/>
    <w:rsid w:val="00837F87"/>
    <w:pPr>
      <w:ind w:left="720"/>
      <w:outlineLvl w:val="6"/>
    </w:pPr>
    <w:rPr>
      <w:i/>
    </w:rPr>
  </w:style>
  <w:style w:type="paragraph" w:styleId="Heading8">
    <w:name w:val="heading 8"/>
    <w:basedOn w:val="Normal"/>
    <w:next w:val="Normal"/>
    <w:link w:val="Heading8Char"/>
    <w:qFormat/>
    <w:rsid w:val="00837F87"/>
    <w:pPr>
      <w:ind w:left="720"/>
      <w:outlineLvl w:val="7"/>
    </w:pPr>
    <w:rPr>
      <w:i/>
    </w:rPr>
  </w:style>
  <w:style w:type="paragraph" w:styleId="Heading9">
    <w:name w:val="heading 9"/>
    <w:basedOn w:val="Normal"/>
    <w:next w:val="Normal"/>
    <w:link w:val="Heading9Char"/>
    <w:qFormat/>
    <w:rsid w:val="00837F87"/>
    <w:pPr>
      <w:ind w:left="720"/>
      <w:outlineLvl w:val="8"/>
    </w:pPr>
    <w:rPr>
      <w:i/>
    </w:rPr>
  </w:style>
  <w:style w:type="character" w:default="1" w:styleId="DefaultParagraphFont">
    <w:name w:val="Default Paragraph Font"/>
    <w:uiPriority w:val="1"/>
    <w:unhideWhenUsed/>
    <w:rsid w:val="00837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F87"/>
  </w:style>
  <w:style w:type="character" w:customStyle="1" w:styleId="Heading1Char">
    <w:name w:val="Heading 1 Char"/>
    <w:basedOn w:val="DefaultParagraphFont"/>
    <w:link w:val="Heading1"/>
    <w:rsid w:val="00837F87"/>
    <w:rPr>
      <w:rFonts w:ascii="Times New Roman" w:eastAsia="Times New Roman" w:hAnsi="Times New Roman" w:cs="Times New Roman"/>
      <w:b/>
      <w:sz w:val="32"/>
      <w:szCs w:val="20"/>
      <w:lang w:eastAsia="en-US"/>
    </w:rPr>
  </w:style>
  <w:style w:type="paragraph" w:styleId="BodyText">
    <w:name w:val="Body Text"/>
    <w:basedOn w:val="Normal"/>
    <w:link w:val="BodyTextChar"/>
    <w:rsid w:val="00837F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F87"/>
    <w:rPr>
      <w:rFonts w:ascii="Times New Roman" w:eastAsia="Times New Roman" w:hAnsi="Times New Roman" w:cs="Times New Roman"/>
      <w:sz w:val="24"/>
      <w:lang w:val="en-US" w:eastAsia="en-US"/>
    </w:rPr>
  </w:style>
  <w:style w:type="paragraph" w:styleId="Footer">
    <w:name w:val="footer"/>
    <w:basedOn w:val="Normal"/>
    <w:link w:val="FooterChar"/>
    <w:rsid w:val="00837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F87"/>
    <w:rPr>
      <w:rFonts w:ascii="Times New Roman" w:eastAsia="Times New Roman" w:hAnsi="Times New Roman" w:cs="Times New Roman"/>
      <w:sz w:val="16"/>
      <w:lang w:val="en-US" w:eastAsia="en-US"/>
    </w:rPr>
  </w:style>
  <w:style w:type="paragraph" w:styleId="List">
    <w:name w:val="List"/>
    <w:basedOn w:val="BodyText"/>
    <w:next w:val="BodyText"/>
    <w:rsid w:val="00837F87"/>
    <w:pPr>
      <w:tabs>
        <w:tab w:val="left" w:pos="340"/>
      </w:tabs>
      <w:spacing w:before="60" w:after="60"/>
      <w:ind w:left="340" w:hanging="340"/>
    </w:pPr>
  </w:style>
  <w:style w:type="paragraph" w:styleId="ListBullet">
    <w:name w:val="List Bullet"/>
    <w:basedOn w:val="List"/>
    <w:rsid w:val="00837F87"/>
    <w:pPr>
      <w:numPr>
        <w:numId w:val="13"/>
      </w:numPr>
      <w:tabs>
        <w:tab w:val="clear" w:pos="340"/>
      </w:tabs>
      <w:spacing w:before="40" w:after="40"/>
    </w:pPr>
  </w:style>
  <w:style w:type="character" w:customStyle="1" w:styleId="SpecialBold">
    <w:name w:val="Special Bold"/>
    <w:basedOn w:val="DefaultParagraphFont"/>
    <w:rsid w:val="00837F87"/>
    <w:rPr>
      <w:b/>
      <w:spacing w:val="0"/>
    </w:rPr>
  </w:style>
  <w:style w:type="paragraph" w:styleId="ListBullet2">
    <w:name w:val="List Bullet 2"/>
    <w:basedOn w:val="List2"/>
    <w:rsid w:val="00837F87"/>
    <w:pPr>
      <w:numPr>
        <w:numId w:val="14"/>
      </w:numPr>
      <w:tabs>
        <w:tab w:val="clear" w:pos="680"/>
      </w:tabs>
    </w:pPr>
  </w:style>
  <w:style w:type="paragraph" w:styleId="Header">
    <w:name w:val="header"/>
    <w:basedOn w:val="Normal"/>
    <w:link w:val="HeaderChar"/>
    <w:rsid w:val="00837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F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7F87"/>
    <w:pPr>
      <w:spacing w:before="240" w:after="120"/>
      <w:outlineLvl w:val="0"/>
    </w:pPr>
    <w:rPr>
      <w:rFonts w:ascii="Times New Roman" w:hAnsi="Times New Roman"/>
      <w:b/>
      <w:sz w:val="28"/>
    </w:rPr>
  </w:style>
  <w:style w:type="paragraph" w:customStyle="1" w:styleId="AllowPageBreak">
    <w:name w:val="AllowPageBreak"/>
    <w:rsid w:val="00837F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F87"/>
    <w:pPr>
      <w:tabs>
        <w:tab w:val="left" w:pos="680"/>
      </w:tabs>
      <w:spacing w:before="60" w:after="60"/>
      <w:ind w:left="680" w:hanging="340"/>
    </w:pPr>
  </w:style>
  <w:style w:type="character" w:customStyle="1" w:styleId="BoldandItalics">
    <w:name w:val="Bold and Italics"/>
    <w:qFormat/>
    <w:rsid w:val="00837F87"/>
    <w:rPr>
      <w:b/>
      <w:i/>
      <w:u w:val="none"/>
    </w:rPr>
  </w:style>
  <w:style w:type="character" w:customStyle="1" w:styleId="Heading2Char">
    <w:name w:val="Heading 2 Char"/>
    <w:basedOn w:val="DefaultParagraphFont"/>
    <w:link w:val="Heading2"/>
    <w:rsid w:val="00837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F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7F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7F87"/>
    <w:rPr>
      <w:rFonts w:ascii="Courier New" w:eastAsia="Times New Roman" w:hAnsi="Courier New" w:cs="Times New Roman"/>
      <w:i/>
      <w:szCs w:val="20"/>
      <w:lang w:val="en-US" w:eastAsia="en-US"/>
    </w:rPr>
  </w:style>
  <w:style w:type="paragraph" w:customStyle="1" w:styleId="HeadingBase">
    <w:name w:val="Heading Base"/>
    <w:rsid w:val="00837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F87"/>
    <w:pPr>
      <w:tabs>
        <w:tab w:val="right" w:leader="dot" w:pos="9072"/>
      </w:tabs>
      <w:ind w:left="567"/>
    </w:pPr>
    <w:rPr>
      <w:szCs w:val="22"/>
    </w:rPr>
  </w:style>
  <w:style w:type="paragraph" w:customStyle="1" w:styleId="TOCBase">
    <w:name w:val="TOC Base"/>
    <w:rsid w:val="00837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F87"/>
    <w:pPr>
      <w:tabs>
        <w:tab w:val="right" w:leader="dot" w:pos="9072"/>
      </w:tabs>
      <w:spacing w:before="40" w:after="40"/>
      <w:ind w:left="284"/>
    </w:pPr>
    <w:rPr>
      <w:rFonts w:ascii="Times New Roman" w:hAnsi="Times New Roman"/>
    </w:rPr>
  </w:style>
  <w:style w:type="paragraph" w:styleId="TOC1">
    <w:name w:val="toc 1"/>
    <w:basedOn w:val="TOCBase"/>
    <w:next w:val="Normal"/>
    <w:rsid w:val="00837F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F87"/>
    <w:pPr>
      <w:spacing w:before="5040"/>
      <w:jc w:val="center"/>
    </w:pPr>
    <w:rPr>
      <w:sz w:val="48"/>
      <w:szCs w:val="72"/>
      <w:lang w:val="en-US"/>
    </w:rPr>
  </w:style>
  <w:style w:type="character" w:customStyle="1" w:styleId="TitleChar">
    <w:name w:val="Title Char"/>
    <w:basedOn w:val="DefaultParagraphFont"/>
    <w:link w:val="Title"/>
    <w:rsid w:val="00837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F87"/>
    <w:pPr>
      <w:tabs>
        <w:tab w:val="left" w:pos="3600"/>
        <w:tab w:val="left" w:pos="3958"/>
      </w:tabs>
    </w:pPr>
  </w:style>
  <w:style w:type="paragraph" w:customStyle="1" w:styleId="Note">
    <w:name w:val="Note"/>
    <w:basedOn w:val="BodyText"/>
    <w:rsid w:val="00837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F87"/>
    <w:pPr>
      <w:framePr w:wrap="auto" w:hAnchor="text" w:y="6049"/>
    </w:pPr>
    <w:rPr>
      <w:color w:val="000000"/>
      <w:sz w:val="40"/>
    </w:rPr>
  </w:style>
  <w:style w:type="paragraph" w:customStyle="1" w:styleId="TOCTitle">
    <w:name w:val="TOCTitle"/>
    <w:basedOn w:val="Heading1"/>
    <w:rsid w:val="00837F87"/>
    <w:pPr>
      <w:spacing w:after="240"/>
      <w:jc w:val="center"/>
      <w:outlineLvl w:val="9"/>
    </w:pPr>
    <w:rPr>
      <w:caps/>
    </w:rPr>
  </w:style>
  <w:style w:type="paragraph" w:customStyle="1" w:styleId="Version">
    <w:name w:val="Version"/>
    <w:rsid w:val="00837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F87"/>
    <w:pPr>
      <w:keepNext w:val="0"/>
      <w:tabs>
        <w:tab w:val="right" w:pos="4176"/>
      </w:tabs>
      <w:ind w:left="198" w:hanging="198"/>
    </w:pPr>
    <w:rPr>
      <w:rFonts w:ascii="Garamond" w:hAnsi="Garamond"/>
    </w:rPr>
  </w:style>
  <w:style w:type="paragraph" w:styleId="IndexHeading">
    <w:name w:val="index heading"/>
    <w:basedOn w:val="Normal"/>
    <w:next w:val="Index1"/>
    <w:semiHidden/>
    <w:rsid w:val="00837F87"/>
    <w:pPr>
      <w:spacing w:before="120" w:after="120"/>
    </w:pPr>
    <w:rPr>
      <w:rFonts w:ascii="Arial" w:hAnsi="Arial"/>
      <w:b/>
      <w:color w:val="918585"/>
      <w:sz w:val="24"/>
    </w:rPr>
  </w:style>
  <w:style w:type="paragraph" w:customStyle="1" w:styleId="Chapter">
    <w:name w:val="Chapter"/>
    <w:basedOn w:val="Normal"/>
    <w:rsid w:val="00837F87"/>
    <w:pPr>
      <w:spacing w:before="240"/>
    </w:pPr>
    <w:rPr>
      <w:rFonts w:ascii="Times New Roman" w:hAnsi="Times New Roman"/>
      <w:smallCaps/>
      <w:spacing w:val="80"/>
      <w:sz w:val="28"/>
    </w:rPr>
  </w:style>
  <w:style w:type="paragraph" w:customStyle="1" w:styleId="InChapter">
    <w:name w:val="InChapter"/>
    <w:basedOn w:val="Heading3"/>
    <w:rsid w:val="00837F87"/>
    <w:pPr>
      <w:spacing w:after="240"/>
      <w:outlineLvl w:val="9"/>
    </w:pPr>
    <w:rPr>
      <w:noProof/>
    </w:rPr>
  </w:style>
  <w:style w:type="paragraph" w:styleId="Index2">
    <w:name w:val="index 2"/>
    <w:basedOn w:val="Normal"/>
    <w:next w:val="Normal"/>
    <w:semiHidden/>
    <w:rsid w:val="00837F87"/>
    <w:pPr>
      <w:tabs>
        <w:tab w:val="right" w:pos="4176"/>
      </w:tabs>
      <w:ind w:left="568" w:hanging="284"/>
    </w:pPr>
    <w:rPr>
      <w:rFonts w:ascii="Garamond" w:hAnsi="Garamond"/>
    </w:rPr>
  </w:style>
  <w:style w:type="paragraph" w:customStyle="1" w:styleId="Byline">
    <w:name w:val="Byline"/>
    <w:rsid w:val="00837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F87"/>
    <w:pPr>
      <w:tabs>
        <w:tab w:val="clear" w:pos="3600"/>
        <w:tab w:val="clear" w:pos="3958"/>
      </w:tabs>
      <w:jc w:val="right"/>
    </w:pPr>
  </w:style>
  <w:style w:type="character" w:styleId="Emphasis">
    <w:name w:val="Emphasis"/>
    <w:basedOn w:val="DefaultParagraphFont"/>
    <w:qFormat/>
    <w:rsid w:val="00837F87"/>
    <w:rPr>
      <w:i/>
    </w:rPr>
  </w:style>
  <w:style w:type="paragraph" w:styleId="Caption">
    <w:name w:val="caption"/>
    <w:basedOn w:val="BodyText"/>
    <w:next w:val="Normal"/>
    <w:qFormat/>
    <w:rsid w:val="00837F87"/>
    <w:pPr>
      <w:framePr w:w="2268" w:hSpace="181" w:vSpace="181" w:wrap="around" w:vAnchor="text" w:hAnchor="page" w:x="1135" w:y="285" w:anchorLock="1"/>
    </w:pPr>
    <w:rPr>
      <w:i/>
    </w:rPr>
  </w:style>
  <w:style w:type="paragraph" w:customStyle="1" w:styleId="MiniTOCTitle">
    <w:name w:val="MiniTOCTitle"/>
    <w:basedOn w:val="Heading4"/>
    <w:rsid w:val="00837F87"/>
    <w:pPr>
      <w:spacing w:before="240"/>
      <w:outlineLvl w:val="9"/>
    </w:pPr>
    <w:rPr>
      <w:noProof/>
      <w:sz w:val="24"/>
    </w:rPr>
  </w:style>
  <w:style w:type="paragraph" w:customStyle="1" w:styleId="MiniTOCItem">
    <w:name w:val="MiniTOCItem"/>
    <w:basedOn w:val="ListBullet"/>
    <w:rsid w:val="00837F87"/>
    <w:pPr>
      <w:numPr>
        <w:numId w:val="0"/>
      </w:numPr>
      <w:tabs>
        <w:tab w:val="right" w:leader="dot" w:pos="6521"/>
      </w:tabs>
      <w:spacing w:before="0" w:after="0"/>
    </w:pPr>
  </w:style>
  <w:style w:type="paragraph" w:customStyle="1" w:styleId="TOFTitle">
    <w:name w:val="TOFTitle"/>
    <w:basedOn w:val="TOCTitle"/>
    <w:rsid w:val="00837F87"/>
  </w:style>
  <w:style w:type="paragraph" w:styleId="TableofFigures">
    <w:name w:val="table of figures"/>
    <w:basedOn w:val="Normal"/>
    <w:next w:val="Normal"/>
    <w:semiHidden/>
    <w:rsid w:val="00837F87"/>
    <w:pPr>
      <w:tabs>
        <w:tab w:val="right" w:leader="dot" w:pos="9072"/>
      </w:tabs>
      <w:ind w:left="970" w:hanging="403"/>
    </w:pPr>
    <w:rPr>
      <w:rFonts w:ascii="Times New Roman" w:hAnsi="Times New Roman"/>
      <w:b/>
    </w:rPr>
  </w:style>
  <w:style w:type="paragraph" w:styleId="ListNumber">
    <w:name w:val="List Number"/>
    <w:basedOn w:val="List"/>
    <w:rsid w:val="00837F87"/>
    <w:pPr>
      <w:numPr>
        <w:numId w:val="11"/>
      </w:numPr>
    </w:pPr>
  </w:style>
  <w:style w:type="character" w:customStyle="1" w:styleId="WingdingSymbols">
    <w:name w:val="Wingding Symbols"/>
    <w:rsid w:val="00837F87"/>
    <w:rPr>
      <w:rFonts w:ascii="Wingdings" w:hAnsi="Wingdings"/>
    </w:rPr>
  </w:style>
  <w:style w:type="paragraph" w:customStyle="1" w:styleId="TableHeading">
    <w:name w:val="Table Heading"/>
    <w:basedOn w:val="HeadingBase"/>
    <w:rsid w:val="00837F87"/>
    <w:pPr>
      <w:keepLines/>
      <w:pBdr>
        <w:bottom w:val="single" w:sz="6" w:space="1" w:color="918585"/>
      </w:pBdr>
      <w:spacing w:before="240"/>
    </w:pPr>
  </w:style>
  <w:style w:type="character" w:customStyle="1" w:styleId="HotSpot">
    <w:name w:val="HotSpot"/>
    <w:rsid w:val="00837F87"/>
    <w:rPr>
      <w:color w:val="0033CC"/>
      <w:u w:val="none"/>
    </w:rPr>
  </w:style>
  <w:style w:type="paragraph" w:customStyle="1" w:styleId="BodyTextRight">
    <w:name w:val="Body Text Right"/>
    <w:basedOn w:val="BodyText"/>
    <w:rsid w:val="00837F87"/>
    <w:pPr>
      <w:spacing w:before="0" w:after="0"/>
      <w:jc w:val="right"/>
    </w:pPr>
  </w:style>
  <w:style w:type="paragraph" w:styleId="Index3">
    <w:name w:val="index 3"/>
    <w:basedOn w:val="ListNumber2"/>
    <w:next w:val="Normal"/>
    <w:semiHidden/>
    <w:rsid w:val="00837F87"/>
    <w:pPr>
      <w:numPr>
        <w:numId w:val="0"/>
      </w:numPr>
      <w:tabs>
        <w:tab w:val="right" w:leader="dot" w:pos="4176"/>
      </w:tabs>
    </w:pPr>
  </w:style>
  <w:style w:type="paragraph" w:styleId="ListNumber2">
    <w:name w:val="List Number 2"/>
    <w:basedOn w:val="List2"/>
    <w:rsid w:val="00837F87"/>
    <w:pPr>
      <w:numPr>
        <w:numId w:val="10"/>
      </w:numPr>
      <w:tabs>
        <w:tab w:val="clear" w:pos="1060"/>
      </w:tabs>
    </w:pPr>
  </w:style>
  <w:style w:type="paragraph" w:customStyle="1" w:styleId="MarginNote">
    <w:name w:val="Margin Note"/>
    <w:basedOn w:val="BodyText"/>
    <w:rsid w:val="00837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F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7F87"/>
    <w:rPr>
      <w:sz w:val="32"/>
    </w:rPr>
  </w:style>
  <w:style w:type="paragraph" w:customStyle="1" w:styleId="HeadingProcedure">
    <w:name w:val="Heading Procedure"/>
    <w:basedOn w:val="HeadingBase"/>
    <w:next w:val="Normal"/>
    <w:rsid w:val="00837F87"/>
    <w:pPr>
      <w:tabs>
        <w:tab w:val="left" w:pos="0"/>
      </w:tabs>
      <w:spacing w:before="120" w:after="60"/>
    </w:pPr>
    <w:rPr>
      <w:i/>
      <w:color w:val="918585"/>
      <w:sz w:val="22"/>
    </w:rPr>
  </w:style>
  <w:style w:type="paragraph" w:customStyle="1" w:styleId="TableBodyText">
    <w:name w:val="Table Body Text"/>
    <w:basedOn w:val="BodyText"/>
    <w:rsid w:val="00837F87"/>
    <w:pPr>
      <w:spacing w:before="60" w:after="60"/>
    </w:pPr>
  </w:style>
  <w:style w:type="paragraph" w:styleId="ListContinue">
    <w:name w:val="List Continue"/>
    <w:basedOn w:val="List"/>
    <w:rsid w:val="00837F87"/>
    <w:pPr>
      <w:ind w:firstLine="0"/>
    </w:pPr>
  </w:style>
  <w:style w:type="paragraph" w:customStyle="1" w:styleId="ListNote">
    <w:name w:val="List Note"/>
    <w:basedOn w:val="List"/>
    <w:rsid w:val="00837F87"/>
    <w:pPr>
      <w:pBdr>
        <w:top w:val="single" w:sz="6" w:space="2" w:color="918585"/>
        <w:bottom w:val="single" w:sz="6" w:space="2" w:color="918585"/>
      </w:pBdr>
      <w:tabs>
        <w:tab w:val="left" w:pos="1021"/>
      </w:tabs>
      <w:ind w:firstLine="0"/>
    </w:pPr>
  </w:style>
  <w:style w:type="paragraph" w:customStyle="1" w:styleId="Warning">
    <w:name w:val="Warning"/>
    <w:basedOn w:val="BodyText"/>
    <w:rsid w:val="00837F87"/>
    <w:pPr>
      <w:shd w:val="clear" w:color="auto" w:fill="D9D9D9"/>
      <w:tabs>
        <w:tab w:val="left" w:pos="992"/>
      </w:tabs>
      <w:ind w:left="119" w:right="119"/>
    </w:pPr>
    <w:rPr>
      <w:sz w:val="20"/>
    </w:rPr>
  </w:style>
  <w:style w:type="paragraph" w:customStyle="1" w:styleId="MarginIcons">
    <w:name w:val="Margin Icons"/>
    <w:basedOn w:val="BodyText"/>
    <w:rsid w:val="00837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F87"/>
    <w:rPr>
      <w:rFonts w:ascii="Courier New" w:hAnsi="Courier New"/>
    </w:rPr>
  </w:style>
  <w:style w:type="paragraph" w:customStyle="1" w:styleId="NoteBullet">
    <w:name w:val="Note Bullet"/>
    <w:basedOn w:val="Note"/>
    <w:rsid w:val="00837F87"/>
    <w:pPr>
      <w:tabs>
        <w:tab w:val="clear" w:pos="680"/>
      </w:tabs>
      <w:spacing w:before="60" w:after="60"/>
    </w:pPr>
  </w:style>
  <w:style w:type="paragraph" w:customStyle="1" w:styleId="SubHeading2">
    <w:name w:val="SubHeading2"/>
    <w:basedOn w:val="HeadingBase"/>
    <w:rsid w:val="00837F87"/>
    <w:pPr>
      <w:spacing w:before="240" w:after="60"/>
    </w:pPr>
    <w:rPr>
      <w:sz w:val="20"/>
    </w:rPr>
  </w:style>
  <w:style w:type="paragraph" w:customStyle="1" w:styleId="SubHeading1">
    <w:name w:val="SubHeading1"/>
    <w:basedOn w:val="HeadingBase"/>
    <w:rsid w:val="00837F87"/>
    <w:pPr>
      <w:spacing w:before="240" w:after="60"/>
    </w:pPr>
    <w:rPr>
      <w:color w:val="918585"/>
      <w:sz w:val="22"/>
    </w:rPr>
  </w:style>
  <w:style w:type="paragraph" w:customStyle="1" w:styleId="SideHeading">
    <w:name w:val="Side Heading"/>
    <w:basedOn w:val="HeadingBase"/>
    <w:rsid w:val="00837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F87"/>
    <w:pPr>
      <w:numPr>
        <w:numId w:val="12"/>
      </w:numPr>
    </w:pPr>
  </w:style>
  <w:style w:type="paragraph" w:styleId="PlainText">
    <w:name w:val="Plain Text"/>
    <w:basedOn w:val="Normal"/>
    <w:link w:val="PlainTextChar"/>
    <w:rsid w:val="00837F87"/>
    <w:rPr>
      <w:sz w:val="20"/>
    </w:rPr>
  </w:style>
  <w:style w:type="character" w:customStyle="1" w:styleId="PlainTextChar">
    <w:name w:val="Plain Text Char"/>
    <w:basedOn w:val="DefaultParagraphFont"/>
    <w:link w:val="PlainText"/>
    <w:rsid w:val="00837F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7F87"/>
    <w:rPr>
      <w:b/>
      <w:smallCaps/>
    </w:rPr>
  </w:style>
  <w:style w:type="paragraph" w:customStyle="1" w:styleId="TableListNumber">
    <w:name w:val="Table List Number"/>
    <w:basedOn w:val="ListNumber"/>
    <w:rsid w:val="00837F87"/>
    <w:pPr>
      <w:numPr>
        <w:numId w:val="0"/>
      </w:numPr>
    </w:pPr>
  </w:style>
  <w:style w:type="paragraph" w:styleId="TOC4">
    <w:name w:val="toc 4"/>
    <w:basedOn w:val="TOCBase"/>
    <w:next w:val="Normal"/>
    <w:semiHidden/>
    <w:rsid w:val="00837F87"/>
    <w:pPr>
      <w:tabs>
        <w:tab w:val="right" w:leader="dot" w:pos="9071"/>
      </w:tabs>
      <w:ind w:left="1701"/>
    </w:pPr>
  </w:style>
  <w:style w:type="paragraph" w:customStyle="1" w:styleId="ListAlpha">
    <w:name w:val="List Alpha"/>
    <w:basedOn w:val="List"/>
    <w:rsid w:val="00837F87"/>
    <w:pPr>
      <w:numPr>
        <w:numId w:val="9"/>
      </w:numPr>
    </w:pPr>
  </w:style>
  <w:style w:type="paragraph" w:customStyle="1" w:styleId="ListAlpha2">
    <w:name w:val="List Alpha 2"/>
    <w:basedOn w:val="List2"/>
    <w:rsid w:val="00837F87"/>
    <w:pPr>
      <w:numPr>
        <w:numId w:val="8"/>
      </w:numPr>
    </w:pPr>
  </w:style>
  <w:style w:type="paragraph" w:styleId="List3">
    <w:name w:val="List 3"/>
    <w:basedOn w:val="BodyText"/>
    <w:rsid w:val="00837F87"/>
    <w:pPr>
      <w:tabs>
        <w:tab w:val="left" w:pos="1021"/>
      </w:tabs>
      <w:spacing w:before="60" w:after="60"/>
      <w:ind w:left="1020" w:hanging="340"/>
    </w:pPr>
  </w:style>
  <w:style w:type="paragraph" w:styleId="List4">
    <w:name w:val="List 4"/>
    <w:basedOn w:val="BodyText"/>
    <w:rsid w:val="00837F87"/>
    <w:pPr>
      <w:tabs>
        <w:tab w:val="left" w:pos="1361"/>
      </w:tabs>
      <w:spacing w:before="60" w:after="60"/>
      <w:ind w:left="1361" w:hanging="340"/>
    </w:pPr>
  </w:style>
  <w:style w:type="paragraph" w:styleId="List5">
    <w:name w:val="List 5"/>
    <w:basedOn w:val="BodyText"/>
    <w:rsid w:val="00837F87"/>
    <w:pPr>
      <w:tabs>
        <w:tab w:val="left" w:pos="1701"/>
      </w:tabs>
      <w:spacing w:before="60" w:after="60"/>
      <w:ind w:left="1701" w:hanging="340"/>
    </w:pPr>
  </w:style>
  <w:style w:type="paragraph" w:styleId="ListBullet3">
    <w:name w:val="List Bullet 3"/>
    <w:basedOn w:val="List3"/>
    <w:rsid w:val="00837F87"/>
    <w:pPr>
      <w:numPr>
        <w:numId w:val="15"/>
      </w:numPr>
      <w:tabs>
        <w:tab w:val="clear" w:pos="1021"/>
      </w:tabs>
      <w:ind w:left="1037" w:hanging="357"/>
    </w:pPr>
  </w:style>
  <w:style w:type="paragraph" w:styleId="ListBullet4">
    <w:name w:val="List Bullet 4"/>
    <w:basedOn w:val="List4"/>
    <w:rsid w:val="00837F87"/>
    <w:pPr>
      <w:numPr>
        <w:numId w:val="3"/>
      </w:numPr>
    </w:pPr>
  </w:style>
  <w:style w:type="paragraph" w:styleId="ListBullet5">
    <w:name w:val="List Bullet 5"/>
    <w:basedOn w:val="List5"/>
    <w:rsid w:val="00837F87"/>
    <w:pPr>
      <w:numPr>
        <w:numId w:val="4"/>
      </w:numPr>
    </w:pPr>
  </w:style>
  <w:style w:type="paragraph" w:styleId="ListContinue2">
    <w:name w:val="List Continue 2"/>
    <w:basedOn w:val="List2"/>
    <w:rsid w:val="00837F87"/>
    <w:pPr>
      <w:ind w:firstLine="0"/>
    </w:pPr>
  </w:style>
  <w:style w:type="paragraph" w:styleId="ListContinue3">
    <w:name w:val="List Continue 3"/>
    <w:basedOn w:val="List3"/>
    <w:rsid w:val="00837F87"/>
    <w:pPr>
      <w:ind w:left="1021" w:firstLine="0"/>
    </w:pPr>
  </w:style>
  <w:style w:type="paragraph" w:styleId="ListContinue4">
    <w:name w:val="List Continue 4"/>
    <w:basedOn w:val="List4"/>
    <w:rsid w:val="00837F87"/>
    <w:pPr>
      <w:ind w:firstLine="0"/>
    </w:pPr>
  </w:style>
  <w:style w:type="paragraph" w:styleId="ListContinue5">
    <w:name w:val="List Continue 5"/>
    <w:basedOn w:val="List5"/>
    <w:rsid w:val="00837F87"/>
    <w:pPr>
      <w:ind w:firstLine="0"/>
    </w:pPr>
  </w:style>
  <w:style w:type="paragraph" w:styleId="ListNumber3">
    <w:name w:val="List Number 3"/>
    <w:basedOn w:val="List3"/>
    <w:rsid w:val="00837F87"/>
    <w:pPr>
      <w:numPr>
        <w:numId w:val="5"/>
      </w:numPr>
    </w:pPr>
  </w:style>
  <w:style w:type="paragraph" w:styleId="ListNumber4">
    <w:name w:val="List Number 4"/>
    <w:basedOn w:val="List4"/>
    <w:rsid w:val="00837F87"/>
    <w:pPr>
      <w:numPr>
        <w:numId w:val="6"/>
      </w:numPr>
    </w:pPr>
  </w:style>
  <w:style w:type="paragraph" w:styleId="ListNumber5">
    <w:name w:val="List Number 5"/>
    <w:basedOn w:val="List5"/>
    <w:rsid w:val="00837F87"/>
    <w:pPr>
      <w:numPr>
        <w:numId w:val="7"/>
      </w:numPr>
    </w:pPr>
  </w:style>
  <w:style w:type="paragraph" w:styleId="BlockText">
    <w:name w:val="Block Text"/>
    <w:basedOn w:val="Normal"/>
    <w:rsid w:val="00837F87"/>
    <w:pPr>
      <w:spacing w:after="120"/>
      <w:ind w:left="1440" w:right="1440"/>
    </w:pPr>
  </w:style>
  <w:style w:type="character" w:customStyle="1" w:styleId="Subscript">
    <w:name w:val="Subscript"/>
    <w:basedOn w:val="DefaultParagraphFont"/>
    <w:rsid w:val="00837F87"/>
    <w:rPr>
      <w:sz w:val="16"/>
      <w:vertAlign w:val="subscript"/>
    </w:rPr>
  </w:style>
  <w:style w:type="character" w:customStyle="1" w:styleId="Superscript">
    <w:name w:val="Superscript"/>
    <w:basedOn w:val="DefaultParagraphFont"/>
    <w:rsid w:val="00837F87"/>
    <w:rPr>
      <w:sz w:val="16"/>
      <w:vertAlign w:val="superscript"/>
    </w:rPr>
  </w:style>
  <w:style w:type="character" w:customStyle="1" w:styleId="Symbols">
    <w:name w:val="Symbols"/>
    <w:basedOn w:val="DefaultParagraphFont"/>
    <w:rsid w:val="00837F87"/>
    <w:rPr>
      <w:rFonts w:ascii="Symbol" w:hAnsi="Symbol"/>
    </w:rPr>
  </w:style>
  <w:style w:type="character" w:customStyle="1" w:styleId="MenuOptions">
    <w:name w:val="Menu Options"/>
    <w:basedOn w:val="DefaultParagraphFont"/>
    <w:rsid w:val="00837F87"/>
    <w:rPr>
      <w:rFonts w:ascii="Arial Narrow" w:hAnsi="Arial Narrow"/>
      <w:smallCaps/>
    </w:rPr>
  </w:style>
  <w:style w:type="character" w:customStyle="1" w:styleId="Buttons">
    <w:name w:val="Buttons"/>
    <w:basedOn w:val="DefaultParagraphFont"/>
    <w:rsid w:val="00837F87"/>
    <w:rPr>
      <w:b/>
    </w:rPr>
  </w:style>
  <w:style w:type="character" w:customStyle="1" w:styleId="Underlined">
    <w:name w:val="Underlined"/>
    <w:basedOn w:val="DefaultParagraphFont"/>
    <w:rsid w:val="00837F87"/>
    <w:rPr>
      <w:u w:val="single"/>
    </w:rPr>
  </w:style>
  <w:style w:type="paragraph" w:customStyle="1" w:styleId="TableBodyTextRight">
    <w:name w:val="Table Body Text Right"/>
    <w:basedOn w:val="TableBodyText"/>
    <w:rsid w:val="00837F87"/>
    <w:pPr>
      <w:widowControl w:val="0"/>
      <w:autoSpaceDE w:val="0"/>
      <w:autoSpaceDN w:val="0"/>
      <w:adjustRightInd w:val="0"/>
      <w:jc w:val="right"/>
    </w:pPr>
    <w:rPr>
      <w:rFonts w:cs="Arial"/>
      <w:szCs w:val="18"/>
    </w:rPr>
  </w:style>
  <w:style w:type="paragraph" w:customStyle="1" w:styleId="CopyrightText">
    <w:name w:val="Copyright Text"/>
    <w:basedOn w:val="BodyText"/>
    <w:rsid w:val="00837F87"/>
    <w:rPr>
      <w:sz w:val="18"/>
    </w:rPr>
  </w:style>
  <w:style w:type="paragraph" w:customStyle="1" w:styleId="BodySmallRight">
    <w:name w:val="Body Small Right"/>
    <w:basedOn w:val="BodyTextRight"/>
    <w:rsid w:val="00837F87"/>
    <w:rPr>
      <w:sz w:val="18"/>
      <w:szCs w:val="18"/>
    </w:rPr>
  </w:style>
  <w:style w:type="paragraph" w:customStyle="1" w:styleId="MarginEdition">
    <w:name w:val="Margin Edition"/>
    <w:basedOn w:val="MarginNote"/>
    <w:rsid w:val="00837F87"/>
    <w:pPr>
      <w:spacing w:before="0" w:after="0"/>
    </w:pPr>
    <w:rPr>
      <w:rFonts w:ascii="Times New Roman" w:hAnsi="Times New Roman"/>
      <w:color w:val="999999"/>
    </w:rPr>
  </w:style>
  <w:style w:type="paragraph" w:customStyle="1" w:styleId="Spacer">
    <w:name w:val="Spacer"/>
    <w:basedOn w:val="Normal"/>
    <w:rsid w:val="00837F87"/>
    <w:rPr>
      <w:sz w:val="2"/>
      <w:szCs w:val="2"/>
    </w:rPr>
  </w:style>
  <w:style w:type="character" w:customStyle="1" w:styleId="Small">
    <w:name w:val="Small"/>
    <w:basedOn w:val="DefaultParagraphFont"/>
    <w:rsid w:val="00837F87"/>
    <w:rPr>
      <w:sz w:val="16"/>
    </w:rPr>
  </w:style>
  <w:style w:type="paragraph" w:customStyle="1" w:styleId="WideTable">
    <w:name w:val="Wide Table"/>
    <w:basedOn w:val="Normal"/>
    <w:rsid w:val="00837F87"/>
    <w:pPr>
      <w:ind w:left="-1418"/>
    </w:pPr>
    <w:rPr>
      <w:sz w:val="2"/>
      <w:szCs w:val="2"/>
    </w:rPr>
  </w:style>
  <w:style w:type="character" w:styleId="PageNumber">
    <w:name w:val="page number"/>
    <w:basedOn w:val="DefaultParagraphFont"/>
    <w:rsid w:val="00837F87"/>
  </w:style>
  <w:style w:type="paragraph" w:styleId="Quote">
    <w:name w:val="Quote"/>
    <w:basedOn w:val="Heading1"/>
    <w:link w:val="QuoteChar"/>
    <w:qFormat/>
    <w:rsid w:val="00837F87"/>
    <w:rPr>
      <w:b w:val="0"/>
      <w:sz w:val="72"/>
      <w:szCs w:val="72"/>
      <w:lang w:val="en-NZ"/>
    </w:rPr>
  </w:style>
  <w:style w:type="character" w:customStyle="1" w:styleId="QuoteChar">
    <w:name w:val="Quote Char"/>
    <w:basedOn w:val="DefaultParagraphFont"/>
    <w:link w:val="Quote"/>
    <w:rsid w:val="00837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F87"/>
    <w:pPr>
      <w:pageBreakBefore/>
    </w:pPr>
  </w:style>
  <w:style w:type="paragraph" w:customStyle="1" w:styleId="Border">
    <w:name w:val="Border"/>
    <w:basedOn w:val="Normal"/>
    <w:qFormat/>
    <w:rsid w:val="00837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F87"/>
    <w:rPr>
      <w:b/>
      <w:bCs/>
      <w:i/>
      <w:iCs/>
      <w:color w:val="auto"/>
    </w:rPr>
  </w:style>
  <w:style w:type="paragraph" w:styleId="IntenseQuote">
    <w:name w:val="Intense Quote"/>
    <w:basedOn w:val="Normal"/>
    <w:next w:val="Normal"/>
    <w:link w:val="IntenseQuoteChar"/>
    <w:uiPriority w:val="30"/>
    <w:qFormat/>
    <w:rsid w:val="00837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F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7F87"/>
    <w:rPr>
      <w:smallCaps/>
      <w:color w:val="auto"/>
      <w:u w:val="single"/>
    </w:rPr>
  </w:style>
  <w:style w:type="character" w:styleId="IntenseReference">
    <w:name w:val="Intense Reference"/>
    <w:basedOn w:val="DefaultParagraphFont"/>
    <w:uiPriority w:val="32"/>
    <w:qFormat/>
    <w:rsid w:val="00837F87"/>
    <w:rPr>
      <w:b/>
      <w:bCs/>
      <w:smallCaps/>
      <w:color w:val="auto"/>
      <w:spacing w:val="5"/>
      <w:u w:val="single"/>
    </w:rPr>
  </w:style>
  <w:style w:type="paragraph" w:customStyle="1" w:styleId="2ColumnHeading">
    <w:name w:val="2Column Heading"/>
    <w:basedOn w:val="BodyText"/>
    <w:qFormat/>
    <w:rsid w:val="00837F87"/>
    <w:pPr>
      <w:spacing w:after="60"/>
      <w:ind w:left="-2268"/>
    </w:pPr>
    <w:rPr>
      <w:b/>
    </w:rPr>
  </w:style>
  <w:style w:type="paragraph" w:customStyle="1" w:styleId="Heading1TOC">
    <w:name w:val="Heading1 TOC"/>
    <w:basedOn w:val="Normal"/>
    <w:qFormat/>
    <w:rsid w:val="00837F87"/>
    <w:pPr>
      <w:spacing w:before="240" w:after="120"/>
    </w:pPr>
    <w:rPr>
      <w:rFonts w:ascii="Times New Roman" w:hAnsi="Times New Roman"/>
      <w:b/>
      <w:sz w:val="32"/>
    </w:rPr>
  </w:style>
  <w:style w:type="paragraph" w:customStyle="1" w:styleId="Heading2TOC">
    <w:name w:val="Heading2 TOC"/>
    <w:basedOn w:val="Normal"/>
    <w:qFormat/>
    <w:rsid w:val="00837F87"/>
    <w:pPr>
      <w:spacing w:before="240" w:after="60"/>
    </w:pPr>
    <w:rPr>
      <w:rFonts w:ascii="Times New Roman" w:hAnsi="Times New Roman"/>
      <w:b/>
      <w:sz w:val="28"/>
    </w:rPr>
  </w:style>
  <w:style w:type="character" w:customStyle="1" w:styleId="Underline">
    <w:name w:val="Underline"/>
    <w:basedOn w:val="DefaultParagraphFont"/>
    <w:qFormat/>
    <w:rsid w:val="00837F87"/>
    <w:rPr>
      <w:u w:val="single"/>
    </w:rPr>
  </w:style>
  <w:style w:type="paragraph" w:styleId="BalloonText">
    <w:name w:val="Balloon Text"/>
    <w:basedOn w:val="Normal"/>
    <w:link w:val="BalloonTextChar"/>
    <w:rsid w:val="00837F87"/>
    <w:rPr>
      <w:rFonts w:ascii="Tahoma" w:hAnsi="Tahoma" w:cs="Tahoma"/>
      <w:sz w:val="16"/>
      <w:szCs w:val="16"/>
    </w:rPr>
  </w:style>
  <w:style w:type="character" w:customStyle="1" w:styleId="BalloonTextChar">
    <w:name w:val="Balloon Text Char"/>
    <w:basedOn w:val="DefaultParagraphFont"/>
    <w:link w:val="BalloonText"/>
    <w:rsid w:val="00837F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7F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F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936</Words>
  <Characters>6166</Characters>
  <Application>Microsoft Office Word</Application>
  <DocSecurity>0</DocSecurity>
  <Lines>234</Lines>
  <Paragraphs>122</Paragraphs>
  <ScaleCrop>false</ScaleCrop>
  <Company>Author-it Software Corporation Ltd.</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FNSACC504A Prepare financial reports for corporate entities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