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4A08" w:rsidP="00A14A08">
      <w:pPr>
        <w:pStyle w:val="Title"/>
      </w:pPr>
      <w:r>
        <w:fldChar w:fldCharType="begin"/>
      </w:r>
      <w:r>
        <w:instrText xml:space="preserve"> TITLE   \* MERGEFORMAT </w:instrText>
      </w:r>
      <w:r>
        <w:fldChar w:fldCharType="separate"/>
      </w:r>
      <w:r>
        <w:t>FNSACC404A Prepare financial statements for non-reporting entities</w:t>
      </w:r>
      <w:r>
        <w:fldChar w:fldCharType="end"/>
      </w:r>
    </w:p>
    <w:p w:rsidR="00A14A08" w:rsidP="00A14A08">
      <w:pPr>
        <w:pStyle w:val="Version"/>
        <w:sectPr w:rsidSect="00B95A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5AC3" w:rsidP="00B95AC3">
      <w:pPr>
        <w:pStyle w:val="SuperHeading"/>
      </w:pPr>
      <w:r w:rsidRPr="00B95AC3">
        <w:t>FNSACC404A Prepare financial statements for non-reporting entities</w:t>
      </w:r>
    </w:p>
    <w:p w:rsidR="00000000" w:rsidRPr="00B95AC3" w:rsidP="00B95AC3">
      <w:pPr>
        <w:pStyle w:val="SuperHeading"/>
      </w:pPr>
    </w:p>
    <w:p w:rsidR="00000000" w:rsidRPr="00B95AC3" w:rsidP="00B95AC3">
      <w:pPr>
        <w:pStyle w:val="Heading1"/>
      </w:pPr>
      <w:bookmarkStart w:id="1" w:name="O_77043"/>
      <w:bookmarkEnd w:id="1"/>
      <w:r w:rsidRPr="00B95AC3">
        <w:t>Modification History</w:t>
      </w:r>
    </w:p>
    <w:p w:rsidR="00000000" w:rsidRPr="00B95AC3" w:rsidP="00B95AC3">
      <w:pPr>
        <w:pStyle w:val="BodyText"/>
      </w:pPr>
      <w:r w:rsidRPr="00B95AC3">
        <w:t>Not applicable.</w:t>
      </w:r>
    </w:p>
    <w:p w:rsidR="00000000" w:rsidRPr="00B95AC3" w:rsidP="00B95AC3">
      <w:pPr>
        <w:pStyle w:val="AllowPageBreak"/>
      </w:pPr>
    </w:p>
    <w:p w:rsidR="00000000" w:rsidRPr="00B95AC3" w:rsidP="00B95AC3">
      <w:pPr>
        <w:pStyle w:val="Heading1"/>
      </w:pPr>
      <w:bookmarkStart w:id="2" w:name="O_77044"/>
      <w:bookmarkEnd w:id="2"/>
      <w:r w:rsidRPr="00B95AC3">
        <w:t>Unit Descriptor</w:t>
      </w:r>
    </w:p>
    <w:tbl>
      <w:tblPr>
        <w:tblW w:w="0" w:type="auto"/>
        <w:tblLayout w:type="fixed"/>
        <w:tblCellMar>
          <w:left w:w="62" w:type="dxa"/>
          <w:right w:w="62" w:type="dxa"/>
        </w:tblCellMar>
        <w:tblLook w:val="0000"/>
      </w:tblPr>
      <w:tblGrid>
        <w:gridCol w:w="2639"/>
        <w:gridCol w:w="5883"/>
      </w:tblGrid>
      <w:tr w:rsidTr="00A14A08">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 xml:space="preserve">This unit describes the performance outcomes, skills and knowledge required to develop </w:t>
            </w:r>
            <w:r w:rsidRPr="00B95AC3">
              <w:t>a range of commonly required financial reports for entities that do not have a statutory duty to file financial reports with government agencies and regulators.</w:t>
            </w:r>
          </w:p>
          <w:p w:rsidR="00000000" w:rsidRPr="00B95AC3" w:rsidP="00B95AC3">
            <w:pPr>
              <w:pStyle w:val="BodyText"/>
            </w:pPr>
          </w:p>
          <w:p w:rsidR="00000000" w:rsidRPr="00B95AC3" w:rsidP="00B95AC3">
            <w:pPr>
              <w:pStyle w:val="BodyText"/>
            </w:pPr>
            <w:r w:rsidRPr="00B95AC3">
              <w:t>This unit may apply to job roles subject to licensing, legislative, regulatory or certificatio</w:t>
            </w:r>
            <w:r w:rsidRPr="00B95AC3">
              <w:t>n requirements so Commonwealth, State or Territory requirements should be confirmed with the relevant body.</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3" w:name="O_77045"/>
      <w:bookmarkEnd w:id="3"/>
      <w:r w:rsidRPr="00B95AC3">
        <w:t>Application of the Unit</w:t>
      </w:r>
    </w:p>
    <w:tbl>
      <w:tblPr>
        <w:tblW w:w="0" w:type="auto"/>
        <w:tblLayout w:type="fixed"/>
        <w:tblCellMar>
          <w:left w:w="62" w:type="dxa"/>
          <w:right w:w="62" w:type="dxa"/>
        </w:tblCellMar>
        <w:tblLook w:val="0000"/>
      </w:tblPr>
      <w:tblGrid>
        <w:gridCol w:w="2723"/>
        <w:gridCol w:w="5799"/>
      </w:tblGrid>
      <w:tr w:rsidTr="00A14A0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This unit can be applied across all sectors of the financial services sector.</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4" w:name="O_77046"/>
      <w:bookmarkEnd w:id="4"/>
      <w:r w:rsidRPr="00B95AC3">
        <w:t>Licensing/Regulatory Information</w:t>
      </w:r>
    </w:p>
    <w:p w:rsidR="00000000" w:rsidRPr="00B95AC3" w:rsidP="00B95AC3">
      <w:pPr>
        <w:pStyle w:val="BodyText"/>
      </w:pPr>
      <w:r w:rsidRPr="00B95AC3">
        <w:t>Not applicable.</w:t>
      </w:r>
    </w:p>
    <w:p w:rsidR="00000000" w:rsidRPr="00B95AC3" w:rsidP="00B95AC3">
      <w:pPr>
        <w:pStyle w:val="AllowPageBreak"/>
      </w:pPr>
    </w:p>
    <w:p w:rsidR="00000000" w:rsidRPr="00B95AC3" w:rsidP="00B95AC3">
      <w:pPr>
        <w:pStyle w:val="Heading1"/>
      </w:pPr>
      <w:bookmarkStart w:id="5" w:name="O_77048"/>
      <w:bookmarkEnd w:id="5"/>
      <w:r w:rsidRPr="00B95AC3">
        <w:t>Pre-Requisites</w:t>
      </w:r>
    </w:p>
    <w:tbl>
      <w:tblPr>
        <w:tblW w:w="0" w:type="auto"/>
        <w:tblLayout w:type="fixed"/>
        <w:tblCellMar>
          <w:left w:w="62" w:type="dxa"/>
          <w:right w:w="62" w:type="dxa"/>
        </w:tblCellMar>
        <w:tblLook w:val="0000"/>
      </w:tblPr>
      <w:tblGrid>
        <w:gridCol w:w="2745"/>
        <w:gridCol w:w="1301"/>
        <w:gridCol w:w="4476"/>
      </w:tblGrid>
      <w:tr w:rsidTr="00A14A08">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p>
        </w:tc>
      </w:tr>
      <w:tr w:rsidTr="00A14A0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p>
        </w:tc>
      </w:tr>
      <w:tr w:rsidTr="00A14A0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6" w:name="O_77047"/>
      <w:bookmarkEnd w:id="6"/>
      <w:r w:rsidRPr="00B95AC3">
        <w:t>Employability Skills Information</w:t>
      </w:r>
    </w:p>
    <w:tbl>
      <w:tblPr>
        <w:tblW w:w="0" w:type="auto"/>
        <w:tblLayout w:type="fixed"/>
        <w:tblCellMar>
          <w:left w:w="62" w:type="dxa"/>
          <w:right w:w="62" w:type="dxa"/>
        </w:tblCellMar>
        <w:tblLook w:val="0000"/>
      </w:tblPr>
      <w:tblGrid>
        <w:gridCol w:w="2762"/>
        <w:gridCol w:w="5760"/>
      </w:tblGrid>
      <w:tr w:rsidTr="00A14A0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This unit contains employability skills.</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7" w:name="O_77049"/>
      <w:bookmarkEnd w:id="7"/>
      <w:r w:rsidRPr="00B95AC3">
        <w:t>Elements and Performance Criteria Pre-Content</w:t>
      </w:r>
    </w:p>
    <w:tbl>
      <w:tblPr>
        <w:tblW w:w="0" w:type="auto"/>
        <w:tblLayout w:type="fixed"/>
        <w:tblCellMar>
          <w:left w:w="62" w:type="dxa"/>
          <w:right w:w="62" w:type="dxa"/>
        </w:tblCellMar>
        <w:tblLook w:val="0000"/>
      </w:tblPr>
      <w:tblGrid>
        <w:gridCol w:w="2546"/>
        <w:gridCol w:w="5976"/>
      </w:tblGrid>
      <w:tr w:rsidTr="00A14A0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Performance criteria describe the performance needed to demonstrate achievement of the element. Where bold italicised text is used, further info</w:t>
            </w:r>
            <w:r w:rsidRPr="00B95AC3">
              <w:t>rmation is detailed in the required skills and knowledge section and the range statement. Assessment of performance is to be consistent with the evidence guide.</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8" w:name="O_77050"/>
      <w:bookmarkEnd w:id="8"/>
      <w:r w:rsidRPr="00B95AC3">
        <w:t>Elements and Performance Criteria</w:t>
      </w:r>
    </w:p>
    <w:tbl>
      <w:tblPr>
        <w:tblW w:w="0" w:type="auto"/>
        <w:tblLayout w:type="fixed"/>
        <w:tblCellMar>
          <w:left w:w="62" w:type="dxa"/>
          <w:right w:w="62" w:type="dxa"/>
        </w:tblCellMar>
        <w:tblLook w:val="0000"/>
      </w:tblPr>
      <w:tblGrid>
        <w:gridCol w:w="2546"/>
        <w:gridCol w:w="5976"/>
      </w:tblGrid>
      <w:tr w:rsidTr="00A14A08">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PERFORMANCE CRITERIA</w:t>
            </w:r>
          </w:p>
        </w:tc>
      </w:tr>
      <w:tr w:rsidTr="00A14A0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List"/>
              <w:rPr>
                <w:lang w:val="en-NZ"/>
              </w:rPr>
            </w:pPr>
            <w:r w:rsidRPr="00B95AC3">
              <w:t>1.</w:t>
            </w:r>
            <w:r w:rsidRPr="00B95AC3">
              <w:tab/>
            </w:r>
            <w:r w:rsidRPr="00B95AC3">
              <w:t>Compile data</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2"/>
            </w:pPr>
            <w:r w:rsidRPr="00B95AC3">
              <w:t>1.1.</w:t>
            </w:r>
            <w:r w:rsidRPr="00B95AC3">
              <w:tab/>
            </w:r>
            <w:r w:rsidRPr="00B95AC3">
              <w:rPr>
                <w:rStyle w:val="BoldandItalics"/>
              </w:rPr>
              <w:t>Data</w:t>
            </w:r>
            <w:r w:rsidRPr="00B95AC3">
              <w:t xml:space="preserve"> is systematically coded, classified and checked for accuracy and reliability in accordance with </w:t>
            </w:r>
            <w:r w:rsidRPr="00B95AC3">
              <w:rPr>
                <w:rStyle w:val="BoldandItalics"/>
              </w:rPr>
              <w:t>organisational policies and procedures</w:t>
            </w:r>
          </w:p>
          <w:p w:rsidR="00000000" w:rsidP="00B95AC3">
            <w:pPr>
              <w:pStyle w:val="List2"/>
              <w:rPr>
                <w:lang w:val="en-NZ"/>
              </w:rPr>
            </w:pPr>
            <w:r w:rsidRPr="00B95AC3">
              <w:t>1.2.</w:t>
            </w:r>
            <w:r w:rsidRPr="00B95AC3">
              <w:tab/>
              <w:t>Internal and external financial data is checked to ensure consistency and accuracy</w:t>
            </w:r>
          </w:p>
        </w:tc>
      </w:tr>
      <w:tr w:rsidTr="00A14A08">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List"/>
              <w:rPr>
                <w:lang w:val="en-NZ"/>
              </w:rPr>
            </w:pPr>
            <w:r w:rsidRPr="00B95AC3">
              <w:t>2.</w:t>
            </w:r>
            <w:r w:rsidRPr="00B95AC3">
              <w:tab/>
              <w:t>Prepar</w:t>
            </w:r>
            <w:r w:rsidRPr="00B95AC3">
              <w:t>e reports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2"/>
            </w:pPr>
            <w:r w:rsidRPr="00B95AC3">
              <w:t>2.1.</w:t>
            </w:r>
            <w:r w:rsidRPr="00B95AC3">
              <w:tab/>
              <w:t>Charts, diagrams and supporting data are presented in an appropriate manner</w:t>
            </w:r>
          </w:p>
          <w:p w:rsidR="00000000" w:rsidRPr="00B95AC3" w:rsidP="00B95AC3">
            <w:pPr>
              <w:pStyle w:val="List2"/>
            </w:pPr>
            <w:r w:rsidRPr="00B95AC3">
              <w:t>2.2.</w:t>
            </w:r>
            <w:r w:rsidRPr="00B95AC3">
              <w:tab/>
              <w:t xml:space="preserve">Reports are prepared following a clear and appropriate structure and </w:t>
            </w:r>
            <w:r w:rsidRPr="00B95AC3">
              <w:rPr>
                <w:rStyle w:val="BoldandItalics"/>
              </w:rPr>
              <w:t>format</w:t>
            </w:r>
            <w:r w:rsidRPr="00B95AC3">
              <w:t xml:space="preserve"> and to conform with </w:t>
            </w:r>
            <w:r w:rsidRPr="00B95AC3">
              <w:rPr>
                <w:rStyle w:val="BoldandItalics"/>
              </w:rPr>
              <w:t>organisation</w:t>
            </w:r>
            <w:r w:rsidRPr="00B95AC3">
              <w:t xml:space="preserve"> requirements</w:t>
            </w:r>
          </w:p>
          <w:p w:rsidR="00000000" w:rsidRPr="00B95AC3" w:rsidP="00B95AC3">
            <w:pPr>
              <w:pStyle w:val="List2"/>
            </w:pPr>
            <w:r w:rsidRPr="00B95AC3">
              <w:t>2.3.</w:t>
            </w:r>
            <w:r w:rsidRPr="00B95AC3">
              <w:tab/>
              <w:t>Statements and data are error fre</w:t>
            </w:r>
            <w:r w:rsidRPr="00B95AC3">
              <w:t>e and comprehensive with the full report cross-checked against original data and accounting standards</w:t>
            </w:r>
          </w:p>
          <w:p w:rsidR="00000000" w:rsidRPr="00B95AC3" w:rsidP="00B95AC3">
            <w:pPr>
              <w:pStyle w:val="List2"/>
            </w:pPr>
            <w:r w:rsidRPr="00B95AC3">
              <w:t>2.4.</w:t>
            </w:r>
            <w:r w:rsidRPr="00B95AC3">
              <w:tab/>
              <w:t xml:space="preserve">Any necessary corrections are made and verified and authorised by </w:t>
            </w:r>
            <w:r w:rsidRPr="00B95AC3">
              <w:rPr>
                <w:rStyle w:val="BoldandItalics"/>
              </w:rPr>
              <w:t>relevant persons</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9" w:name="O_77051"/>
      <w:bookmarkEnd w:id="9"/>
      <w:r w:rsidRPr="00B95AC3">
        <w:t>Required Skills and Knowledge</w:t>
      </w:r>
    </w:p>
    <w:tbl>
      <w:tblPr>
        <w:tblW w:w="0" w:type="auto"/>
        <w:tblLayout w:type="fixed"/>
        <w:tblCellMar>
          <w:left w:w="62" w:type="dxa"/>
          <w:right w:w="62" w:type="dxa"/>
        </w:tblCellMar>
        <w:tblLook w:val="0000"/>
      </w:tblPr>
      <w:tblGrid>
        <w:gridCol w:w="8522"/>
      </w:tblGrid>
      <w:tr w:rsidTr="00A14A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REQUIRED SKILLS AND KNOWLEDGE</w:t>
            </w:r>
          </w:p>
        </w:tc>
      </w:tr>
      <w:tr w:rsidTr="00A14A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t>This section describes the skills and knowledge required for this unit.</w:t>
            </w:r>
          </w:p>
        </w:tc>
      </w:tr>
      <w:tr w:rsidTr="00A14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Required skills</w:t>
            </w:r>
          </w:p>
        </w:tc>
      </w:tr>
      <w:tr w:rsidTr="00A14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communication skills to:</w:t>
            </w:r>
          </w:p>
          <w:p w:rsidR="00000000" w:rsidRPr="00B95AC3" w:rsidP="00B95AC3">
            <w:pPr>
              <w:pStyle w:val="ListBullet2"/>
            </w:pPr>
            <w:r w:rsidRPr="00B95AC3">
              <w:t xml:space="preserve">determine and confirm report requirements, using questioning and active listening as required </w:t>
            </w:r>
          </w:p>
          <w:p w:rsidR="00000000" w:rsidRPr="00B95AC3" w:rsidP="00B95AC3">
            <w:pPr>
              <w:pStyle w:val="ListBullet2"/>
            </w:pPr>
            <w:r w:rsidRPr="00B95AC3">
              <w:t>liaise with others, share information, listen and understand</w:t>
            </w:r>
          </w:p>
          <w:p w:rsidR="00000000" w:rsidRPr="00B95AC3" w:rsidP="00B95AC3">
            <w:pPr>
              <w:pStyle w:val="ListBullet2"/>
            </w:pPr>
            <w:r w:rsidRPr="00B95AC3">
              <w:t>use language and concepts appropriate to cultural differences</w:t>
            </w:r>
          </w:p>
          <w:p w:rsidR="00000000" w:rsidRPr="00B95AC3" w:rsidP="00B95AC3">
            <w:pPr>
              <w:pStyle w:val="ListBullet"/>
            </w:pPr>
            <w:r w:rsidRPr="00B95AC3">
              <w:t xml:space="preserve">literacy skills to: </w:t>
            </w:r>
          </w:p>
          <w:p w:rsidR="00000000" w:rsidRPr="00B95AC3" w:rsidP="00B95AC3">
            <w:pPr>
              <w:pStyle w:val="ListBullet2"/>
            </w:pPr>
            <w:r w:rsidRPr="00B95AC3">
              <w:t>read and interpret documentation from a variety of sources</w:t>
            </w:r>
          </w:p>
          <w:p w:rsidR="00000000" w:rsidRPr="00B95AC3" w:rsidP="00B95AC3">
            <w:pPr>
              <w:pStyle w:val="ListBullet2"/>
            </w:pPr>
            <w:r w:rsidRPr="00B95AC3">
              <w:t>read and interpret financial statements and reports</w:t>
            </w:r>
          </w:p>
          <w:p w:rsidR="00000000" w:rsidRPr="00B95AC3" w:rsidP="00B95AC3">
            <w:pPr>
              <w:pStyle w:val="ListBullet"/>
            </w:pPr>
            <w:r w:rsidRPr="00B95AC3">
              <w:t>well-developed writing skills for preparing reports and recommendations, recording and classifying financial information</w:t>
            </w:r>
          </w:p>
          <w:p w:rsidR="00000000" w:rsidRPr="00B95AC3" w:rsidP="00B95AC3">
            <w:pPr>
              <w:pStyle w:val="ListBullet"/>
            </w:pPr>
            <w:r w:rsidRPr="00B95AC3">
              <w:t>numeracy skills for financial calculations and analysis</w:t>
            </w:r>
          </w:p>
          <w:p w:rsidR="00000000" w:rsidRPr="00B95AC3" w:rsidP="00B95AC3">
            <w:pPr>
              <w:pStyle w:val="ListBullet"/>
            </w:pPr>
            <w:r w:rsidRPr="00B95AC3">
              <w:t>IT skills for setting up and analysing spreadsheets</w:t>
            </w:r>
          </w:p>
          <w:p w:rsidR="00000000" w:rsidRPr="00B95AC3" w:rsidP="00B95AC3">
            <w:pPr>
              <w:pStyle w:val="ListBullet"/>
            </w:pPr>
            <w:r w:rsidRPr="00B95AC3">
              <w:t>estimating, forecasting a</w:t>
            </w:r>
            <w:r w:rsidRPr="00B95AC3">
              <w:t>nd analysis skills</w:t>
            </w:r>
          </w:p>
          <w:p w:rsidR="00000000" w:rsidP="00B95AC3">
            <w:pPr>
              <w:pStyle w:val="ListBullet"/>
              <w:rPr>
                <w:lang w:val="en-NZ"/>
              </w:rPr>
            </w:pPr>
            <w:r w:rsidRPr="00B95AC3">
              <w:t>organisational skills, including the ability to plan and sequence work and meet organisational timelines</w:t>
            </w:r>
          </w:p>
        </w:tc>
      </w:tr>
      <w:tr w:rsidTr="00A14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Required knowledge</w:t>
            </w:r>
          </w:p>
        </w:tc>
      </w:tr>
      <w:tr w:rsidTr="00A14A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ethical considerations for the handling of financial matters including conflict of interests</w:t>
            </w:r>
          </w:p>
          <w:p w:rsidR="00000000" w:rsidRPr="00B95AC3" w:rsidP="00B95AC3">
            <w:pPr>
              <w:pStyle w:val="ListBullet"/>
            </w:pPr>
            <w:r w:rsidRPr="00B95AC3">
              <w:t>financial legislation including for:</w:t>
            </w:r>
          </w:p>
          <w:p w:rsidR="00000000" w:rsidRPr="00B95AC3" w:rsidP="00B95AC3">
            <w:pPr>
              <w:pStyle w:val="ListBullet2"/>
            </w:pPr>
            <w:r w:rsidRPr="00B95AC3">
              <w:t>taxable transactions</w:t>
            </w:r>
          </w:p>
          <w:p w:rsidR="00000000" w:rsidRPr="00B95AC3" w:rsidP="00B95AC3">
            <w:pPr>
              <w:pStyle w:val="ListBullet2"/>
            </w:pPr>
            <w:r w:rsidRPr="00B95AC3">
              <w:t>reporting requirements</w:t>
            </w:r>
          </w:p>
          <w:p w:rsidR="00000000" w:rsidRPr="00B95AC3" w:rsidP="00B95AC3">
            <w:pPr>
              <w:pStyle w:val="ListBullet"/>
            </w:pPr>
            <w:r w:rsidRPr="00B95AC3">
              <w:t>forecasting and analysis techniques</w:t>
            </w:r>
          </w:p>
          <w:p w:rsidR="00000000" w:rsidRPr="00B95AC3" w:rsidP="00B95AC3">
            <w:pPr>
              <w:pStyle w:val="ListBullet"/>
            </w:pPr>
            <w:r w:rsidRPr="00B95AC3">
              <w:t>methods of presenting financial data</w:t>
            </w:r>
          </w:p>
          <w:p w:rsidR="00000000" w:rsidRPr="00B95AC3" w:rsidP="00B95AC3">
            <w:pPr>
              <w:pStyle w:val="ListBullet"/>
            </w:pPr>
            <w:r w:rsidRPr="00B95AC3">
              <w:t>options, methods and practices for deductions, benefits and depreciations</w:t>
            </w:r>
          </w:p>
          <w:p w:rsidR="00000000" w:rsidRPr="00B95AC3" w:rsidP="00B95AC3">
            <w:pPr>
              <w:pStyle w:val="ListBullet"/>
            </w:pPr>
            <w:r w:rsidRPr="00B95AC3">
              <w:t>organisational guidelines and procedures</w:t>
            </w:r>
          </w:p>
          <w:p w:rsidR="00000000" w:rsidRPr="00B95AC3" w:rsidP="00B95AC3">
            <w:pPr>
              <w:pStyle w:val="ListBullet"/>
            </w:pPr>
            <w:r w:rsidRPr="00B95AC3">
              <w:t>principles of double-entry bookkeeping and accrual accounting</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10" w:name="O_77052"/>
      <w:bookmarkEnd w:id="10"/>
      <w:r w:rsidRPr="00B95AC3">
        <w:t>Evidence Guide</w:t>
      </w:r>
    </w:p>
    <w:tbl>
      <w:tblPr>
        <w:tblW w:w="9570" w:type="dxa"/>
        <w:tblLayout w:type="fixed"/>
        <w:tblCellMar>
          <w:left w:w="62" w:type="dxa"/>
          <w:right w:w="62" w:type="dxa"/>
        </w:tblCellMar>
        <w:tblLook w:val="0000"/>
      </w:tblPr>
      <w:tblGrid>
        <w:gridCol w:w="2808"/>
        <w:gridCol w:w="6762"/>
      </w:tblGrid>
      <w:tr w:rsidTr="00A14A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EVIDENCE GUIDE</w:t>
            </w:r>
          </w:p>
        </w:tc>
      </w:tr>
      <w:tr w:rsidTr="00A14A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t>T</w:t>
            </w:r>
            <w:r w:rsidRPr="00B95AC3">
              <w:t>he Evidence Guide provides advice on assessment and must be read in conjunction with the performance criteria, required skills and knowledge, range statement and the Assessment Guidelines for the Training Package.</w:t>
            </w:r>
          </w:p>
        </w:tc>
      </w:tr>
      <w:tr w:rsidTr="00A14A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p>
        </w:tc>
      </w:tr>
      <w:tr w:rsidTr="00A14A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Critical aspect</w:t>
            </w:r>
            <w:r w:rsidRPr="00B95AC3">
              <w:rPr>
                <w:rStyle w:val="SpecialBold"/>
              </w:rPr>
              <w: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Evidence of the ability to:</w:t>
            </w:r>
          </w:p>
          <w:p w:rsidR="00000000" w:rsidRPr="00B95AC3" w:rsidP="00B95AC3">
            <w:pPr>
              <w:pStyle w:val="ListBullet"/>
            </w:pPr>
            <w:r w:rsidRPr="00B95AC3">
              <w:t xml:space="preserve">interpret and comply with organisational policies and procedures </w:t>
            </w:r>
          </w:p>
          <w:p w:rsidR="00000000" w:rsidRPr="00B95AC3" w:rsidP="00B95AC3">
            <w:pPr>
              <w:pStyle w:val="ListBullet"/>
            </w:pPr>
            <w:r w:rsidRPr="00B95AC3">
              <w:t>access, analyse and compile relevant financial data</w:t>
            </w:r>
          </w:p>
          <w:p w:rsidR="00000000" w:rsidP="00B95AC3">
            <w:pPr>
              <w:pStyle w:val="ListBullet"/>
              <w:rPr>
                <w:lang w:val="en-NZ"/>
              </w:rPr>
            </w:pPr>
            <w:r w:rsidRPr="00B95AC3">
              <w:t>draft comprehensive and accurate reports and financial statements.</w:t>
            </w:r>
          </w:p>
        </w:tc>
      </w:tr>
      <w:tr w:rsidTr="00A14A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Assessment must ensure:</w:t>
            </w:r>
          </w:p>
          <w:p w:rsidR="00000000" w:rsidRPr="00B95AC3" w:rsidP="00B95AC3">
            <w:pPr>
              <w:pStyle w:val="ListBullet"/>
            </w:pPr>
            <w:r w:rsidRPr="00B95AC3">
              <w:t>competency is demonstrated in the context of the financial services work environment and conditions specified in t</w:t>
            </w:r>
            <w:r w:rsidRPr="00B95AC3">
              <w:t>he range statement either in a relevant workplace or a closely simulated work environment</w:t>
            </w:r>
          </w:p>
          <w:p w:rsidR="00000000" w:rsidP="00B95AC3">
            <w:pPr>
              <w:pStyle w:val="ListBullet"/>
              <w:rPr>
                <w:lang w:val="en-NZ"/>
              </w:rPr>
            </w:pPr>
            <w:r w:rsidRPr="00B95AC3">
              <w:t>access to and the use of a range of common office equipment, technology, software and consumables.</w:t>
            </w:r>
          </w:p>
        </w:tc>
      </w:tr>
      <w:tr w:rsidTr="00A14A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 xml:space="preserve">A range of assessment methods should be used </w:t>
            </w:r>
            <w:r w:rsidRPr="00B95AC3">
              <w:t>to assess practical skills and knowledge. The following examples, in combination, are appropriate for this unit:</w:t>
            </w:r>
          </w:p>
          <w:p w:rsidR="00000000" w:rsidRPr="00B95AC3" w:rsidP="00B95AC3">
            <w:pPr>
              <w:pStyle w:val="ListBullet"/>
            </w:pPr>
            <w:r w:rsidRPr="00B95AC3">
              <w:t>evaluating an integrated activity which combines the elements of competency for the unit or a cluster of related units of competency</w:t>
            </w:r>
          </w:p>
          <w:p w:rsidR="00000000" w:rsidRPr="00B95AC3" w:rsidP="00B95AC3">
            <w:pPr>
              <w:pStyle w:val="ListBullet"/>
            </w:pPr>
            <w:r w:rsidRPr="00B95AC3">
              <w:t>simulated</w:t>
            </w:r>
            <w:r w:rsidRPr="00B95AC3">
              <w:t xml:space="preserve"> tasks involving preparation of reports from supplied data</w:t>
            </w:r>
          </w:p>
          <w:p w:rsidR="00000000" w:rsidRPr="00B95AC3" w:rsidP="00B95AC3">
            <w:pPr>
              <w:pStyle w:val="ListBullet"/>
            </w:pPr>
            <w:r w:rsidRPr="00B95AC3">
              <w:t xml:space="preserve">verbal or written questioning on underpinning knowledge and skills </w:t>
            </w:r>
          </w:p>
          <w:p w:rsidR="00000000" w:rsidP="00B95AC3">
            <w:pPr>
              <w:pStyle w:val="ListBullet"/>
              <w:rPr>
                <w:lang w:val="en-NZ"/>
              </w:rPr>
            </w:pPr>
            <w:r w:rsidRPr="00B95AC3">
              <w:t>evaluating samples of work.</w:t>
            </w:r>
          </w:p>
        </w:tc>
      </w:tr>
      <w:tr w:rsidTr="00A14A08">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11" w:name="O_77053"/>
      <w:bookmarkEnd w:id="11"/>
      <w:r w:rsidRPr="00B95AC3">
        <w:t>Range Statement</w:t>
      </w:r>
    </w:p>
    <w:tbl>
      <w:tblPr>
        <w:tblW w:w="0" w:type="auto"/>
        <w:tblLayout w:type="fixed"/>
        <w:tblCellMar>
          <w:left w:w="62" w:type="dxa"/>
          <w:right w:w="62" w:type="dxa"/>
        </w:tblCellMar>
        <w:tblLook w:val="0000"/>
      </w:tblPr>
      <w:tblGrid>
        <w:gridCol w:w="2518"/>
        <w:gridCol w:w="6004"/>
      </w:tblGrid>
      <w:tr w:rsidTr="00A14A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RANGE STATEMENT</w:t>
            </w:r>
          </w:p>
        </w:tc>
      </w:tr>
      <w:tr w:rsidTr="00A14A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t>The range statement relates to the unit of competency as a whole. It allows for different work environments and situations that may affect performance. Bold italicised wording, if used in the performance criteria, is detailed below. Essential operating con</w:t>
            </w:r>
            <w:r w:rsidRPr="00B95AC3">
              <w:t>ditions that may be present with training and assessment (depending on the work situation, needs of the candidate, accessibility of the item, and local industry and regional contexts) may also be included.</w:t>
            </w:r>
          </w:p>
        </w:tc>
      </w:tr>
      <w:tr w:rsidTr="00A14A0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BoldandItalics"/>
              </w:rPr>
              <w:t>Data</w:t>
            </w:r>
            <w:r w:rsidRPr="00B95AC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budgets and forecasts</w:t>
            </w:r>
          </w:p>
          <w:p w:rsidR="00000000" w:rsidRPr="00B95AC3" w:rsidP="00B95AC3">
            <w:pPr>
              <w:pStyle w:val="ListBullet"/>
            </w:pPr>
            <w:r w:rsidRPr="00B95AC3">
              <w:t>financial and operational statements and reports:</w:t>
            </w:r>
          </w:p>
          <w:p w:rsidR="00000000" w:rsidRPr="00B95AC3" w:rsidP="00B95AC3">
            <w:pPr>
              <w:pStyle w:val="ListBullet2"/>
            </w:pPr>
            <w:r w:rsidRPr="00B95AC3">
              <w:t xml:space="preserve">expenditures and receipts </w:t>
            </w:r>
          </w:p>
          <w:p w:rsidR="00000000" w:rsidP="00B95AC3">
            <w:pPr>
              <w:pStyle w:val="ListBullet2"/>
              <w:rPr>
                <w:lang w:val="en-NZ"/>
              </w:rPr>
            </w:pPr>
            <w:r w:rsidRPr="00B95AC3">
              <w:t>statements of financial performance.</w:t>
            </w:r>
          </w:p>
        </w:tc>
      </w:tr>
      <w:tr w:rsidTr="00A14A0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BoldandItalics"/>
              </w:rPr>
              <w:t>Organisational policies and procedures</w:t>
            </w:r>
            <w:r w:rsidRPr="00B95AC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financial management manuals</w:t>
            </w:r>
          </w:p>
          <w:p w:rsidR="00000000" w:rsidRPr="00B95AC3" w:rsidP="00B95AC3">
            <w:pPr>
              <w:pStyle w:val="ListBullet"/>
            </w:pPr>
            <w:r w:rsidRPr="00B95AC3">
              <w:t>recording and filing systems</w:t>
            </w:r>
          </w:p>
          <w:p w:rsidR="00000000" w:rsidRPr="00B95AC3" w:rsidP="00B95AC3">
            <w:pPr>
              <w:pStyle w:val="ListBullet"/>
            </w:pPr>
            <w:r w:rsidRPr="00B95AC3">
              <w:t>reporting requirements</w:t>
            </w:r>
          </w:p>
          <w:p w:rsidR="00000000" w:rsidP="00B95AC3">
            <w:pPr>
              <w:pStyle w:val="ListBullet"/>
              <w:rPr>
                <w:lang w:val="en-NZ"/>
              </w:rPr>
            </w:pPr>
            <w:r w:rsidRPr="00B95AC3">
              <w:t>standard financial analysis techniques.</w:t>
            </w:r>
          </w:p>
        </w:tc>
      </w:tr>
      <w:tr w:rsidTr="00A14A0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t xml:space="preserve">Report types and </w:t>
            </w:r>
            <w:r w:rsidRPr="00B95AC3">
              <w:rPr>
                <w:rStyle w:val="BoldandItalics"/>
              </w:rPr>
              <w:t>formats</w:t>
            </w:r>
            <w:r w:rsidRPr="00B95AC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cash statements</w:t>
            </w:r>
          </w:p>
          <w:p w:rsidR="00000000" w:rsidRPr="00B95AC3" w:rsidP="00B95AC3">
            <w:pPr>
              <w:pStyle w:val="ListBullet"/>
            </w:pPr>
            <w:r w:rsidRPr="00B95AC3">
              <w:t>electronic forms</w:t>
            </w:r>
          </w:p>
          <w:p w:rsidR="00000000" w:rsidRPr="00B95AC3" w:rsidP="00B95AC3">
            <w:pPr>
              <w:pStyle w:val="ListBullet"/>
            </w:pPr>
            <w:r w:rsidRPr="00B95AC3">
              <w:t>financial year reports</w:t>
            </w:r>
          </w:p>
          <w:p w:rsidR="00000000" w:rsidRPr="00B95AC3" w:rsidP="00B95AC3">
            <w:pPr>
              <w:pStyle w:val="ListBullet"/>
            </w:pPr>
            <w:r w:rsidRPr="00B95AC3">
              <w:t>operating statements such as statements of financial performance</w:t>
            </w:r>
          </w:p>
          <w:p w:rsidR="00000000" w:rsidRPr="00B95AC3" w:rsidP="00B95AC3">
            <w:pPr>
              <w:pStyle w:val="ListBullet"/>
            </w:pPr>
            <w:r w:rsidRPr="00B95AC3">
              <w:t>spreadsheets</w:t>
            </w:r>
          </w:p>
          <w:p w:rsidR="00000000" w:rsidP="00B95AC3">
            <w:pPr>
              <w:pStyle w:val="ListBullet"/>
              <w:rPr>
                <w:lang w:val="en-NZ"/>
              </w:rPr>
            </w:pPr>
            <w:r w:rsidRPr="00B95AC3">
              <w:t>statements of financial position.</w:t>
            </w:r>
          </w:p>
        </w:tc>
      </w:tr>
      <w:tr w:rsidTr="00A14A0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BoldandItalics"/>
              </w:rPr>
              <w:t>Organis</w:t>
            </w:r>
            <w:r w:rsidRPr="00B95AC3">
              <w:rPr>
                <w:rStyle w:val="BoldandItalics"/>
              </w:rPr>
              <w:t>ations</w:t>
            </w:r>
            <w:r w:rsidRPr="00B95AC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not for profit</w:t>
            </w:r>
          </w:p>
          <w:p w:rsidR="00000000" w:rsidRPr="00B95AC3" w:rsidP="00B95AC3">
            <w:pPr>
              <w:pStyle w:val="ListBullet"/>
            </w:pPr>
            <w:r w:rsidRPr="00B95AC3">
              <w:t>partnerships</w:t>
            </w:r>
          </w:p>
          <w:p w:rsidR="00000000" w:rsidP="00B95AC3">
            <w:pPr>
              <w:pStyle w:val="ListBullet"/>
              <w:rPr>
                <w:lang w:val="en-NZ"/>
              </w:rPr>
            </w:pPr>
            <w:r w:rsidRPr="00B95AC3">
              <w:t>sole traders.</w:t>
            </w:r>
          </w:p>
        </w:tc>
      </w:tr>
      <w:tr w:rsidTr="00A14A08">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BoldandItalics"/>
              </w:rPr>
              <w:t>Relevant persons</w:t>
            </w:r>
            <w:r w:rsidRPr="00B95AC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ListBullet"/>
            </w:pPr>
            <w:r w:rsidRPr="00B95AC3">
              <w:t>registered tax agents.</w:t>
            </w:r>
          </w:p>
        </w:tc>
      </w:tr>
    </w:tbl>
    <w:p w:rsidR="00A14A08" w:rsidP="00B95AC3">
      <w:pPr>
        <w:pStyle w:val="BodyText"/>
      </w:pPr>
    </w:p>
    <w:p w:rsidR="00A14A08" w:rsidP="00B95AC3">
      <w:pPr>
        <w:pStyle w:val="BodyText"/>
      </w:pPr>
    </w:p>
    <w:p w:rsidR="00000000" w:rsidRPr="00B95AC3" w:rsidP="00B95AC3">
      <w:pPr>
        <w:pStyle w:val="Heading1"/>
      </w:pPr>
      <w:bookmarkStart w:id="12" w:name="O_77054"/>
      <w:bookmarkEnd w:id="12"/>
      <w:r w:rsidRPr="00B95AC3">
        <w:t>Unit Sector(s)</w:t>
      </w:r>
    </w:p>
    <w:tbl>
      <w:tblPr>
        <w:tblW w:w="0" w:type="auto"/>
        <w:tblLayout w:type="fixed"/>
        <w:tblCellMar>
          <w:left w:w="62" w:type="dxa"/>
          <w:right w:w="62" w:type="dxa"/>
        </w:tblCellMar>
        <w:tblLook w:val="0000"/>
      </w:tblPr>
      <w:tblGrid>
        <w:gridCol w:w="2590"/>
        <w:gridCol w:w="5932"/>
      </w:tblGrid>
      <w:tr w:rsidTr="00A14A08">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Unit sector</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r w:rsidRPr="00B95AC3">
              <w:t>Accounting</w:t>
            </w: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13" w:name="O_156081"/>
      <w:bookmarkEnd w:id="13"/>
      <w:r w:rsidRPr="00B95AC3">
        <w:t>Competency field</w:t>
      </w:r>
    </w:p>
    <w:tbl>
      <w:tblPr>
        <w:tblW w:w="0" w:type="auto"/>
        <w:tblLayout w:type="fixed"/>
        <w:tblCellMar>
          <w:left w:w="62" w:type="dxa"/>
          <w:right w:w="62" w:type="dxa"/>
        </w:tblCellMar>
        <w:tblLook w:val="0000"/>
      </w:tblPr>
      <w:tblGrid>
        <w:gridCol w:w="2754"/>
        <w:gridCol w:w="5768"/>
      </w:tblGrid>
      <w:tr w:rsidTr="00A14A0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p>
        </w:tc>
      </w:tr>
    </w:tbl>
    <w:p w:rsidR="00000000" w:rsidRPr="00B95AC3" w:rsidP="00B95AC3">
      <w:pPr>
        <w:pStyle w:val="BodyText"/>
      </w:pPr>
    </w:p>
    <w:p w:rsidR="00000000" w:rsidRPr="00B95AC3" w:rsidP="00B95AC3">
      <w:pPr>
        <w:pStyle w:val="AllowPageBreak"/>
      </w:pPr>
    </w:p>
    <w:p w:rsidR="00000000" w:rsidRPr="00B95AC3" w:rsidP="00B95AC3">
      <w:pPr>
        <w:pStyle w:val="Heading1"/>
      </w:pPr>
      <w:bookmarkStart w:id="14" w:name="O_156080"/>
      <w:bookmarkEnd w:id="14"/>
      <w:r w:rsidRPr="00B95AC3">
        <w:t>Co-requisite units</w:t>
      </w:r>
    </w:p>
    <w:tbl>
      <w:tblPr>
        <w:tblW w:w="0" w:type="auto"/>
        <w:tblLayout w:type="fixed"/>
        <w:tblCellMar>
          <w:left w:w="62" w:type="dxa"/>
          <w:right w:w="62" w:type="dxa"/>
        </w:tblCellMar>
        <w:tblLook w:val="0000"/>
      </w:tblPr>
      <w:tblGrid>
        <w:gridCol w:w="2629"/>
        <w:gridCol w:w="1324"/>
        <w:gridCol w:w="4569"/>
      </w:tblGrid>
      <w:tr w:rsidTr="00A14A08">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r w:rsidRPr="00B95AC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AC3">
            <w:pPr>
              <w:pStyle w:val="BodyText"/>
              <w:rPr>
                <w:lang w:val="en-NZ"/>
              </w:rPr>
            </w:pPr>
          </w:p>
        </w:tc>
      </w:tr>
      <w:tr w:rsidTr="00A14A08">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AC3" w:rsidP="00B95AC3">
            <w:pPr>
              <w:pStyle w:val="BodyText"/>
            </w:pPr>
          </w:p>
        </w:tc>
      </w:tr>
    </w:tbl>
    <w:p w:rsidR="00000000" w:rsidRPr="00B95AC3" w:rsidP="00B95AC3">
      <w:pPr>
        <w:pStyle w:val="BodyText"/>
      </w:pPr>
    </w:p>
    <w:p w:rsidR="00000000" w:rsidRPr="00B95AC3" w:rsidP="00B95AC3"/>
    <w:sectPr w:rsidSect="00B95A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A08" w:rsidP="00A14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08" w:rsidP="00B95A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4A08" w:rsidP="00B95A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4A08" w:rsidP="00B95A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4A08" w:rsidP="00A14A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A08" w:rsidP="00B95AC3">
    <w:pPr>
      <w:pStyle w:val="Header"/>
      <w:framePr w:wrap="around"/>
    </w:pPr>
    <w:r>
      <w:fldChar w:fldCharType="begin"/>
    </w:r>
    <w:r>
      <w:instrText xml:space="preserve"> TITLE   \* MERGEFORMAT </w:instrText>
    </w:r>
    <w:r>
      <w:fldChar w:fldCharType="separate"/>
    </w:r>
    <w:r>
      <w:t>FNSACC404A Prepare financial statements for non-reporting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4A08" w:rsidP="00B95A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E63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C1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FE2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A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AC3"/>
    <w:pPr>
      <w:spacing w:before="360" w:after="60"/>
      <w:outlineLvl w:val="0"/>
    </w:pPr>
    <w:rPr>
      <w:sz w:val="32"/>
    </w:rPr>
  </w:style>
  <w:style w:type="paragraph" w:styleId="Heading2">
    <w:name w:val="heading 2"/>
    <w:basedOn w:val="HeadingBase"/>
    <w:next w:val="BodyText"/>
    <w:link w:val="Heading2Char"/>
    <w:qFormat/>
    <w:rsid w:val="00B95AC3"/>
    <w:pPr>
      <w:keepLines/>
      <w:spacing w:before="240" w:after="120"/>
      <w:outlineLvl w:val="1"/>
    </w:pPr>
    <w:rPr>
      <w:sz w:val="28"/>
      <w:szCs w:val="40"/>
    </w:rPr>
  </w:style>
  <w:style w:type="paragraph" w:styleId="Heading3">
    <w:name w:val="heading 3"/>
    <w:basedOn w:val="HeadingBase"/>
    <w:next w:val="BodyText"/>
    <w:link w:val="Heading3Char"/>
    <w:qFormat/>
    <w:rsid w:val="00B95AC3"/>
    <w:pPr>
      <w:spacing w:before="180" w:after="120"/>
      <w:outlineLvl w:val="2"/>
    </w:pPr>
    <w:rPr>
      <w:spacing w:val="-10"/>
      <w:kern w:val="32"/>
    </w:rPr>
  </w:style>
  <w:style w:type="paragraph" w:styleId="Heading4">
    <w:name w:val="heading 4"/>
    <w:basedOn w:val="HeadingBase"/>
    <w:next w:val="BodyText"/>
    <w:link w:val="Heading4Char"/>
    <w:qFormat/>
    <w:rsid w:val="00B95AC3"/>
    <w:pPr>
      <w:spacing w:before="160" w:after="120"/>
      <w:outlineLvl w:val="3"/>
    </w:pPr>
    <w:rPr>
      <w:sz w:val="22"/>
    </w:rPr>
  </w:style>
  <w:style w:type="paragraph" w:styleId="Heading5">
    <w:name w:val="heading 5"/>
    <w:basedOn w:val="HeadingBase"/>
    <w:next w:val="Normal"/>
    <w:link w:val="Heading5Char"/>
    <w:qFormat/>
    <w:rsid w:val="00B95AC3"/>
    <w:pPr>
      <w:spacing w:before="80"/>
      <w:outlineLvl w:val="4"/>
    </w:pPr>
    <w:rPr>
      <w:color w:val="918585"/>
      <w:sz w:val="20"/>
    </w:rPr>
  </w:style>
  <w:style w:type="paragraph" w:styleId="Heading6">
    <w:name w:val="heading 6"/>
    <w:basedOn w:val="HeadingBase"/>
    <w:next w:val="Normal"/>
    <w:link w:val="Heading6Char"/>
    <w:qFormat/>
    <w:rsid w:val="00B95AC3"/>
    <w:pPr>
      <w:spacing w:before="60"/>
      <w:outlineLvl w:val="5"/>
    </w:pPr>
    <w:rPr>
      <w:color w:val="918585"/>
      <w:sz w:val="20"/>
    </w:rPr>
  </w:style>
  <w:style w:type="paragraph" w:styleId="Heading7">
    <w:name w:val="heading 7"/>
    <w:basedOn w:val="Normal"/>
    <w:next w:val="Normal"/>
    <w:link w:val="Heading7Char"/>
    <w:qFormat/>
    <w:rsid w:val="00B95AC3"/>
    <w:pPr>
      <w:ind w:left="720"/>
      <w:outlineLvl w:val="6"/>
    </w:pPr>
    <w:rPr>
      <w:i/>
    </w:rPr>
  </w:style>
  <w:style w:type="paragraph" w:styleId="Heading8">
    <w:name w:val="heading 8"/>
    <w:basedOn w:val="Normal"/>
    <w:next w:val="Normal"/>
    <w:link w:val="Heading8Char"/>
    <w:qFormat/>
    <w:rsid w:val="00B95AC3"/>
    <w:pPr>
      <w:ind w:left="720"/>
      <w:outlineLvl w:val="7"/>
    </w:pPr>
    <w:rPr>
      <w:i/>
    </w:rPr>
  </w:style>
  <w:style w:type="paragraph" w:styleId="Heading9">
    <w:name w:val="heading 9"/>
    <w:basedOn w:val="Normal"/>
    <w:next w:val="Normal"/>
    <w:link w:val="Heading9Char"/>
    <w:qFormat/>
    <w:rsid w:val="00B95AC3"/>
    <w:pPr>
      <w:ind w:left="720"/>
      <w:outlineLvl w:val="8"/>
    </w:pPr>
    <w:rPr>
      <w:i/>
    </w:rPr>
  </w:style>
  <w:style w:type="character" w:default="1" w:styleId="DefaultParagraphFont">
    <w:name w:val="Default Paragraph Font"/>
    <w:uiPriority w:val="1"/>
    <w:unhideWhenUsed/>
    <w:rsid w:val="00B95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AC3"/>
  </w:style>
  <w:style w:type="character" w:customStyle="1" w:styleId="Heading1Char">
    <w:name w:val="Heading 1 Char"/>
    <w:basedOn w:val="DefaultParagraphFont"/>
    <w:link w:val="Heading1"/>
    <w:rsid w:val="00B95AC3"/>
    <w:rPr>
      <w:rFonts w:ascii="Times New Roman" w:eastAsia="Times New Roman" w:hAnsi="Times New Roman" w:cs="Times New Roman"/>
      <w:b/>
      <w:sz w:val="32"/>
      <w:szCs w:val="20"/>
      <w:lang w:eastAsia="en-US"/>
    </w:rPr>
  </w:style>
  <w:style w:type="paragraph" w:styleId="BodyText">
    <w:name w:val="Body Text"/>
    <w:basedOn w:val="Normal"/>
    <w:link w:val="BodyTextChar"/>
    <w:rsid w:val="00B95A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AC3"/>
    <w:rPr>
      <w:rFonts w:ascii="Times New Roman" w:eastAsia="Times New Roman" w:hAnsi="Times New Roman" w:cs="Times New Roman"/>
      <w:sz w:val="24"/>
      <w:lang w:val="en-US" w:eastAsia="en-US"/>
    </w:rPr>
  </w:style>
  <w:style w:type="paragraph" w:styleId="Footer">
    <w:name w:val="footer"/>
    <w:basedOn w:val="Normal"/>
    <w:link w:val="FooterChar"/>
    <w:rsid w:val="00B95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AC3"/>
    <w:rPr>
      <w:rFonts w:ascii="Times New Roman" w:eastAsia="Times New Roman" w:hAnsi="Times New Roman" w:cs="Times New Roman"/>
      <w:sz w:val="16"/>
      <w:lang w:val="en-US" w:eastAsia="en-US"/>
    </w:rPr>
  </w:style>
  <w:style w:type="paragraph" w:styleId="List">
    <w:name w:val="List"/>
    <w:basedOn w:val="BodyText"/>
    <w:next w:val="BodyText"/>
    <w:rsid w:val="00B95AC3"/>
    <w:pPr>
      <w:tabs>
        <w:tab w:val="left" w:pos="340"/>
      </w:tabs>
      <w:spacing w:before="60" w:after="60"/>
      <w:ind w:left="340" w:hanging="340"/>
    </w:pPr>
  </w:style>
  <w:style w:type="paragraph" w:styleId="ListBullet">
    <w:name w:val="List Bullet"/>
    <w:basedOn w:val="List"/>
    <w:rsid w:val="00B95AC3"/>
    <w:pPr>
      <w:numPr>
        <w:numId w:val="13"/>
      </w:numPr>
      <w:tabs>
        <w:tab w:val="clear" w:pos="340"/>
      </w:tabs>
      <w:spacing w:before="40" w:after="40"/>
    </w:pPr>
  </w:style>
  <w:style w:type="character" w:customStyle="1" w:styleId="SpecialBold">
    <w:name w:val="Special Bold"/>
    <w:basedOn w:val="DefaultParagraphFont"/>
    <w:rsid w:val="00B95AC3"/>
    <w:rPr>
      <w:b/>
      <w:spacing w:val="0"/>
    </w:rPr>
  </w:style>
  <w:style w:type="paragraph" w:styleId="ListBullet2">
    <w:name w:val="List Bullet 2"/>
    <w:basedOn w:val="List2"/>
    <w:rsid w:val="00B95AC3"/>
    <w:pPr>
      <w:numPr>
        <w:numId w:val="14"/>
      </w:numPr>
      <w:tabs>
        <w:tab w:val="clear" w:pos="680"/>
      </w:tabs>
    </w:pPr>
  </w:style>
  <w:style w:type="paragraph" w:styleId="Header">
    <w:name w:val="header"/>
    <w:basedOn w:val="Normal"/>
    <w:link w:val="HeaderChar"/>
    <w:rsid w:val="00B95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A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AC3"/>
    <w:pPr>
      <w:spacing w:before="240" w:after="120"/>
      <w:outlineLvl w:val="0"/>
    </w:pPr>
    <w:rPr>
      <w:rFonts w:ascii="Times New Roman" w:hAnsi="Times New Roman"/>
      <w:b/>
      <w:sz w:val="28"/>
    </w:rPr>
  </w:style>
  <w:style w:type="paragraph" w:customStyle="1" w:styleId="AllowPageBreak">
    <w:name w:val="AllowPageBreak"/>
    <w:rsid w:val="00B95A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AC3"/>
    <w:pPr>
      <w:tabs>
        <w:tab w:val="left" w:pos="680"/>
      </w:tabs>
      <w:spacing w:before="60" w:after="60"/>
      <w:ind w:left="680" w:hanging="340"/>
    </w:pPr>
  </w:style>
  <w:style w:type="character" w:customStyle="1" w:styleId="BoldandItalics">
    <w:name w:val="Bold and Italics"/>
    <w:qFormat/>
    <w:rsid w:val="00B95AC3"/>
    <w:rPr>
      <w:b/>
      <w:i/>
      <w:u w:val="none"/>
    </w:rPr>
  </w:style>
  <w:style w:type="character" w:customStyle="1" w:styleId="Heading2Char">
    <w:name w:val="Heading 2 Char"/>
    <w:basedOn w:val="DefaultParagraphFont"/>
    <w:link w:val="Heading2"/>
    <w:rsid w:val="00B95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A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A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AC3"/>
    <w:rPr>
      <w:rFonts w:ascii="Courier New" w:eastAsia="Times New Roman" w:hAnsi="Courier New" w:cs="Times New Roman"/>
      <w:i/>
      <w:szCs w:val="20"/>
      <w:lang w:val="en-US" w:eastAsia="en-US"/>
    </w:rPr>
  </w:style>
  <w:style w:type="paragraph" w:customStyle="1" w:styleId="HeadingBase">
    <w:name w:val="Heading Base"/>
    <w:rsid w:val="00B95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AC3"/>
    <w:pPr>
      <w:tabs>
        <w:tab w:val="right" w:leader="dot" w:pos="9072"/>
      </w:tabs>
      <w:ind w:left="567"/>
    </w:pPr>
    <w:rPr>
      <w:szCs w:val="22"/>
    </w:rPr>
  </w:style>
  <w:style w:type="paragraph" w:customStyle="1" w:styleId="TOCBase">
    <w:name w:val="TOC Base"/>
    <w:rsid w:val="00B95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AC3"/>
    <w:pPr>
      <w:tabs>
        <w:tab w:val="right" w:leader="dot" w:pos="9072"/>
      </w:tabs>
      <w:spacing w:before="40" w:after="40"/>
      <w:ind w:left="284"/>
    </w:pPr>
    <w:rPr>
      <w:rFonts w:ascii="Times New Roman" w:hAnsi="Times New Roman"/>
    </w:rPr>
  </w:style>
  <w:style w:type="paragraph" w:styleId="TOC1">
    <w:name w:val="toc 1"/>
    <w:basedOn w:val="TOCBase"/>
    <w:next w:val="Normal"/>
    <w:rsid w:val="00B95A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AC3"/>
    <w:pPr>
      <w:spacing w:before="5040"/>
      <w:jc w:val="center"/>
    </w:pPr>
    <w:rPr>
      <w:sz w:val="48"/>
      <w:szCs w:val="72"/>
      <w:lang w:val="en-US"/>
    </w:rPr>
  </w:style>
  <w:style w:type="character" w:customStyle="1" w:styleId="TitleChar">
    <w:name w:val="Title Char"/>
    <w:basedOn w:val="DefaultParagraphFont"/>
    <w:link w:val="Title"/>
    <w:rsid w:val="00B95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AC3"/>
    <w:pPr>
      <w:tabs>
        <w:tab w:val="left" w:pos="3600"/>
        <w:tab w:val="left" w:pos="3958"/>
      </w:tabs>
    </w:pPr>
  </w:style>
  <w:style w:type="paragraph" w:customStyle="1" w:styleId="Note">
    <w:name w:val="Note"/>
    <w:basedOn w:val="BodyText"/>
    <w:rsid w:val="00B95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AC3"/>
    <w:pPr>
      <w:framePr w:wrap="auto" w:hAnchor="text" w:y="6049"/>
    </w:pPr>
    <w:rPr>
      <w:color w:val="000000"/>
      <w:sz w:val="40"/>
    </w:rPr>
  </w:style>
  <w:style w:type="paragraph" w:customStyle="1" w:styleId="TOCTitle">
    <w:name w:val="TOCTitle"/>
    <w:basedOn w:val="Heading1"/>
    <w:rsid w:val="00B95AC3"/>
    <w:pPr>
      <w:spacing w:after="240"/>
      <w:jc w:val="center"/>
      <w:outlineLvl w:val="9"/>
    </w:pPr>
    <w:rPr>
      <w:caps/>
    </w:rPr>
  </w:style>
  <w:style w:type="paragraph" w:customStyle="1" w:styleId="Version">
    <w:name w:val="Version"/>
    <w:rsid w:val="00B95A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AC3"/>
    <w:pPr>
      <w:keepNext w:val="0"/>
      <w:tabs>
        <w:tab w:val="right" w:pos="4176"/>
      </w:tabs>
      <w:ind w:left="198" w:hanging="198"/>
    </w:pPr>
    <w:rPr>
      <w:rFonts w:ascii="Garamond" w:hAnsi="Garamond"/>
    </w:rPr>
  </w:style>
  <w:style w:type="paragraph" w:styleId="IndexHeading">
    <w:name w:val="index heading"/>
    <w:basedOn w:val="Normal"/>
    <w:next w:val="Index1"/>
    <w:semiHidden/>
    <w:rsid w:val="00B95AC3"/>
    <w:pPr>
      <w:spacing w:before="120" w:after="120"/>
    </w:pPr>
    <w:rPr>
      <w:rFonts w:ascii="Arial" w:hAnsi="Arial"/>
      <w:b/>
      <w:color w:val="918585"/>
      <w:sz w:val="24"/>
    </w:rPr>
  </w:style>
  <w:style w:type="paragraph" w:customStyle="1" w:styleId="Chapter">
    <w:name w:val="Chapter"/>
    <w:basedOn w:val="Normal"/>
    <w:rsid w:val="00B95AC3"/>
    <w:pPr>
      <w:spacing w:before="240"/>
    </w:pPr>
    <w:rPr>
      <w:rFonts w:ascii="Times New Roman" w:hAnsi="Times New Roman"/>
      <w:smallCaps/>
      <w:spacing w:val="80"/>
      <w:sz w:val="28"/>
    </w:rPr>
  </w:style>
  <w:style w:type="paragraph" w:customStyle="1" w:styleId="InChapter">
    <w:name w:val="InChapter"/>
    <w:basedOn w:val="Heading3"/>
    <w:rsid w:val="00B95AC3"/>
    <w:pPr>
      <w:spacing w:after="240"/>
      <w:outlineLvl w:val="9"/>
    </w:pPr>
    <w:rPr>
      <w:noProof/>
    </w:rPr>
  </w:style>
  <w:style w:type="paragraph" w:styleId="Index2">
    <w:name w:val="index 2"/>
    <w:basedOn w:val="Normal"/>
    <w:next w:val="Normal"/>
    <w:semiHidden/>
    <w:rsid w:val="00B95AC3"/>
    <w:pPr>
      <w:tabs>
        <w:tab w:val="right" w:pos="4176"/>
      </w:tabs>
      <w:ind w:left="568" w:hanging="284"/>
    </w:pPr>
    <w:rPr>
      <w:rFonts w:ascii="Garamond" w:hAnsi="Garamond"/>
    </w:rPr>
  </w:style>
  <w:style w:type="paragraph" w:customStyle="1" w:styleId="Byline">
    <w:name w:val="Byline"/>
    <w:rsid w:val="00B95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AC3"/>
    <w:pPr>
      <w:tabs>
        <w:tab w:val="clear" w:pos="3600"/>
        <w:tab w:val="clear" w:pos="3958"/>
      </w:tabs>
      <w:jc w:val="right"/>
    </w:pPr>
  </w:style>
  <w:style w:type="character" w:styleId="Emphasis">
    <w:name w:val="Emphasis"/>
    <w:basedOn w:val="DefaultParagraphFont"/>
    <w:qFormat/>
    <w:rsid w:val="00B95AC3"/>
    <w:rPr>
      <w:i/>
    </w:rPr>
  </w:style>
  <w:style w:type="paragraph" w:styleId="Caption">
    <w:name w:val="caption"/>
    <w:basedOn w:val="BodyText"/>
    <w:next w:val="Normal"/>
    <w:qFormat/>
    <w:rsid w:val="00B95AC3"/>
    <w:pPr>
      <w:framePr w:w="2268" w:hSpace="181" w:vSpace="181" w:wrap="around" w:vAnchor="text" w:hAnchor="page" w:x="1135" w:y="285" w:anchorLock="1"/>
    </w:pPr>
    <w:rPr>
      <w:i/>
    </w:rPr>
  </w:style>
  <w:style w:type="paragraph" w:customStyle="1" w:styleId="MiniTOCTitle">
    <w:name w:val="MiniTOCTitle"/>
    <w:basedOn w:val="Heading4"/>
    <w:rsid w:val="00B95AC3"/>
    <w:pPr>
      <w:spacing w:before="240"/>
      <w:outlineLvl w:val="9"/>
    </w:pPr>
    <w:rPr>
      <w:noProof/>
      <w:sz w:val="24"/>
    </w:rPr>
  </w:style>
  <w:style w:type="paragraph" w:customStyle="1" w:styleId="MiniTOCItem">
    <w:name w:val="MiniTOCItem"/>
    <w:basedOn w:val="ListBullet"/>
    <w:rsid w:val="00B95AC3"/>
    <w:pPr>
      <w:numPr>
        <w:numId w:val="0"/>
      </w:numPr>
      <w:tabs>
        <w:tab w:val="right" w:leader="dot" w:pos="6521"/>
      </w:tabs>
      <w:spacing w:before="0" w:after="0"/>
    </w:pPr>
  </w:style>
  <w:style w:type="paragraph" w:customStyle="1" w:styleId="TOFTitle">
    <w:name w:val="TOFTitle"/>
    <w:basedOn w:val="TOCTitle"/>
    <w:rsid w:val="00B95AC3"/>
  </w:style>
  <w:style w:type="paragraph" w:styleId="TableofFigures">
    <w:name w:val="table of figures"/>
    <w:basedOn w:val="Normal"/>
    <w:next w:val="Normal"/>
    <w:semiHidden/>
    <w:rsid w:val="00B95AC3"/>
    <w:pPr>
      <w:tabs>
        <w:tab w:val="right" w:leader="dot" w:pos="9072"/>
      </w:tabs>
      <w:ind w:left="970" w:hanging="403"/>
    </w:pPr>
    <w:rPr>
      <w:rFonts w:ascii="Times New Roman" w:hAnsi="Times New Roman"/>
      <w:b/>
    </w:rPr>
  </w:style>
  <w:style w:type="paragraph" w:styleId="ListNumber">
    <w:name w:val="List Number"/>
    <w:basedOn w:val="List"/>
    <w:rsid w:val="00B95AC3"/>
    <w:pPr>
      <w:numPr>
        <w:numId w:val="11"/>
      </w:numPr>
    </w:pPr>
  </w:style>
  <w:style w:type="character" w:customStyle="1" w:styleId="WingdingSymbols">
    <w:name w:val="Wingding Symbols"/>
    <w:rsid w:val="00B95AC3"/>
    <w:rPr>
      <w:rFonts w:ascii="Wingdings" w:hAnsi="Wingdings"/>
    </w:rPr>
  </w:style>
  <w:style w:type="paragraph" w:customStyle="1" w:styleId="TableHeading">
    <w:name w:val="Table Heading"/>
    <w:basedOn w:val="HeadingBase"/>
    <w:rsid w:val="00B95AC3"/>
    <w:pPr>
      <w:keepLines/>
      <w:pBdr>
        <w:bottom w:val="single" w:sz="6" w:space="1" w:color="918585"/>
      </w:pBdr>
      <w:spacing w:before="240"/>
    </w:pPr>
  </w:style>
  <w:style w:type="character" w:customStyle="1" w:styleId="HotSpot">
    <w:name w:val="HotSpot"/>
    <w:rsid w:val="00B95AC3"/>
    <w:rPr>
      <w:color w:val="0033CC"/>
      <w:u w:val="none"/>
    </w:rPr>
  </w:style>
  <w:style w:type="paragraph" w:customStyle="1" w:styleId="BodyTextRight">
    <w:name w:val="Body Text Right"/>
    <w:basedOn w:val="BodyText"/>
    <w:rsid w:val="00B95AC3"/>
    <w:pPr>
      <w:spacing w:before="0" w:after="0"/>
      <w:jc w:val="right"/>
    </w:pPr>
  </w:style>
  <w:style w:type="paragraph" w:styleId="Index3">
    <w:name w:val="index 3"/>
    <w:basedOn w:val="ListNumber2"/>
    <w:next w:val="Normal"/>
    <w:semiHidden/>
    <w:rsid w:val="00B95AC3"/>
    <w:pPr>
      <w:numPr>
        <w:numId w:val="0"/>
      </w:numPr>
      <w:tabs>
        <w:tab w:val="right" w:leader="dot" w:pos="4176"/>
      </w:tabs>
    </w:pPr>
  </w:style>
  <w:style w:type="paragraph" w:styleId="ListNumber2">
    <w:name w:val="List Number 2"/>
    <w:basedOn w:val="List2"/>
    <w:rsid w:val="00B95AC3"/>
    <w:pPr>
      <w:numPr>
        <w:numId w:val="10"/>
      </w:numPr>
      <w:tabs>
        <w:tab w:val="clear" w:pos="1060"/>
      </w:tabs>
    </w:pPr>
  </w:style>
  <w:style w:type="paragraph" w:customStyle="1" w:styleId="MarginNote">
    <w:name w:val="Margin Note"/>
    <w:basedOn w:val="BodyText"/>
    <w:rsid w:val="00B95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A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AC3"/>
    <w:rPr>
      <w:sz w:val="32"/>
    </w:rPr>
  </w:style>
  <w:style w:type="paragraph" w:customStyle="1" w:styleId="HeadingProcedure">
    <w:name w:val="Heading Procedure"/>
    <w:basedOn w:val="HeadingBase"/>
    <w:next w:val="Normal"/>
    <w:rsid w:val="00B95AC3"/>
    <w:pPr>
      <w:tabs>
        <w:tab w:val="left" w:pos="0"/>
      </w:tabs>
      <w:spacing w:before="120" w:after="60"/>
    </w:pPr>
    <w:rPr>
      <w:i/>
      <w:color w:val="918585"/>
      <w:sz w:val="22"/>
    </w:rPr>
  </w:style>
  <w:style w:type="paragraph" w:customStyle="1" w:styleId="TableBodyText">
    <w:name w:val="Table Body Text"/>
    <w:basedOn w:val="BodyText"/>
    <w:rsid w:val="00B95AC3"/>
    <w:pPr>
      <w:spacing w:before="60" w:after="60"/>
    </w:pPr>
  </w:style>
  <w:style w:type="paragraph" w:styleId="ListContinue">
    <w:name w:val="List Continue"/>
    <w:basedOn w:val="List"/>
    <w:rsid w:val="00B95AC3"/>
    <w:pPr>
      <w:ind w:firstLine="0"/>
    </w:pPr>
  </w:style>
  <w:style w:type="paragraph" w:customStyle="1" w:styleId="ListNote">
    <w:name w:val="List Note"/>
    <w:basedOn w:val="List"/>
    <w:rsid w:val="00B95AC3"/>
    <w:pPr>
      <w:pBdr>
        <w:top w:val="single" w:sz="6" w:space="2" w:color="918585"/>
        <w:bottom w:val="single" w:sz="6" w:space="2" w:color="918585"/>
      </w:pBdr>
      <w:tabs>
        <w:tab w:val="left" w:pos="1021"/>
      </w:tabs>
      <w:ind w:firstLine="0"/>
    </w:pPr>
  </w:style>
  <w:style w:type="paragraph" w:customStyle="1" w:styleId="Warning">
    <w:name w:val="Warning"/>
    <w:basedOn w:val="BodyText"/>
    <w:rsid w:val="00B95AC3"/>
    <w:pPr>
      <w:shd w:val="clear" w:color="auto" w:fill="D9D9D9"/>
      <w:tabs>
        <w:tab w:val="left" w:pos="992"/>
      </w:tabs>
      <w:ind w:left="119" w:right="119"/>
    </w:pPr>
    <w:rPr>
      <w:sz w:val="20"/>
    </w:rPr>
  </w:style>
  <w:style w:type="paragraph" w:customStyle="1" w:styleId="MarginIcons">
    <w:name w:val="Margin Icons"/>
    <w:basedOn w:val="BodyText"/>
    <w:rsid w:val="00B95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AC3"/>
    <w:rPr>
      <w:rFonts w:ascii="Courier New" w:hAnsi="Courier New"/>
    </w:rPr>
  </w:style>
  <w:style w:type="paragraph" w:customStyle="1" w:styleId="NoteBullet">
    <w:name w:val="Note Bullet"/>
    <w:basedOn w:val="Note"/>
    <w:rsid w:val="00B95AC3"/>
    <w:pPr>
      <w:tabs>
        <w:tab w:val="clear" w:pos="680"/>
      </w:tabs>
      <w:spacing w:before="60" w:after="60"/>
    </w:pPr>
  </w:style>
  <w:style w:type="paragraph" w:customStyle="1" w:styleId="SubHeading2">
    <w:name w:val="SubHeading2"/>
    <w:basedOn w:val="HeadingBase"/>
    <w:rsid w:val="00B95AC3"/>
    <w:pPr>
      <w:spacing w:before="240" w:after="60"/>
    </w:pPr>
    <w:rPr>
      <w:sz w:val="20"/>
    </w:rPr>
  </w:style>
  <w:style w:type="paragraph" w:customStyle="1" w:styleId="SubHeading1">
    <w:name w:val="SubHeading1"/>
    <w:basedOn w:val="HeadingBase"/>
    <w:rsid w:val="00B95AC3"/>
    <w:pPr>
      <w:spacing w:before="240" w:after="60"/>
    </w:pPr>
    <w:rPr>
      <w:color w:val="918585"/>
      <w:sz w:val="22"/>
    </w:rPr>
  </w:style>
  <w:style w:type="paragraph" w:customStyle="1" w:styleId="SideHeading">
    <w:name w:val="Side Heading"/>
    <w:basedOn w:val="HeadingBase"/>
    <w:rsid w:val="00B95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AC3"/>
    <w:pPr>
      <w:numPr>
        <w:numId w:val="12"/>
      </w:numPr>
    </w:pPr>
  </w:style>
  <w:style w:type="paragraph" w:styleId="PlainText">
    <w:name w:val="Plain Text"/>
    <w:basedOn w:val="Normal"/>
    <w:link w:val="PlainTextChar"/>
    <w:rsid w:val="00B95AC3"/>
    <w:rPr>
      <w:sz w:val="20"/>
    </w:rPr>
  </w:style>
  <w:style w:type="character" w:customStyle="1" w:styleId="PlainTextChar">
    <w:name w:val="Plain Text Char"/>
    <w:basedOn w:val="DefaultParagraphFont"/>
    <w:link w:val="PlainText"/>
    <w:rsid w:val="00B95A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AC3"/>
    <w:rPr>
      <w:b/>
      <w:smallCaps/>
    </w:rPr>
  </w:style>
  <w:style w:type="paragraph" w:customStyle="1" w:styleId="TableListNumber">
    <w:name w:val="Table List Number"/>
    <w:basedOn w:val="ListNumber"/>
    <w:rsid w:val="00B95AC3"/>
    <w:pPr>
      <w:numPr>
        <w:numId w:val="0"/>
      </w:numPr>
    </w:pPr>
  </w:style>
  <w:style w:type="paragraph" w:styleId="TOC4">
    <w:name w:val="toc 4"/>
    <w:basedOn w:val="TOCBase"/>
    <w:next w:val="Normal"/>
    <w:semiHidden/>
    <w:rsid w:val="00B95AC3"/>
    <w:pPr>
      <w:tabs>
        <w:tab w:val="right" w:leader="dot" w:pos="9071"/>
      </w:tabs>
      <w:ind w:left="1701"/>
    </w:pPr>
  </w:style>
  <w:style w:type="paragraph" w:customStyle="1" w:styleId="ListAlpha">
    <w:name w:val="List Alpha"/>
    <w:basedOn w:val="List"/>
    <w:rsid w:val="00B95AC3"/>
    <w:pPr>
      <w:numPr>
        <w:numId w:val="9"/>
      </w:numPr>
    </w:pPr>
  </w:style>
  <w:style w:type="paragraph" w:customStyle="1" w:styleId="ListAlpha2">
    <w:name w:val="List Alpha 2"/>
    <w:basedOn w:val="List2"/>
    <w:rsid w:val="00B95AC3"/>
    <w:pPr>
      <w:numPr>
        <w:numId w:val="8"/>
      </w:numPr>
    </w:pPr>
  </w:style>
  <w:style w:type="paragraph" w:styleId="List3">
    <w:name w:val="List 3"/>
    <w:basedOn w:val="BodyText"/>
    <w:rsid w:val="00B95AC3"/>
    <w:pPr>
      <w:tabs>
        <w:tab w:val="left" w:pos="1021"/>
      </w:tabs>
      <w:spacing w:before="60" w:after="60"/>
      <w:ind w:left="1020" w:hanging="340"/>
    </w:pPr>
  </w:style>
  <w:style w:type="paragraph" w:styleId="List4">
    <w:name w:val="List 4"/>
    <w:basedOn w:val="BodyText"/>
    <w:rsid w:val="00B95AC3"/>
    <w:pPr>
      <w:tabs>
        <w:tab w:val="left" w:pos="1361"/>
      </w:tabs>
      <w:spacing w:before="60" w:after="60"/>
      <w:ind w:left="1361" w:hanging="340"/>
    </w:pPr>
  </w:style>
  <w:style w:type="paragraph" w:styleId="List5">
    <w:name w:val="List 5"/>
    <w:basedOn w:val="BodyText"/>
    <w:rsid w:val="00B95AC3"/>
    <w:pPr>
      <w:tabs>
        <w:tab w:val="left" w:pos="1701"/>
      </w:tabs>
      <w:spacing w:before="60" w:after="60"/>
      <w:ind w:left="1701" w:hanging="340"/>
    </w:pPr>
  </w:style>
  <w:style w:type="paragraph" w:styleId="ListBullet3">
    <w:name w:val="List Bullet 3"/>
    <w:basedOn w:val="List3"/>
    <w:rsid w:val="00B95AC3"/>
    <w:pPr>
      <w:numPr>
        <w:numId w:val="15"/>
      </w:numPr>
      <w:tabs>
        <w:tab w:val="clear" w:pos="1021"/>
      </w:tabs>
      <w:ind w:left="1037" w:hanging="357"/>
    </w:pPr>
  </w:style>
  <w:style w:type="paragraph" w:styleId="ListBullet4">
    <w:name w:val="List Bullet 4"/>
    <w:basedOn w:val="List4"/>
    <w:rsid w:val="00B95AC3"/>
    <w:pPr>
      <w:numPr>
        <w:numId w:val="3"/>
      </w:numPr>
    </w:pPr>
  </w:style>
  <w:style w:type="paragraph" w:styleId="ListBullet5">
    <w:name w:val="List Bullet 5"/>
    <w:basedOn w:val="List5"/>
    <w:rsid w:val="00B95AC3"/>
    <w:pPr>
      <w:numPr>
        <w:numId w:val="4"/>
      </w:numPr>
    </w:pPr>
  </w:style>
  <w:style w:type="paragraph" w:styleId="ListContinue2">
    <w:name w:val="List Continue 2"/>
    <w:basedOn w:val="List2"/>
    <w:rsid w:val="00B95AC3"/>
    <w:pPr>
      <w:ind w:firstLine="0"/>
    </w:pPr>
  </w:style>
  <w:style w:type="paragraph" w:styleId="ListContinue3">
    <w:name w:val="List Continue 3"/>
    <w:basedOn w:val="List3"/>
    <w:rsid w:val="00B95AC3"/>
    <w:pPr>
      <w:ind w:left="1021" w:firstLine="0"/>
    </w:pPr>
  </w:style>
  <w:style w:type="paragraph" w:styleId="ListContinue4">
    <w:name w:val="List Continue 4"/>
    <w:basedOn w:val="List4"/>
    <w:rsid w:val="00B95AC3"/>
    <w:pPr>
      <w:ind w:firstLine="0"/>
    </w:pPr>
  </w:style>
  <w:style w:type="paragraph" w:styleId="ListContinue5">
    <w:name w:val="List Continue 5"/>
    <w:basedOn w:val="List5"/>
    <w:rsid w:val="00B95AC3"/>
    <w:pPr>
      <w:ind w:firstLine="0"/>
    </w:pPr>
  </w:style>
  <w:style w:type="paragraph" w:styleId="ListNumber3">
    <w:name w:val="List Number 3"/>
    <w:basedOn w:val="List3"/>
    <w:rsid w:val="00B95AC3"/>
    <w:pPr>
      <w:numPr>
        <w:numId w:val="5"/>
      </w:numPr>
    </w:pPr>
  </w:style>
  <w:style w:type="paragraph" w:styleId="ListNumber4">
    <w:name w:val="List Number 4"/>
    <w:basedOn w:val="List4"/>
    <w:rsid w:val="00B95AC3"/>
    <w:pPr>
      <w:numPr>
        <w:numId w:val="6"/>
      </w:numPr>
    </w:pPr>
  </w:style>
  <w:style w:type="paragraph" w:styleId="ListNumber5">
    <w:name w:val="List Number 5"/>
    <w:basedOn w:val="List5"/>
    <w:rsid w:val="00B95AC3"/>
    <w:pPr>
      <w:numPr>
        <w:numId w:val="7"/>
      </w:numPr>
    </w:pPr>
  </w:style>
  <w:style w:type="paragraph" w:styleId="BlockText">
    <w:name w:val="Block Text"/>
    <w:basedOn w:val="Normal"/>
    <w:rsid w:val="00B95AC3"/>
    <w:pPr>
      <w:spacing w:after="120"/>
      <w:ind w:left="1440" w:right="1440"/>
    </w:pPr>
  </w:style>
  <w:style w:type="character" w:customStyle="1" w:styleId="Subscript">
    <w:name w:val="Subscript"/>
    <w:basedOn w:val="DefaultParagraphFont"/>
    <w:rsid w:val="00B95AC3"/>
    <w:rPr>
      <w:sz w:val="16"/>
      <w:vertAlign w:val="subscript"/>
    </w:rPr>
  </w:style>
  <w:style w:type="character" w:customStyle="1" w:styleId="Superscript">
    <w:name w:val="Superscript"/>
    <w:basedOn w:val="DefaultParagraphFont"/>
    <w:rsid w:val="00B95AC3"/>
    <w:rPr>
      <w:sz w:val="16"/>
      <w:vertAlign w:val="superscript"/>
    </w:rPr>
  </w:style>
  <w:style w:type="character" w:customStyle="1" w:styleId="Symbols">
    <w:name w:val="Symbols"/>
    <w:basedOn w:val="DefaultParagraphFont"/>
    <w:rsid w:val="00B95AC3"/>
    <w:rPr>
      <w:rFonts w:ascii="Symbol" w:hAnsi="Symbol"/>
    </w:rPr>
  </w:style>
  <w:style w:type="character" w:customStyle="1" w:styleId="MenuOptions">
    <w:name w:val="Menu Options"/>
    <w:basedOn w:val="DefaultParagraphFont"/>
    <w:rsid w:val="00B95AC3"/>
    <w:rPr>
      <w:rFonts w:ascii="Arial Narrow" w:hAnsi="Arial Narrow"/>
      <w:smallCaps/>
    </w:rPr>
  </w:style>
  <w:style w:type="character" w:customStyle="1" w:styleId="Buttons">
    <w:name w:val="Buttons"/>
    <w:basedOn w:val="DefaultParagraphFont"/>
    <w:rsid w:val="00B95AC3"/>
    <w:rPr>
      <w:b/>
    </w:rPr>
  </w:style>
  <w:style w:type="character" w:customStyle="1" w:styleId="Underlined">
    <w:name w:val="Underlined"/>
    <w:basedOn w:val="DefaultParagraphFont"/>
    <w:rsid w:val="00B95AC3"/>
    <w:rPr>
      <w:u w:val="single"/>
    </w:rPr>
  </w:style>
  <w:style w:type="paragraph" w:customStyle="1" w:styleId="TableBodyTextRight">
    <w:name w:val="Table Body Text Right"/>
    <w:basedOn w:val="TableBodyText"/>
    <w:rsid w:val="00B95AC3"/>
    <w:pPr>
      <w:widowControl w:val="0"/>
      <w:autoSpaceDE w:val="0"/>
      <w:autoSpaceDN w:val="0"/>
      <w:adjustRightInd w:val="0"/>
      <w:jc w:val="right"/>
    </w:pPr>
    <w:rPr>
      <w:rFonts w:cs="Arial"/>
      <w:szCs w:val="18"/>
    </w:rPr>
  </w:style>
  <w:style w:type="paragraph" w:customStyle="1" w:styleId="CopyrightText">
    <w:name w:val="Copyright Text"/>
    <w:basedOn w:val="BodyText"/>
    <w:rsid w:val="00B95AC3"/>
    <w:rPr>
      <w:sz w:val="18"/>
    </w:rPr>
  </w:style>
  <w:style w:type="paragraph" w:customStyle="1" w:styleId="BodySmallRight">
    <w:name w:val="Body Small Right"/>
    <w:basedOn w:val="BodyTextRight"/>
    <w:rsid w:val="00B95AC3"/>
    <w:rPr>
      <w:sz w:val="18"/>
      <w:szCs w:val="18"/>
    </w:rPr>
  </w:style>
  <w:style w:type="paragraph" w:customStyle="1" w:styleId="MarginEdition">
    <w:name w:val="Margin Edition"/>
    <w:basedOn w:val="MarginNote"/>
    <w:rsid w:val="00B95AC3"/>
    <w:pPr>
      <w:spacing w:before="0" w:after="0"/>
    </w:pPr>
    <w:rPr>
      <w:rFonts w:ascii="Times New Roman" w:hAnsi="Times New Roman"/>
      <w:color w:val="999999"/>
    </w:rPr>
  </w:style>
  <w:style w:type="paragraph" w:customStyle="1" w:styleId="Spacer">
    <w:name w:val="Spacer"/>
    <w:basedOn w:val="Normal"/>
    <w:rsid w:val="00B95AC3"/>
    <w:rPr>
      <w:sz w:val="2"/>
      <w:szCs w:val="2"/>
    </w:rPr>
  </w:style>
  <w:style w:type="character" w:customStyle="1" w:styleId="Small">
    <w:name w:val="Small"/>
    <w:basedOn w:val="DefaultParagraphFont"/>
    <w:rsid w:val="00B95AC3"/>
    <w:rPr>
      <w:sz w:val="16"/>
    </w:rPr>
  </w:style>
  <w:style w:type="paragraph" w:customStyle="1" w:styleId="WideTable">
    <w:name w:val="Wide Table"/>
    <w:basedOn w:val="Normal"/>
    <w:rsid w:val="00B95AC3"/>
    <w:pPr>
      <w:ind w:left="-1418"/>
    </w:pPr>
    <w:rPr>
      <w:sz w:val="2"/>
      <w:szCs w:val="2"/>
    </w:rPr>
  </w:style>
  <w:style w:type="character" w:styleId="PageNumber">
    <w:name w:val="page number"/>
    <w:basedOn w:val="DefaultParagraphFont"/>
    <w:rsid w:val="00B95AC3"/>
  </w:style>
  <w:style w:type="paragraph" w:styleId="Quote">
    <w:name w:val="Quote"/>
    <w:basedOn w:val="Heading1"/>
    <w:link w:val="QuoteChar"/>
    <w:qFormat/>
    <w:rsid w:val="00B95AC3"/>
    <w:rPr>
      <w:b w:val="0"/>
      <w:sz w:val="72"/>
      <w:szCs w:val="72"/>
      <w:lang w:val="en-NZ"/>
    </w:rPr>
  </w:style>
  <w:style w:type="character" w:customStyle="1" w:styleId="QuoteChar">
    <w:name w:val="Quote Char"/>
    <w:basedOn w:val="DefaultParagraphFont"/>
    <w:link w:val="Quote"/>
    <w:rsid w:val="00B95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AC3"/>
    <w:pPr>
      <w:pageBreakBefore/>
    </w:pPr>
  </w:style>
  <w:style w:type="paragraph" w:customStyle="1" w:styleId="Border">
    <w:name w:val="Border"/>
    <w:basedOn w:val="Normal"/>
    <w:qFormat/>
    <w:rsid w:val="00B95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AC3"/>
    <w:rPr>
      <w:b/>
      <w:bCs/>
      <w:i/>
      <w:iCs/>
      <w:color w:val="auto"/>
    </w:rPr>
  </w:style>
  <w:style w:type="paragraph" w:styleId="IntenseQuote">
    <w:name w:val="Intense Quote"/>
    <w:basedOn w:val="Normal"/>
    <w:next w:val="Normal"/>
    <w:link w:val="IntenseQuoteChar"/>
    <w:uiPriority w:val="30"/>
    <w:qFormat/>
    <w:rsid w:val="00B95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A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AC3"/>
    <w:rPr>
      <w:smallCaps/>
      <w:color w:val="auto"/>
      <w:u w:val="single"/>
    </w:rPr>
  </w:style>
  <w:style w:type="character" w:styleId="IntenseReference">
    <w:name w:val="Intense Reference"/>
    <w:basedOn w:val="DefaultParagraphFont"/>
    <w:uiPriority w:val="32"/>
    <w:qFormat/>
    <w:rsid w:val="00B95AC3"/>
    <w:rPr>
      <w:b/>
      <w:bCs/>
      <w:smallCaps/>
      <w:color w:val="auto"/>
      <w:spacing w:val="5"/>
      <w:u w:val="single"/>
    </w:rPr>
  </w:style>
  <w:style w:type="paragraph" w:customStyle="1" w:styleId="2ColumnHeading">
    <w:name w:val="2Column Heading"/>
    <w:basedOn w:val="BodyText"/>
    <w:qFormat/>
    <w:rsid w:val="00B95AC3"/>
    <w:pPr>
      <w:spacing w:after="60"/>
      <w:ind w:left="-2268"/>
    </w:pPr>
    <w:rPr>
      <w:b/>
    </w:rPr>
  </w:style>
  <w:style w:type="paragraph" w:customStyle="1" w:styleId="Heading1TOC">
    <w:name w:val="Heading1 TOC"/>
    <w:basedOn w:val="Normal"/>
    <w:qFormat/>
    <w:rsid w:val="00B95AC3"/>
    <w:pPr>
      <w:spacing w:before="240" w:after="120"/>
    </w:pPr>
    <w:rPr>
      <w:rFonts w:ascii="Times New Roman" w:hAnsi="Times New Roman"/>
      <w:b/>
      <w:sz w:val="32"/>
    </w:rPr>
  </w:style>
  <w:style w:type="paragraph" w:customStyle="1" w:styleId="Heading2TOC">
    <w:name w:val="Heading2 TOC"/>
    <w:basedOn w:val="Normal"/>
    <w:qFormat/>
    <w:rsid w:val="00B95AC3"/>
    <w:pPr>
      <w:spacing w:before="240" w:after="60"/>
    </w:pPr>
    <w:rPr>
      <w:rFonts w:ascii="Times New Roman" w:hAnsi="Times New Roman"/>
      <w:b/>
      <w:sz w:val="28"/>
    </w:rPr>
  </w:style>
  <w:style w:type="character" w:customStyle="1" w:styleId="Underline">
    <w:name w:val="Underline"/>
    <w:basedOn w:val="DefaultParagraphFont"/>
    <w:qFormat/>
    <w:rsid w:val="00B95AC3"/>
    <w:rPr>
      <w:u w:val="single"/>
    </w:rPr>
  </w:style>
  <w:style w:type="paragraph" w:styleId="BalloonText">
    <w:name w:val="Balloon Text"/>
    <w:basedOn w:val="Normal"/>
    <w:link w:val="BalloonTextChar"/>
    <w:rsid w:val="00B95AC3"/>
    <w:rPr>
      <w:rFonts w:ascii="Tahoma" w:hAnsi="Tahoma" w:cs="Tahoma"/>
      <w:sz w:val="16"/>
      <w:szCs w:val="16"/>
    </w:rPr>
  </w:style>
  <w:style w:type="character" w:customStyle="1" w:styleId="BalloonTextChar">
    <w:name w:val="Balloon Text Char"/>
    <w:basedOn w:val="DefaultParagraphFont"/>
    <w:link w:val="BalloonText"/>
    <w:rsid w:val="00B95A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A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A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840</Words>
  <Characters>5428</Characters>
  <Application>Microsoft Office Word</Application>
  <DocSecurity>0</DocSecurity>
  <Lines>213</Lines>
  <Paragraphs>112</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FNSACC404A Prepare financial statements for non-reporting entities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2012-05-26T16:11:00Z</dcterms:created>
  <dcterms:modified xsi:type="dcterms:W3CDTF">2012-05-26T16:11:00Z</dcterms:modified>
</cp:coreProperties>
</file>