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2AAC" w:rsidP="00872AAC">
      <w:pPr>
        <w:pStyle w:val="Title"/>
      </w:pPr>
      <w:r>
        <w:fldChar w:fldCharType="begin"/>
      </w:r>
      <w:r>
        <w:instrText xml:space="preserve"> TITLE   \* MERGEFORMAT </w:instrText>
      </w:r>
      <w:r>
        <w:fldChar w:fldCharType="separate"/>
      </w:r>
      <w:r>
        <w:t>FNSACC403B Make decisions in a legal context</w:t>
      </w:r>
      <w:r>
        <w:fldChar w:fldCharType="end"/>
      </w:r>
    </w:p>
    <w:p w:rsidR="00872AAC" w:rsidP="00872AAC">
      <w:pPr>
        <w:pStyle w:val="Version"/>
        <w:sectPr w:rsidSect="006861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61A3" w:rsidP="006861A3">
      <w:pPr>
        <w:pStyle w:val="SuperHeading"/>
      </w:pPr>
      <w:r w:rsidRPr="006861A3">
        <w:t>FNSACC403B Make decisions in a legal context</w:t>
      </w:r>
    </w:p>
    <w:p w:rsidR="00000000" w:rsidRPr="006861A3" w:rsidP="006861A3">
      <w:pPr>
        <w:pStyle w:val="Heading1"/>
      </w:pPr>
      <w:bookmarkStart w:id="1" w:name="O_425349"/>
      <w:bookmarkEnd w:id="1"/>
      <w:r w:rsidRPr="006861A3">
        <w:t>Modification History</w:t>
      </w:r>
    </w:p>
    <w:tbl>
      <w:tblPr>
        <w:tblW w:w="0" w:type="auto"/>
        <w:tblLayout w:type="fixed"/>
        <w:tblCellMar>
          <w:left w:w="62" w:type="dxa"/>
          <w:right w:w="62" w:type="dxa"/>
        </w:tblCellMar>
        <w:tblLook w:val="0000"/>
      </w:tblPr>
      <w:tblGrid>
        <w:gridCol w:w="3153"/>
        <w:gridCol w:w="5873"/>
      </w:tblGrid>
      <w:tr w:rsidTr="006861A3">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1A3" w:rsidP="006861A3">
            <w:pPr>
              <w:pStyle w:val="BodyText"/>
            </w:pPr>
            <w:r w:rsidRPr="006861A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1A3">
            <w:pPr>
              <w:pStyle w:val="BodyText"/>
              <w:rPr>
                <w:lang w:val="en-NZ"/>
              </w:rPr>
            </w:pPr>
            <w:r w:rsidRPr="006861A3">
              <w:rPr>
                <w:rStyle w:val="SpecialBold"/>
              </w:rPr>
              <w:t>Comments</w:t>
            </w:r>
          </w:p>
        </w:tc>
      </w:tr>
      <w:tr w:rsidTr="006861A3">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1A3">
            <w:pPr>
              <w:pStyle w:val="BodyText"/>
              <w:rPr>
                <w:lang w:val="en-NZ"/>
              </w:rPr>
            </w:pPr>
            <w:r w:rsidRPr="006861A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1A3" w:rsidP="006861A3">
            <w:pPr>
              <w:pStyle w:val="BodyText"/>
            </w:pPr>
            <w:r w:rsidRPr="006861A3">
              <w:t xml:space="preserve">This unit released with </w:t>
            </w:r>
            <w:r w:rsidRPr="006861A3">
              <w:rPr>
                <w:rStyle w:val="Emphasis"/>
              </w:rPr>
              <w:t>FNS10 Financial Services Training Package v3.0</w:t>
            </w:r>
          </w:p>
          <w:p w:rsidR="00000000" w:rsidRPr="006861A3" w:rsidP="006861A3">
            <w:pPr>
              <w:pStyle w:val="BodyText"/>
            </w:pPr>
            <w:r w:rsidRPr="006861A3">
              <w:t>Unit reviewed and enhanced to reflect Tax Practitioners Boar</w:t>
            </w:r>
            <w:r w:rsidRPr="006861A3">
              <w:t>d requirements.</w:t>
            </w:r>
          </w:p>
          <w:p w:rsidR="00000000" w:rsidRPr="006861A3" w:rsidP="006861A3">
            <w:pPr>
              <w:pStyle w:val="BodyText"/>
            </w:pPr>
            <w:r w:rsidRPr="006861A3">
              <w:t>Replaces FNSACC403A.</w:t>
            </w:r>
          </w:p>
          <w:p w:rsidR="00000000" w:rsidRPr="006861A3" w:rsidP="006861A3">
            <w:pPr>
              <w:pStyle w:val="BodyText"/>
            </w:pPr>
          </w:p>
        </w:tc>
      </w:tr>
    </w:tbl>
    <w:p w:rsidR="00872AAC" w:rsidP="006861A3">
      <w:pPr>
        <w:pStyle w:val="BodyText"/>
      </w:pPr>
    </w:p>
    <w:p w:rsidR="00872AAC" w:rsidP="006861A3">
      <w:pPr>
        <w:pStyle w:val="BodyText"/>
      </w:pPr>
    </w:p>
    <w:p w:rsidR="00000000" w:rsidRPr="006861A3" w:rsidP="006861A3">
      <w:pPr>
        <w:pStyle w:val="Heading1"/>
      </w:pPr>
      <w:bookmarkStart w:id="2" w:name="O_425350"/>
      <w:bookmarkEnd w:id="2"/>
      <w:r w:rsidRPr="006861A3">
        <w:t>Unit Descriptor</w:t>
      </w:r>
    </w:p>
    <w:p w:rsidR="00000000" w:rsidRPr="006861A3" w:rsidP="006861A3">
      <w:pPr>
        <w:pStyle w:val="BodyText"/>
      </w:pPr>
      <w:r w:rsidRPr="006861A3">
        <w:t>This unit describes the performance outcomes, skills and knowledge required to make decisions in a legal context. It is intended to satisfy the requirement for a course of study in c</w:t>
      </w:r>
      <w:r w:rsidRPr="006861A3">
        <w:t>ommercial law at an introductory or foundation level covering Australian legal systems and processes.</w:t>
      </w:r>
    </w:p>
    <w:p w:rsidR="00000000" w:rsidRPr="006861A3" w:rsidP="006861A3">
      <w:pPr>
        <w:pStyle w:val="AllowPageBreak"/>
      </w:pPr>
    </w:p>
    <w:p w:rsidR="00000000" w:rsidRPr="006861A3" w:rsidP="006861A3">
      <w:pPr>
        <w:pStyle w:val="Heading1"/>
      </w:pPr>
      <w:bookmarkStart w:id="3" w:name="O_425351"/>
      <w:bookmarkEnd w:id="3"/>
      <w:r w:rsidRPr="006861A3">
        <w:t>Application of the Unit</w:t>
      </w:r>
    </w:p>
    <w:p w:rsidR="00000000" w:rsidRPr="006861A3" w:rsidP="006861A3">
      <w:pPr>
        <w:pStyle w:val="BodyText"/>
      </w:pPr>
      <w:r w:rsidRPr="006861A3">
        <w:t>This unit has broad application and can be used wherever candidates have a need to make decisions in a c</w:t>
      </w:r>
      <w:r w:rsidRPr="006861A3">
        <w:t>ontext of the Australian legal system.</w:t>
      </w:r>
    </w:p>
    <w:p w:rsidR="00000000" w:rsidRPr="006861A3" w:rsidP="006861A3">
      <w:pPr>
        <w:pStyle w:val="AllowPageBreak"/>
      </w:pPr>
    </w:p>
    <w:p w:rsidR="00000000" w:rsidRPr="006861A3" w:rsidP="006861A3">
      <w:pPr>
        <w:pStyle w:val="Heading1"/>
      </w:pPr>
      <w:bookmarkStart w:id="4" w:name="O_425352"/>
      <w:bookmarkEnd w:id="4"/>
      <w:r w:rsidRPr="006861A3">
        <w:t>Licensing/Regulatory Information</w:t>
      </w:r>
    </w:p>
    <w:p w:rsidR="00000000" w:rsidRPr="006861A3" w:rsidP="006861A3">
      <w:pPr>
        <w:pStyle w:val="BodyText"/>
      </w:pPr>
      <w:r w:rsidRPr="006861A3">
        <w:t>This unit may apply to job roles subject to licensing, legislative, regulatory or certification requirements; Commonwealth, State or Territory requirements should be c</w:t>
      </w:r>
      <w:r w:rsidRPr="006861A3">
        <w:t>onfirmed with the relevant body.</w:t>
      </w:r>
    </w:p>
    <w:p w:rsidR="00000000" w:rsidRPr="006861A3" w:rsidP="006861A3">
      <w:pPr>
        <w:pStyle w:val="AllowPageBreak"/>
      </w:pPr>
    </w:p>
    <w:p w:rsidR="00000000" w:rsidRPr="006861A3" w:rsidP="006861A3">
      <w:pPr>
        <w:pStyle w:val="Heading1"/>
      </w:pPr>
      <w:bookmarkStart w:id="5" w:name="O_425353"/>
      <w:bookmarkEnd w:id="5"/>
      <w:r w:rsidRPr="006861A3">
        <w:t>Pre-Requisites</w:t>
      </w:r>
    </w:p>
    <w:p w:rsidR="00000000" w:rsidRPr="006861A3" w:rsidP="006861A3">
      <w:pPr>
        <w:pStyle w:val="BodyText"/>
      </w:pPr>
      <w:r w:rsidRPr="006861A3">
        <w:t>Not applicable.</w:t>
      </w:r>
    </w:p>
    <w:p w:rsidR="00000000" w:rsidRPr="006861A3" w:rsidP="006861A3">
      <w:pPr>
        <w:pStyle w:val="AllowPageBreak"/>
      </w:pPr>
    </w:p>
    <w:p w:rsidR="00000000" w:rsidRPr="006861A3" w:rsidP="006861A3">
      <w:pPr>
        <w:pStyle w:val="Heading1"/>
      </w:pPr>
      <w:bookmarkStart w:id="6" w:name="O_425354"/>
      <w:bookmarkEnd w:id="6"/>
      <w:r w:rsidRPr="006861A3">
        <w:t>Employability Skills Information</w:t>
      </w:r>
    </w:p>
    <w:p w:rsidR="00000000" w:rsidRPr="006861A3" w:rsidP="006861A3">
      <w:pPr>
        <w:pStyle w:val="BodyText"/>
      </w:pPr>
      <w:r w:rsidRPr="006861A3">
        <w:t>This unit contains employability skills.</w:t>
      </w:r>
    </w:p>
    <w:p w:rsidR="00000000" w:rsidRPr="006861A3" w:rsidP="006861A3">
      <w:pPr>
        <w:pStyle w:val="AllowPageBreak"/>
      </w:pPr>
    </w:p>
    <w:p w:rsidR="00000000" w:rsidRPr="006861A3" w:rsidP="006861A3">
      <w:pPr>
        <w:pStyle w:val="Heading1"/>
      </w:pPr>
      <w:bookmarkStart w:id="7" w:name="O_425355"/>
      <w:bookmarkEnd w:id="7"/>
      <w:r w:rsidRPr="006861A3">
        <w:t>Elements and Performance Criteria Pre-Content</w:t>
      </w:r>
    </w:p>
    <w:tbl>
      <w:tblPr>
        <w:tblW w:w="0" w:type="auto"/>
        <w:tblLayout w:type="fixed"/>
        <w:tblCellMar>
          <w:left w:w="62" w:type="dxa"/>
          <w:right w:w="62" w:type="dxa"/>
        </w:tblCellMar>
        <w:tblLook w:val="0000"/>
      </w:tblPr>
      <w:tblGrid>
        <w:gridCol w:w="2381"/>
        <w:gridCol w:w="5824"/>
      </w:tblGrid>
      <w:tr w:rsidTr="006861A3">
        <w:tblPrEx>
          <w:tblW w:w="0" w:type="auto"/>
          <w:tblLayout w:type="fixed"/>
          <w:tblCellMar>
            <w:left w:w="62" w:type="dxa"/>
            <w:right w:w="62" w:type="dxa"/>
          </w:tblCellMar>
          <w:tblLook w:val="0000"/>
        </w:tblPrEx>
        <w:trPr>
          <w:tblHeader/>
        </w:trPr>
        <w:tc>
          <w:tcPr>
            <w:tcW w:w="2381"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6861A3" w:rsidP="006861A3">
            <w:pPr>
              <w:pStyle w:val="BodyText"/>
            </w:pPr>
            <w:r w:rsidRPr="006861A3">
              <w:rPr>
                <w:rStyle w:val="SpecialBold"/>
              </w:rPr>
              <w:t>Element</w:t>
            </w:r>
          </w:p>
        </w:tc>
        <w:tc>
          <w:tcPr>
            <w:tcW w:w="5824"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6861A3">
            <w:pPr>
              <w:pStyle w:val="BodyText"/>
              <w:rPr>
                <w:lang w:val="en-NZ"/>
              </w:rPr>
            </w:pPr>
            <w:r w:rsidRPr="006861A3">
              <w:rPr>
                <w:rStyle w:val="SpecialBold"/>
              </w:rPr>
              <w:t>Performance Criteria</w:t>
            </w:r>
          </w:p>
        </w:tc>
      </w:tr>
      <w:tr w:rsidTr="006861A3">
        <w:tblPrEx>
          <w:tblW w:w="0" w:type="auto"/>
          <w:tblLayout w:type="fixed"/>
          <w:tblCellMar>
            <w:left w:w="62" w:type="dxa"/>
            <w:right w:w="62" w:type="dxa"/>
          </w:tblCellMar>
          <w:tblLook w:val="0000"/>
        </w:tblPrEx>
        <w:tc>
          <w:tcPr>
            <w:tcW w:w="2381"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6861A3" w:rsidP="006861A3">
            <w:pPr>
              <w:pStyle w:val="BodyText"/>
            </w:pPr>
            <w:r w:rsidRPr="006861A3">
              <w:rPr>
                <w:rStyle w:val="Emphasis"/>
              </w:rPr>
              <w:t>Elements describe the essential outcomes of a unit of competency.</w:t>
            </w:r>
          </w:p>
        </w:tc>
        <w:tc>
          <w:tcPr>
            <w:tcW w:w="5824"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6861A3" w:rsidP="006861A3">
            <w:pPr>
              <w:pStyle w:val="BodyText"/>
            </w:pPr>
            <w:r w:rsidRPr="006861A3">
              <w:rPr>
                <w:rStyle w:val="Emphasis"/>
              </w:rPr>
              <w:t>Performance criteria describe the performance needed to demonstrate achievement of the element. Where bold italicised text is used, further information is detailed in t</w:t>
            </w:r>
            <w:r w:rsidRPr="006861A3">
              <w:rPr>
                <w:rStyle w:val="Emphasis"/>
              </w:rPr>
              <w:t>he required skills and knowledge section and the range statement. Assessment of performance is to be consistent with the evidence guide.</w:t>
            </w:r>
          </w:p>
        </w:tc>
      </w:tr>
    </w:tbl>
    <w:p w:rsidR="00000000" w:rsidRPr="006861A3" w:rsidP="006861A3">
      <w:pPr>
        <w:pStyle w:val="BodyText"/>
      </w:pPr>
    </w:p>
    <w:p w:rsidR="00000000" w:rsidRPr="006861A3" w:rsidP="006861A3">
      <w:pPr>
        <w:pStyle w:val="AllowPageBreak"/>
      </w:pPr>
    </w:p>
    <w:p w:rsidR="00000000" w:rsidRPr="006861A3" w:rsidP="006861A3">
      <w:pPr>
        <w:pStyle w:val="Heading1"/>
      </w:pPr>
      <w:bookmarkStart w:id="8" w:name="O_425356"/>
      <w:bookmarkEnd w:id="8"/>
      <w:r w:rsidRPr="006861A3">
        <w:t>Elements and Performance Criteria</w:t>
      </w:r>
    </w:p>
    <w:tbl>
      <w:tblPr>
        <w:tblW w:w="0" w:type="auto"/>
        <w:tblLayout w:type="fixed"/>
        <w:tblCellMar>
          <w:left w:w="62" w:type="dxa"/>
          <w:right w:w="62" w:type="dxa"/>
        </w:tblCellMar>
        <w:tblLook w:val="0000"/>
      </w:tblPr>
      <w:tblGrid>
        <w:gridCol w:w="2401"/>
        <w:gridCol w:w="5804"/>
      </w:tblGrid>
      <w:tr w:rsidTr="006861A3">
        <w:tblPrEx>
          <w:tblW w:w="0" w:type="auto"/>
          <w:tblLayout w:type="fixed"/>
          <w:tblCellMar>
            <w:left w:w="62" w:type="dxa"/>
            <w:right w:w="62" w:type="dxa"/>
          </w:tblCellMar>
          <w:tblLook w:val="0000"/>
        </w:tblPrEx>
        <w:tc>
          <w:tcPr>
            <w:tcW w:w="2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1A3">
            <w:pPr>
              <w:pStyle w:val="BodyText"/>
              <w:rPr>
                <w:lang w:val="en-NZ"/>
              </w:rPr>
            </w:pPr>
            <w:r w:rsidRPr="006861A3">
              <w:t>1. Evaluate legal context for financial services work</w:t>
            </w:r>
          </w:p>
        </w:tc>
        <w:tc>
          <w:tcPr>
            <w:tcW w:w="5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1A3" w:rsidP="006861A3">
            <w:pPr>
              <w:pStyle w:val="BodyText"/>
            </w:pPr>
            <w:r w:rsidRPr="006861A3">
              <w:t>1.1 Australi</w:t>
            </w:r>
            <w:r w:rsidRPr="006861A3">
              <w:t>an legal systems and processes are identified</w:t>
            </w:r>
          </w:p>
          <w:p w:rsidR="00000000" w:rsidRPr="006861A3" w:rsidP="006861A3">
            <w:pPr>
              <w:pStyle w:val="BodyText"/>
            </w:pPr>
            <w:r w:rsidRPr="006861A3">
              <w:t>1.2 The functions of the courts and other regulatory bodies are identified</w:t>
            </w:r>
          </w:p>
          <w:p w:rsidR="00000000" w:rsidRPr="006861A3" w:rsidP="006861A3">
            <w:pPr>
              <w:pStyle w:val="BodyText"/>
            </w:pPr>
            <w:r w:rsidRPr="006861A3">
              <w:t>1.3 Implications of relevant legislation, regulation and legal precedent are identified and applied in making operational decisions</w:t>
            </w:r>
          </w:p>
          <w:p w:rsidR="00000000" w:rsidP="006861A3">
            <w:pPr>
              <w:pStyle w:val="BodyText"/>
              <w:rPr>
                <w:lang w:val="en-NZ"/>
              </w:rPr>
            </w:pPr>
            <w:r w:rsidRPr="006861A3">
              <w:t>1.4 Advice and guidance is sought to evaluate and moderate decision processes</w:t>
            </w:r>
          </w:p>
        </w:tc>
      </w:tr>
      <w:tr w:rsidTr="006861A3">
        <w:tblPrEx>
          <w:tblW w:w="0" w:type="auto"/>
          <w:tblLayout w:type="fixed"/>
          <w:tblCellMar>
            <w:left w:w="62" w:type="dxa"/>
            <w:right w:w="62" w:type="dxa"/>
          </w:tblCellMar>
          <w:tblLook w:val="0000"/>
        </w:tblPrEx>
        <w:tc>
          <w:tcPr>
            <w:tcW w:w="2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1A3">
            <w:pPr>
              <w:pStyle w:val="BodyText"/>
              <w:rPr>
                <w:lang w:val="en-NZ"/>
              </w:rPr>
            </w:pPr>
            <w:r w:rsidRPr="006861A3">
              <w:t>2. Identify compliance requirements</w:t>
            </w:r>
          </w:p>
        </w:tc>
        <w:tc>
          <w:tcPr>
            <w:tcW w:w="5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1A3" w:rsidP="006861A3">
            <w:pPr>
              <w:pStyle w:val="BodyText"/>
            </w:pPr>
            <w:r w:rsidRPr="006861A3">
              <w:t>2.1 Compliance requirements are interpreted accurately</w:t>
            </w:r>
          </w:p>
          <w:p w:rsidR="00000000" w:rsidP="006861A3">
            <w:pPr>
              <w:pStyle w:val="BodyText"/>
              <w:rPr>
                <w:lang w:val="en-NZ"/>
              </w:rPr>
            </w:pPr>
            <w:r w:rsidRPr="006861A3">
              <w:t>2.2 Legislative and regulatory sources of information are regularly reviewed to identi</w:t>
            </w:r>
            <w:r w:rsidRPr="006861A3">
              <w:t>fy changes to compliance requirements</w:t>
            </w:r>
          </w:p>
        </w:tc>
      </w:tr>
      <w:tr w:rsidTr="006861A3">
        <w:tblPrEx>
          <w:tblW w:w="0" w:type="auto"/>
          <w:tblLayout w:type="fixed"/>
          <w:tblCellMar>
            <w:left w:w="62" w:type="dxa"/>
            <w:right w:w="62" w:type="dxa"/>
          </w:tblCellMar>
          <w:tblLook w:val="0000"/>
        </w:tblPrEx>
        <w:tc>
          <w:tcPr>
            <w:tcW w:w="2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1A3">
            <w:pPr>
              <w:pStyle w:val="BodyText"/>
              <w:rPr>
                <w:lang w:val="en-NZ"/>
              </w:rPr>
            </w:pPr>
            <w:r w:rsidRPr="006861A3">
              <w:t>3. Develop procedures to ensure compliance</w:t>
            </w:r>
          </w:p>
        </w:tc>
        <w:tc>
          <w:tcPr>
            <w:tcW w:w="5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1A3" w:rsidP="006861A3">
            <w:pPr>
              <w:pStyle w:val="BodyText"/>
            </w:pPr>
            <w:r w:rsidRPr="006861A3">
              <w:t>3.1 Procedures are developed in consultation with others to address compliance requirements</w:t>
            </w:r>
          </w:p>
          <w:p w:rsidR="00000000" w:rsidRPr="006861A3" w:rsidP="006861A3">
            <w:pPr>
              <w:pStyle w:val="BodyText"/>
            </w:pPr>
            <w:r w:rsidRPr="006861A3">
              <w:t>3.2 Timetables to meet compliance requirements are established to align with statu</w:t>
            </w:r>
            <w:r w:rsidRPr="006861A3">
              <w:t>tory deadlines</w:t>
            </w:r>
          </w:p>
        </w:tc>
      </w:tr>
    </w:tbl>
    <w:p w:rsidR="00000000" w:rsidRPr="006861A3" w:rsidP="006861A3">
      <w:pPr>
        <w:pStyle w:val="BodyText"/>
      </w:pPr>
    </w:p>
    <w:p w:rsidR="00000000" w:rsidRPr="006861A3" w:rsidP="006861A3">
      <w:pPr>
        <w:pStyle w:val="AllowPageBreak"/>
      </w:pPr>
    </w:p>
    <w:p w:rsidR="00000000" w:rsidRPr="006861A3" w:rsidP="006861A3">
      <w:pPr>
        <w:pStyle w:val="Heading1"/>
      </w:pPr>
      <w:bookmarkStart w:id="9" w:name="O_425357"/>
      <w:bookmarkEnd w:id="9"/>
      <w:r w:rsidRPr="006861A3">
        <w:t>Required Skills and Knowledge</w:t>
      </w:r>
    </w:p>
    <w:p w:rsidR="00000000" w:rsidRPr="006861A3" w:rsidP="006861A3">
      <w:pPr>
        <w:pStyle w:val="BodyText"/>
      </w:pPr>
      <w:r w:rsidRPr="006861A3">
        <w:rPr>
          <w:rStyle w:val="Emphasis"/>
        </w:rPr>
        <w:t>This section describes the skills and knowledge required for this unit.</w:t>
      </w:r>
    </w:p>
    <w:p w:rsidR="00000000" w:rsidRPr="006861A3" w:rsidP="006861A3">
      <w:pPr>
        <w:pStyle w:val="BodyText"/>
      </w:pPr>
    </w:p>
    <w:p w:rsidR="00000000" w:rsidRPr="006861A3" w:rsidP="006861A3">
      <w:pPr>
        <w:pStyle w:val="BodyText"/>
      </w:pPr>
      <w:r w:rsidRPr="006861A3">
        <w:rPr>
          <w:rStyle w:val="SpecialBold"/>
        </w:rPr>
        <w:t>Required skills</w:t>
      </w:r>
    </w:p>
    <w:p w:rsidR="00000000" w:rsidRPr="006861A3" w:rsidP="006861A3">
      <w:pPr>
        <w:pStyle w:val="ListBullet"/>
      </w:pPr>
      <w:r w:rsidRPr="006861A3">
        <w:t>communication skills to:</w:t>
      </w:r>
    </w:p>
    <w:p w:rsidR="00000000" w:rsidRPr="006861A3" w:rsidP="006861A3">
      <w:pPr>
        <w:pStyle w:val="ListBullet2"/>
      </w:pPr>
      <w:r w:rsidRPr="006861A3">
        <w:t>consult with others about legal information and compliance requirements</w:t>
      </w:r>
    </w:p>
    <w:p w:rsidR="00000000" w:rsidRPr="006861A3" w:rsidP="006861A3">
      <w:pPr>
        <w:pStyle w:val="ListBullet2"/>
      </w:pPr>
      <w:r w:rsidRPr="006861A3">
        <w:t>liaise with others, share information, listen and understand</w:t>
      </w:r>
    </w:p>
    <w:p w:rsidR="00000000" w:rsidRPr="006861A3" w:rsidP="006861A3">
      <w:pPr>
        <w:pStyle w:val="ListBullet2"/>
      </w:pPr>
      <w:r w:rsidRPr="006861A3">
        <w:t>use language and concepts appropriate to cultural differences</w:t>
      </w:r>
    </w:p>
    <w:p w:rsidR="00000000" w:rsidRPr="006861A3" w:rsidP="006861A3">
      <w:pPr>
        <w:pStyle w:val="ListBullet"/>
      </w:pPr>
      <w:r w:rsidRPr="006861A3">
        <w:t>IT skills to access and use appropriate software such as spreadsheets and databases and internet information</w:t>
      </w:r>
    </w:p>
    <w:p w:rsidR="00000000" w:rsidRPr="006861A3" w:rsidP="006861A3">
      <w:pPr>
        <w:pStyle w:val="ListBullet"/>
      </w:pPr>
      <w:r w:rsidRPr="006861A3">
        <w:t>learning skills to main</w:t>
      </w:r>
      <w:r w:rsidRPr="006861A3">
        <w:t>tain knowledge of changes to compliance legislation and requirements</w:t>
      </w:r>
    </w:p>
    <w:p w:rsidR="00000000" w:rsidRPr="006861A3" w:rsidP="006861A3">
      <w:pPr>
        <w:pStyle w:val="ListBullet"/>
      </w:pPr>
      <w:r w:rsidRPr="006861A3">
        <w:t>research skills to:</w:t>
      </w:r>
    </w:p>
    <w:p w:rsidR="00000000" w:rsidRPr="006861A3" w:rsidP="006861A3">
      <w:pPr>
        <w:pStyle w:val="ListBullet2"/>
      </w:pPr>
      <w:r w:rsidRPr="006861A3">
        <w:t>find statutory and regulatory legal requirements and precedents</w:t>
      </w:r>
    </w:p>
    <w:p w:rsidR="00000000" w:rsidRPr="006861A3" w:rsidP="006861A3">
      <w:pPr>
        <w:pStyle w:val="ListBullet2"/>
      </w:pPr>
      <w:r w:rsidRPr="006861A3">
        <w:t>access and manage information</w:t>
      </w:r>
    </w:p>
    <w:p w:rsidR="00000000" w:rsidRPr="006861A3" w:rsidP="006861A3">
      <w:pPr>
        <w:pStyle w:val="ListBullet2"/>
      </w:pPr>
      <w:r w:rsidRPr="006861A3">
        <w:t>interpret documentation</w:t>
      </w:r>
    </w:p>
    <w:p w:rsidR="00000000" w:rsidRPr="006861A3" w:rsidP="006861A3">
      <w:pPr>
        <w:pStyle w:val="ListBullet2"/>
      </w:pPr>
      <w:r w:rsidRPr="006861A3">
        <w:t>coordinate tasks</w:t>
      </w:r>
    </w:p>
    <w:p w:rsidR="00000000" w:rsidRPr="006861A3" w:rsidP="006861A3">
      <w:pPr>
        <w:pStyle w:val="ListBullet2"/>
      </w:pPr>
      <w:r w:rsidRPr="006861A3">
        <w:t>problem solving skills to:</w:t>
      </w:r>
    </w:p>
    <w:p w:rsidR="00000000" w:rsidRPr="006861A3" w:rsidP="006861A3">
      <w:pPr>
        <w:pStyle w:val="ListBullet2"/>
      </w:pPr>
      <w:r w:rsidRPr="006861A3">
        <w:t>addr</w:t>
      </w:r>
      <w:r w:rsidRPr="006861A3">
        <w:t>ess compliance issues</w:t>
      </w:r>
    </w:p>
    <w:p w:rsidR="00000000" w:rsidRPr="006861A3" w:rsidP="006861A3">
      <w:pPr>
        <w:pStyle w:val="ListBullet2"/>
      </w:pPr>
      <w:r w:rsidRPr="006861A3">
        <w:t>apply statute, regulation and precedent to a client’s circumstances</w:t>
      </w:r>
    </w:p>
    <w:p w:rsidR="00000000" w:rsidRPr="006861A3" w:rsidP="006861A3">
      <w:pPr>
        <w:pStyle w:val="ListBullet"/>
      </w:pPr>
      <w:r w:rsidRPr="006861A3">
        <w:t>reading skills to:</w:t>
      </w:r>
    </w:p>
    <w:p w:rsidR="00000000" w:rsidRPr="006861A3" w:rsidP="006861A3">
      <w:pPr>
        <w:pStyle w:val="ListBullet2"/>
      </w:pPr>
      <w:r w:rsidRPr="006861A3">
        <w:t>read text books, newspapers and journals</w:t>
      </w:r>
    </w:p>
    <w:p w:rsidR="00000000" w:rsidRPr="006861A3" w:rsidP="006861A3">
      <w:pPr>
        <w:pStyle w:val="ListBullet2"/>
      </w:pPr>
      <w:r w:rsidRPr="006861A3">
        <w:t>read and understand relevant legislation and regulation</w:t>
      </w:r>
    </w:p>
    <w:p w:rsidR="00000000" w:rsidRPr="006861A3" w:rsidP="006861A3">
      <w:pPr>
        <w:pStyle w:val="ListBullet2"/>
      </w:pPr>
      <w:r w:rsidRPr="006861A3">
        <w:t>read and understand legal precedent and rulings</w:t>
      </w:r>
    </w:p>
    <w:p w:rsidR="00000000" w:rsidRPr="006861A3" w:rsidP="006861A3">
      <w:pPr>
        <w:pStyle w:val="ListBullet"/>
      </w:pPr>
      <w:r w:rsidRPr="006861A3">
        <w:t>self-management skills to comply with ethical, legal and procedural requirements.</w:t>
      </w:r>
    </w:p>
    <w:p w:rsidR="00000000" w:rsidRPr="006861A3" w:rsidP="006861A3">
      <w:pPr>
        <w:pStyle w:val="BodyText"/>
      </w:pPr>
    </w:p>
    <w:p w:rsidR="00000000" w:rsidRPr="006861A3" w:rsidP="006861A3">
      <w:pPr>
        <w:pStyle w:val="BodyText"/>
      </w:pPr>
      <w:r w:rsidRPr="006861A3">
        <w:rPr>
          <w:rStyle w:val="SpecialBold"/>
        </w:rPr>
        <w:t>Required knowledge</w:t>
      </w:r>
    </w:p>
    <w:p w:rsidR="00000000" w:rsidRPr="006861A3" w:rsidP="006861A3">
      <w:pPr>
        <w:pStyle w:val="ListBullet"/>
      </w:pPr>
      <w:r w:rsidRPr="006861A3">
        <w:t>overview of Australian legal systems and processes and the context in which they operate including:</w:t>
      </w:r>
    </w:p>
    <w:p w:rsidR="00000000" w:rsidRPr="006861A3" w:rsidP="006861A3">
      <w:pPr>
        <w:pStyle w:val="ListBullet2"/>
      </w:pPr>
      <w:r w:rsidRPr="006861A3">
        <w:t>basic principles</w:t>
      </w:r>
    </w:p>
    <w:p w:rsidR="00000000" w:rsidRPr="006861A3" w:rsidP="006861A3">
      <w:pPr>
        <w:pStyle w:val="ListBullet2"/>
      </w:pPr>
      <w:r w:rsidRPr="006861A3">
        <w:t>common law</w:t>
      </w:r>
    </w:p>
    <w:p w:rsidR="00000000" w:rsidRPr="006861A3" w:rsidP="006861A3">
      <w:pPr>
        <w:pStyle w:val="ListBullet2"/>
      </w:pPr>
      <w:r w:rsidRPr="006861A3">
        <w:t>roles and responsibilit</w:t>
      </w:r>
      <w:r w:rsidRPr="006861A3">
        <w:t>ies of key organisations</w:t>
      </w:r>
    </w:p>
    <w:p w:rsidR="00000000" w:rsidRPr="006861A3" w:rsidP="006861A3">
      <w:pPr>
        <w:pStyle w:val="ListBullet2"/>
      </w:pPr>
      <w:r w:rsidRPr="006861A3">
        <w:t>constitutional considerations</w:t>
      </w:r>
    </w:p>
    <w:p w:rsidR="00000000" w:rsidRPr="006861A3" w:rsidP="006861A3">
      <w:pPr>
        <w:pStyle w:val="ListBullet2"/>
      </w:pPr>
      <w:r w:rsidRPr="006861A3">
        <w:t>separation of powers</w:t>
      </w:r>
    </w:p>
    <w:p w:rsidR="00000000" w:rsidRPr="006861A3" w:rsidP="006861A3">
      <w:pPr>
        <w:pStyle w:val="ListBullet2"/>
      </w:pPr>
      <w:r w:rsidRPr="006861A3">
        <w:t>basic principles of the law of torts, particularly relating to:</w:t>
      </w:r>
    </w:p>
    <w:p w:rsidR="00000000" w:rsidRPr="006861A3" w:rsidP="006861A3">
      <w:pPr>
        <w:pStyle w:val="ListBullet2"/>
      </w:pPr>
      <w:r w:rsidRPr="006861A3">
        <w:t>negligence</w:t>
      </w:r>
    </w:p>
    <w:p w:rsidR="00000000" w:rsidRPr="006861A3" w:rsidP="006861A3">
      <w:pPr>
        <w:pStyle w:val="ListBullet2"/>
      </w:pPr>
      <w:r w:rsidRPr="006861A3">
        <w:t xml:space="preserve">negligent misstatement </w:t>
      </w:r>
    </w:p>
    <w:p w:rsidR="00000000" w:rsidRPr="006861A3" w:rsidP="006861A3">
      <w:pPr>
        <w:pStyle w:val="ListBullet"/>
      </w:pPr>
      <w:r w:rsidRPr="006861A3">
        <w:t>main features of current legislation and its general impact on business operations in areas of:</w:t>
      </w:r>
    </w:p>
    <w:p w:rsidR="00000000" w:rsidRPr="006861A3" w:rsidP="006861A3">
      <w:pPr>
        <w:pStyle w:val="ListBullet2"/>
      </w:pPr>
      <w:r w:rsidRPr="006861A3">
        <w:t>consumer law</w:t>
      </w:r>
    </w:p>
    <w:p w:rsidR="00000000" w:rsidRPr="006861A3" w:rsidP="006861A3">
      <w:pPr>
        <w:pStyle w:val="ListBullet2"/>
      </w:pPr>
      <w:r w:rsidRPr="006861A3">
        <w:t>corporations law, including different business organisational structures and regulations for:</w:t>
      </w:r>
    </w:p>
    <w:p w:rsidR="00000000" w:rsidRPr="006861A3" w:rsidP="006861A3">
      <w:pPr>
        <w:pStyle w:val="ListBullet3"/>
      </w:pPr>
      <w:r w:rsidRPr="006861A3">
        <w:t>public and private companies</w:t>
      </w:r>
    </w:p>
    <w:p w:rsidR="00000000" w:rsidRPr="006861A3" w:rsidP="006861A3">
      <w:pPr>
        <w:pStyle w:val="ListBullet3"/>
      </w:pPr>
      <w:r w:rsidRPr="006861A3">
        <w:t>trusts</w:t>
      </w:r>
    </w:p>
    <w:p w:rsidR="00000000" w:rsidRPr="006861A3" w:rsidP="006861A3">
      <w:pPr>
        <w:pStyle w:val="ListBullet3"/>
      </w:pPr>
      <w:r w:rsidRPr="006861A3">
        <w:t>partnerships</w:t>
      </w:r>
    </w:p>
    <w:p w:rsidR="00000000" w:rsidRPr="006861A3" w:rsidP="006861A3">
      <w:pPr>
        <w:pStyle w:val="ListBullet3"/>
      </w:pPr>
      <w:r w:rsidRPr="006861A3">
        <w:t>sole traders</w:t>
      </w:r>
    </w:p>
    <w:p w:rsidR="00000000" w:rsidRPr="006861A3" w:rsidP="006861A3">
      <w:pPr>
        <w:pStyle w:val="ListBullet2"/>
      </w:pPr>
      <w:r w:rsidRPr="006861A3">
        <w:t>property law</w:t>
      </w:r>
    </w:p>
    <w:p w:rsidR="00000000" w:rsidRPr="006861A3" w:rsidP="006861A3">
      <w:pPr>
        <w:pStyle w:val="ListBullet2"/>
      </w:pPr>
      <w:r w:rsidRPr="006861A3">
        <w:t>superannuation law</w:t>
      </w:r>
    </w:p>
    <w:p w:rsidR="00000000" w:rsidRPr="006861A3" w:rsidP="006861A3">
      <w:pPr>
        <w:pStyle w:val="ListBullet2"/>
      </w:pPr>
      <w:r w:rsidRPr="006861A3">
        <w:t>taxation law.</w:t>
      </w:r>
    </w:p>
    <w:p w:rsidR="00000000" w:rsidRPr="006861A3" w:rsidP="006861A3">
      <w:pPr>
        <w:pStyle w:val="AllowPageBreak"/>
      </w:pPr>
    </w:p>
    <w:p w:rsidR="00000000" w:rsidRPr="006861A3" w:rsidP="006861A3">
      <w:pPr>
        <w:pStyle w:val="Heading1"/>
      </w:pPr>
      <w:bookmarkStart w:id="10" w:name="O_425358"/>
      <w:bookmarkEnd w:id="10"/>
      <w:r w:rsidRPr="006861A3">
        <w:t>Evidence Guide</w:t>
      </w:r>
    </w:p>
    <w:p w:rsidR="00000000" w:rsidRPr="006861A3" w:rsidP="006861A3">
      <w:pPr>
        <w:pStyle w:val="BodyText"/>
      </w:pPr>
      <w:r w:rsidRPr="006861A3">
        <w:rPr>
          <w:rStyle w:val="Emphasis"/>
        </w:rPr>
        <w:t>The evidence guide provides advice on assessment and must be read in conjunction with the performance criteria, required skills and knowledge, range statement and t</w:t>
      </w:r>
      <w:r w:rsidRPr="006861A3">
        <w:rPr>
          <w:rStyle w:val="Emphasis"/>
        </w:rPr>
        <w:t>he Assessment Guidelines for the Training Package.</w:t>
      </w:r>
    </w:p>
    <w:p w:rsidR="00000000" w:rsidRPr="006861A3" w:rsidP="006861A3">
      <w:pPr>
        <w:pStyle w:val="BodyText"/>
      </w:pPr>
    </w:p>
    <w:tbl>
      <w:tblPr>
        <w:tblW w:w="0" w:type="auto"/>
        <w:tblLayout w:type="fixed"/>
        <w:tblCellMar>
          <w:left w:w="62" w:type="dxa"/>
          <w:right w:w="62" w:type="dxa"/>
        </w:tblCellMar>
        <w:tblLook w:val="0000"/>
      </w:tblPr>
      <w:tblGrid>
        <w:gridCol w:w="3266"/>
        <w:gridCol w:w="4939"/>
      </w:tblGrid>
      <w:tr w:rsidTr="006861A3">
        <w:tblPrEx>
          <w:tblW w:w="0" w:type="auto"/>
          <w:tblLayout w:type="fixed"/>
          <w:tblCellMar>
            <w:left w:w="62" w:type="dxa"/>
            <w:right w:w="62" w:type="dxa"/>
          </w:tblCellMar>
          <w:tblLook w:val="0000"/>
        </w:tblPrEx>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1A3">
            <w:pPr>
              <w:pStyle w:val="BodyText"/>
              <w:rPr>
                <w:lang w:val="en-NZ"/>
              </w:rPr>
            </w:pPr>
            <w:r w:rsidRPr="006861A3">
              <w:rPr>
                <w:rStyle w:val="SpecialBold"/>
              </w:rPr>
              <w:t>Overview of assessment</w:t>
            </w:r>
          </w:p>
        </w:tc>
        <w:tc>
          <w:tcPr>
            <w:tcW w:w="4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1A3">
            <w:pPr>
              <w:pStyle w:val="BodyText"/>
              <w:rPr>
                <w:lang w:val="en-NZ"/>
              </w:rPr>
            </w:pPr>
          </w:p>
        </w:tc>
      </w:tr>
      <w:tr w:rsidTr="006861A3">
        <w:tblPrEx>
          <w:tblW w:w="0" w:type="auto"/>
          <w:tblLayout w:type="fixed"/>
          <w:tblCellMar>
            <w:left w:w="62" w:type="dxa"/>
            <w:right w:w="62" w:type="dxa"/>
          </w:tblCellMar>
          <w:tblLook w:val="0000"/>
        </w:tblPrEx>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1A3">
            <w:pPr>
              <w:pStyle w:val="BodyText"/>
              <w:rPr>
                <w:lang w:val="en-NZ"/>
              </w:rPr>
            </w:pPr>
            <w:r w:rsidRPr="006861A3">
              <w:rPr>
                <w:rStyle w:val="SpecialBold"/>
              </w:rPr>
              <w:t>Critical aspects for assessment and evidence required to demonstrate competency in this unit</w:t>
            </w:r>
          </w:p>
        </w:tc>
        <w:tc>
          <w:tcPr>
            <w:tcW w:w="4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1A3" w:rsidP="006861A3">
            <w:pPr>
              <w:pStyle w:val="BodyText"/>
            </w:pPr>
            <w:r w:rsidRPr="006861A3">
              <w:t>Evidence of the ability to:</w:t>
            </w:r>
          </w:p>
          <w:p w:rsidR="00000000" w:rsidRPr="006861A3" w:rsidP="006861A3">
            <w:pPr>
              <w:pStyle w:val="ListBullet"/>
            </w:pPr>
            <w:r w:rsidRPr="006861A3">
              <w:t>demonstrate knowledge and understanding of the Australian legal system such that current statute, common law and equitable principles can be applied, to particular fact circumstances in order to provide advice</w:t>
            </w:r>
          </w:p>
          <w:p w:rsidR="00000000" w:rsidRPr="006861A3" w:rsidP="006861A3">
            <w:pPr>
              <w:pStyle w:val="ListBullet"/>
            </w:pPr>
            <w:r w:rsidRPr="006861A3">
              <w:t>access information on relevant legislation, st</w:t>
            </w:r>
            <w:r w:rsidRPr="006861A3">
              <w:t>atutes, regulation and legal judgements</w:t>
            </w:r>
          </w:p>
          <w:p w:rsidR="00000000" w:rsidRPr="006861A3" w:rsidP="006861A3">
            <w:pPr>
              <w:pStyle w:val="ListBullet"/>
            </w:pPr>
            <w:r w:rsidRPr="006861A3">
              <w:t>draw conclusions having regard to the facts and relevant law</w:t>
            </w:r>
          </w:p>
          <w:p w:rsidR="00000000" w:rsidP="006861A3">
            <w:pPr>
              <w:pStyle w:val="ListBullet"/>
              <w:rPr>
                <w:lang w:val="en-NZ"/>
              </w:rPr>
            </w:pPr>
            <w:r w:rsidRPr="006861A3">
              <w:t>develop organisational procedures to meet compliance requirements</w:t>
            </w:r>
          </w:p>
        </w:tc>
      </w:tr>
      <w:tr w:rsidTr="006861A3">
        <w:tblPrEx>
          <w:tblW w:w="0" w:type="auto"/>
          <w:tblLayout w:type="fixed"/>
          <w:tblCellMar>
            <w:left w:w="62" w:type="dxa"/>
            <w:right w:w="62" w:type="dxa"/>
          </w:tblCellMar>
          <w:tblLook w:val="0000"/>
        </w:tblPrEx>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1A3">
            <w:pPr>
              <w:pStyle w:val="BodyText"/>
              <w:rPr>
                <w:lang w:val="en-NZ"/>
              </w:rPr>
            </w:pPr>
            <w:r w:rsidRPr="006861A3">
              <w:rPr>
                <w:rStyle w:val="SpecialBold"/>
              </w:rPr>
              <w:t>Context of and specific resources for assessment</w:t>
            </w:r>
          </w:p>
        </w:tc>
        <w:tc>
          <w:tcPr>
            <w:tcW w:w="4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1A3" w:rsidP="006861A3">
            <w:pPr>
              <w:pStyle w:val="BodyText"/>
            </w:pPr>
            <w:r w:rsidRPr="006861A3">
              <w:t>Assessment must ensure:</w:t>
            </w:r>
          </w:p>
          <w:p w:rsidR="00000000" w:rsidRPr="006861A3" w:rsidP="006861A3">
            <w:pPr>
              <w:pStyle w:val="ListBullet"/>
            </w:pPr>
            <w:r w:rsidRPr="006861A3">
              <w:t xml:space="preserve">competency is </w:t>
            </w:r>
            <w:r w:rsidRPr="006861A3">
              <w:t>demonstrated in the context of the financial services work environment and conditions specified in the range statement either in a relevant workplace or a closely simulated work environment</w:t>
            </w:r>
          </w:p>
          <w:p w:rsidR="00000000" w:rsidRPr="006861A3" w:rsidP="006861A3">
            <w:pPr>
              <w:pStyle w:val="ListBullet"/>
            </w:pPr>
            <w:r w:rsidRPr="006861A3">
              <w:t>access to and the use of a range of common office equipment, techn</w:t>
            </w:r>
            <w:r w:rsidRPr="006861A3">
              <w:t>ology, software and consumables</w:t>
            </w:r>
          </w:p>
          <w:p w:rsidR="00000000" w:rsidRPr="006861A3" w:rsidP="006861A3">
            <w:pPr>
              <w:pStyle w:val="ListBullet"/>
            </w:pPr>
            <w:r w:rsidRPr="006861A3">
              <w:t>internet access</w:t>
            </w:r>
          </w:p>
          <w:p w:rsidR="00000000" w:rsidP="006861A3">
            <w:pPr>
              <w:pStyle w:val="ListBullet"/>
              <w:rPr>
                <w:lang w:val="en-NZ"/>
              </w:rPr>
            </w:pPr>
            <w:r w:rsidRPr="006861A3">
              <w:t>relevant legislative and regulatory documentation.</w:t>
            </w:r>
          </w:p>
        </w:tc>
      </w:tr>
      <w:tr w:rsidTr="006861A3">
        <w:tblPrEx>
          <w:tblW w:w="0" w:type="auto"/>
          <w:tblLayout w:type="fixed"/>
          <w:tblCellMar>
            <w:left w:w="62" w:type="dxa"/>
            <w:right w:w="62" w:type="dxa"/>
          </w:tblCellMar>
          <w:tblLook w:val="0000"/>
        </w:tblPrEx>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1A3">
            <w:pPr>
              <w:pStyle w:val="BodyText"/>
              <w:rPr>
                <w:lang w:val="en-NZ"/>
              </w:rPr>
            </w:pPr>
            <w:r w:rsidRPr="006861A3">
              <w:rPr>
                <w:rStyle w:val="SpecialBold"/>
              </w:rPr>
              <w:t>Method of assessment</w:t>
            </w:r>
          </w:p>
        </w:tc>
        <w:tc>
          <w:tcPr>
            <w:tcW w:w="4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1A3" w:rsidP="006861A3">
            <w:pPr>
              <w:pStyle w:val="BodyText"/>
            </w:pPr>
            <w:r w:rsidRPr="006861A3">
              <w:t xml:space="preserve">A range of assessment methods should be used to assess practical skills and knowledge. The following examples are appropriate for this </w:t>
            </w:r>
            <w:r w:rsidRPr="006861A3">
              <w:t>unit:</w:t>
            </w:r>
          </w:p>
          <w:p w:rsidR="00000000" w:rsidRPr="006861A3" w:rsidP="006861A3">
            <w:pPr>
              <w:pStyle w:val="ListBullet"/>
            </w:pPr>
            <w:r w:rsidRPr="006861A3">
              <w:t>analysis of responses to case studies and scenarios</w:t>
            </w:r>
          </w:p>
          <w:p w:rsidR="00000000" w:rsidRPr="006861A3" w:rsidP="006861A3">
            <w:pPr>
              <w:pStyle w:val="ListBullet"/>
            </w:pPr>
            <w:r w:rsidRPr="006861A3">
              <w:t>direct questioning combined with review of portfolios of evidence and third-party workplace reports of on-the-job performance by the candidate</w:t>
            </w:r>
          </w:p>
          <w:p w:rsidR="00000000" w:rsidRPr="006861A3" w:rsidP="006861A3">
            <w:pPr>
              <w:pStyle w:val="ListBullet"/>
            </w:pPr>
            <w:r w:rsidRPr="006861A3">
              <w:t>observation of role plays</w:t>
            </w:r>
          </w:p>
          <w:p w:rsidR="00000000" w:rsidRPr="006861A3" w:rsidP="006861A3">
            <w:pPr>
              <w:pStyle w:val="ListBullet"/>
            </w:pPr>
            <w:r w:rsidRPr="006861A3">
              <w:t>review of documentation outl</w:t>
            </w:r>
            <w:r w:rsidRPr="006861A3">
              <w:t>ining legal obligations, criteria and purpose</w:t>
            </w:r>
          </w:p>
          <w:p w:rsidR="00000000" w:rsidRPr="006861A3" w:rsidP="006861A3">
            <w:pPr>
              <w:pStyle w:val="ListBullet"/>
            </w:pPr>
            <w:r w:rsidRPr="006861A3">
              <w:t>oral or written questioning to assess knowledge of legal terminology, practice and application</w:t>
            </w:r>
          </w:p>
          <w:p w:rsidR="00000000" w:rsidP="006861A3">
            <w:pPr>
              <w:pStyle w:val="ListBullet"/>
              <w:rPr>
                <w:lang w:val="en-NZ"/>
              </w:rPr>
            </w:pPr>
            <w:r w:rsidRPr="006861A3">
              <w:t>conducting a summative assessment of knowledge.</w:t>
            </w:r>
          </w:p>
        </w:tc>
      </w:tr>
      <w:tr w:rsidTr="006861A3">
        <w:tblPrEx>
          <w:tblW w:w="0" w:type="auto"/>
          <w:tblLayout w:type="fixed"/>
          <w:tblCellMar>
            <w:left w:w="62" w:type="dxa"/>
            <w:right w:w="62" w:type="dxa"/>
          </w:tblCellMar>
          <w:tblLook w:val="0000"/>
        </w:tblPrEx>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1A3">
            <w:pPr>
              <w:pStyle w:val="BodyText"/>
              <w:rPr>
                <w:lang w:val="en-NZ"/>
              </w:rPr>
            </w:pPr>
            <w:r w:rsidRPr="006861A3">
              <w:rPr>
                <w:rStyle w:val="SpecialBold"/>
              </w:rPr>
              <w:t>Guidance information for assessment</w:t>
            </w:r>
          </w:p>
        </w:tc>
        <w:tc>
          <w:tcPr>
            <w:tcW w:w="4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1A3" w:rsidP="006861A3">
            <w:pPr>
              <w:pStyle w:val="BodyText"/>
            </w:pPr>
            <w:r w:rsidRPr="006861A3">
              <w:t xml:space="preserve">Where assessment of this unit </w:t>
            </w:r>
            <w:r w:rsidRPr="006861A3">
              <w:t>is designed to meet regulatory requirements, users must refer to the appropriate regulator or current guidelines published on the IBSA website www.ibsa.org.au (under training packages/financial services).</w:t>
            </w:r>
          </w:p>
        </w:tc>
      </w:tr>
    </w:tbl>
    <w:p w:rsidR="00000000" w:rsidRPr="006861A3" w:rsidP="006861A3">
      <w:pPr>
        <w:pStyle w:val="BodyText"/>
      </w:pPr>
    </w:p>
    <w:p w:rsidR="00000000" w:rsidRPr="006861A3" w:rsidP="006861A3">
      <w:pPr>
        <w:pStyle w:val="AllowPageBreak"/>
      </w:pPr>
    </w:p>
    <w:p w:rsidR="00000000" w:rsidRPr="006861A3" w:rsidP="006861A3">
      <w:pPr>
        <w:pStyle w:val="Heading1"/>
      </w:pPr>
      <w:bookmarkStart w:id="11" w:name="O_425359"/>
      <w:bookmarkEnd w:id="11"/>
      <w:r w:rsidRPr="006861A3">
        <w:t>Range Statement</w:t>
      </w:r>
    </w:p>
    <w:p w:rsidR="00000000" w:rsidRPr="006861A3" w:rsidP="006861A3">
      <w:pPr>
        <w:pStyle w:val="BodyText"/>
      </w:pPr>
      <w:r w:rsidRPr="006861A3">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6861A3">
        <w:rPr>
          <w:rStyle w:val="Emphasis"/>
        </w:rPr>
        <w:t>ditions that may be present with training and assessment (depending on the work situation, needs of the candidate, accessibility of the item, and local industry and regional contexts) may also be included.</w:t>
      </w:r>
    </w:p>
    <w:p w:rsidR="00000000" w:rsidRPr="006861A3" w:rsidP="006861A3">
      <w:pPr>
        <w:pStyle w:val="BodyText"/>
      </w:pPr>
    </w:p>
    <w:tbl>
      <w:tblPr>
        <w:tblW w:w="0" w:type="auto"/>
        <w:tblLayout w:type="fixed"/>
        <w:tblCellMar>
          <w:left w:w="62" w:type="dxa"/>
          <w:right w:w="62" w:type="dxa"/>
        </w:tblCellMar>
        <w:tblLook w:val="0000"/>
      </w:tblPr>
      <w:tblGrid>
        <w:gridCol w:w="3259"/>
        <w:gridCol w:w="4946"/>
      </w:tblGrid>
      <w:tr w:rsidTr="006861A3">
        <w:tblPrEx>
          <w:tblW w:w="0" w:type="auto"/>
          <w:tblLayout w:type="fixed"/>
          <w:tblCellMar>
            <w:left w:w="62" w:type="dxa"/>
            <w:right w:w="62" w:type="dxa"/>
          </w:tblCellMar>
          <w:tblLook w:val="0000"/>
        </w:tblPrEx>
        <w:tc>
          <w:tcPr>
            <w:tcW w:w="32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1A3">
            <w:pPr>
              <w:pStyle w:val="BodyText"/>
              <w:rPr>
                <w:lang w:val="en-NZ"/>
              </w:rPr>
            </w:pPr>
            <w:r w:rsidRPr="006861A3">
              <w:rPr>
                <w:rStyle w:val="BoldandItalics"/>
              </w:rPr>
              <w:t>Courts and other regulatory bodies</w:t>
            </w:r>
            <w:r w:rsidRPr="006861A3">
              <w:t xml:space="preserve"> include:</w:t>
            </w:r>
          </w:p>
        </w:tc>
        <w:tc>
          <w:tcPr>
            <w:tcW w:w="4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1A3" w:rsidP="006861A3">
            <w:pPr>
              <w:pStyle w:val="ListBullet"/>
            </w:pPr>
            <w:r w:rsidRPr="006861A3">
              <w:t>Aust</w:t>
            </w:r>
            <w:r w:rsidRPr="006861A3">
              <w:t>ralian Consumer and Competition Commission (ACCC)</w:t>
            </w:r>
          </w:p>
          <w:p w:rsidR="00000000" w:rsidRPr="006861A3" w:rsidP="006861A3">
            <w:pPr>
              <w:pStyle w:val="ListBullet"/>
            </w:pPr>
            <w:r w:rsidRPr="006861A3">
              <w:t>Australian Securities and Investments Commission (ASIC)</w:t>
            </w:r>
          </w:p>
          <w:p w:rsidR="00000000" w:rsidRPr="006861A3" w:rsidP="006861A3">
            <w:pPr>
              <w:pStyle w:val="ListBullet"/>
            </w:pPr>
            <w:r w:rsidRPr="006861A3">
              <w:t>Australian Tax Office (ATO)</w:t>
            </w:r>
          </w:p>
          <w:p w:rsidR="00000000" w:rsidRPr="006861A3" w:rsidP="006861A3">
            <w:pPr>
              <w:pStyle w:val="ListBullet"/>
            </w:pPr>
            <w:r w:rsidRPr="006861A3">
              <w:t>Australian Securities Exchange</w:t>
            </w:r>
          </w:p>
          <w:p w:rsidR="00000000" w:rsidRPr="006861A3" w:rsidP="006861A3">
            <w:pPr>
              <w:pStyle w:val="ListBullet"/>
            </w:pPr>
            <w:r w:rsidRPr="006861A3">
              <w:t>Australian Prudential Regulation Authority</w:t>
            </w:r>
          </w:p>
          <w:p w:rsidR="00000000" w:rsidRPr="006861A3" w:rsidP="006861A3">
            <w:pPr>
              <w:pStyle w:val="ListBullet"/>
            </w:pPr>
            <w:r w:rsidRPr="006861A3">
              <w:t>Commonwealth and state courts</w:t>
            </w:r>
          </w:p>
          <w:p w:rsidR="00000000" w:rsidRPr="006861A3" w:rsidP="006861A3">
            <w:pPr>
              <w:pStyle w:val="ListBullet"/>
            </w:pPr>
            <w:r w:rsidRPr="006861A3">
              <w:t>state and territor</w:t>
            </w:r>
            <w:r w:rsidRPr="006861A3">
              <w:t>y consumer affairs bodies</w:t>
            </w:r>
          </w:p>
          <w:p w:rsidR="00000000" w:rsidP="006861A3">
            <w:pPr>
              <w:pStyle w:val="ListBullet"/>
              <w:rPr>
                <w:lang w:val="en-NZ"/>
              </w:rPr>
            </w:pPr>
            <w:r w:rsidRPr="006861A3">
              <w:t>Tax Practitioners Board (TPB).</w:t>
            </w:r>
          </w:p>
        </w:tc>
      </w:tr>
      <w:tr w:rsidTr="006861A3">
        <w:tblPrEx>
          <w:tblW w:w="0" w:type="auto"/>
          <w:tblLayout w:type="fixed"/>
          <w:tblCellMar>
            <w:left w:w="62" w:type="dxa"/>
            <w:right w:w="62" w:type="dxa"/>
          </w:tblCellMar>
          <w:tblLook w:val="0000"/>
        </w:tblPrEx>
        <w:tc>
          <w:tcPr>
            <w:tcW w:w="32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1A3">
            <w:pPr>
              <w:pStyle w:val="BodyText"/>
              <w:rPr>
                <w:lang w:val="en-NZ"/>
              </w:rPr>
            </w:pPr>
            <w:r w:rsidRPr="006861A3">
              <w:rPr>
                <w:rStyle w:val="BoldandItalics"/>
              </w:rPr>
              <w:t>Relevant legislation</w:t>
            </w:r>
            <w:r w:rsidRPr="006861A3">
              <w:t xml:space="preserve"> includes:</w:t>
            </w:r>
          </w:p>
        </w:tc>
        <w:tc>
          <w:tcPr>
            <w:tcW w:w="4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1A3" w:rsidP="006861A3">
            <w:pPr>
              <w:pStyle w:val="ListBullet"/>
            </w:pPr>
            <w:r w:rsidRPr="006861A3">
              <w:t>Australian commercial law</w:t>
            </w:r>
          </w:p>
          <w:p w:rsidR="00000000" w:rsidRPr="006861A3" w:rsidP="006861A3">
            <w:pPr>
              <w:pStyle w:val="ListBullet"/>
            </w:pPr>
            <w:r w:rsidRPr="006861A3">
              <w:t>Australian taxation law (including the Tax Agents Services Act)</w:t>
            </w:r>
          </w:p>
          <w:p w:rsidR="00000000" w:rsidRPr="006861A3" w:rsidP="006861A3">
            <w:pPr>
              <w:pStyle w:val="ListBullet"/>
            </w:pPr>
            <w:r w:rsidRPr="006861A3">
              <w:t>Australian corporations law</w:t>
            </w:r>
          </w:p>
          <w:p w:rsidR="00000000" w:rsidRPr="006861A3" w:rsidP="006861A3">
            <w:pPr>
              <w:pStyle w:val="ListBullet"/>
            </w:pPr>
            <w:r w:rsidRPr="006861A3">
              <w:t>Australian competition law</w:t>
            </w:r>
          </w:p>
          <w:p w:rsidR="00000000" w:rsidRPr="006861A3" w:rsidP="006861A3">
            <w:pPr>
              <w:pStyle w:val="ListBullet"/>
            </w:pPr>
            <w:r w:rsidRPr="006861A3">
              <w:t>consumer credit legislation</w:t>
            </w:r>
          </w:p>
          <w:p w:rsidR="00000000" w:rsidRPr="006861A3" w:rsidP="006861A3">
            <w:pPr>
              <w:pStyle w:val="ListBullet"/>
            </w:pPr>
            <w:r w:rsidRPr="006861A3">
              <w:t>Financial Transactions Reports Act</w:t>
            </w:r>
          </w:p>
          <w:p w:rsidR="00000000" w:rsidRPr="006861A3" w:rsidP="006861A3">
            <w:pPr>
              <w:pStyle w:val="ListBullet"/>
            </w:pPr>
            <w:r w:rsidRPr="006861A3">
              <w:t>Privacy Act</w:t>
            </w:r>
          </w:p>
          <w:p w:rsidR="00000000" w:rsidRPr="006861A3" w:rsidP="006861A3">
            <w:pPr>
              <w:pStyle w:val="ListBullet"/>
            </w:pPr>
            <w:r w:rsidRPr="006861A3">
              <w:t>Sale of Goods Acts</w:t>
            </w:r>
          </w:p>
          <w:p w:rsidR="00000000" w:rsidRPr="006861A3" w:rsidP="006861A3">
            <w:pPr>
              <w:pStyle w:val="ListBullet"/>
            </w:pPr>
            <w:r w:rsidRPr="006861A3">
              <w:t>Stamp Duties Act</w:t>
            </w:r>
          </w:p>
          <w:p w:rsidR="00000000" w:rsidRPr="006861A3" w:rsidP="006861A3">
            <w:pPr>
              <w:pStyle w:val="ListBullet"/>
            </w:pPr>
            <w:r w:rsidRPr="006861A3">
              <w:t>TPB Guidelines</w:t>
            </w:r>
          </w:p>
        </w:tc>
      </w:tr>
    </w:tbl>
    <w:p w:rsidR="00000000" w:rsidRPr="006861A3" w:rsidP="006861A3">
      <w:pPr>
        <w:pStyle w:val="BodyText"/>
      </w:pPr>
    </w:p>
    <w:p w:rsidR="00000000" w:rsidRPr="006861A3" w:rsidP="006861A3">
      <w:pPr>
        <w:pStyle w:val="AllowPageBreak"/>
      </w:pPr>
    </w:p>
    <w:p w:rsidR="00000000" w:rsidRPr="006861A3" w:rsidP="006861A3">
      <w:pPr>
        <w:pStyle w:val="Heading1"/>
      </w:pPr>
      <w:bookmarkStart w:id="12" w:name="O_425360"/>
      <w:bookmarkEnd w:id="12"/>
      <w:r w:rsidRPr="006861A3">
        <w:t>Unit Sector(s)</w:t>
      </w:r>
    </w:p>
    <w:p w:rsidR="00000000" w:rsidRPr="006861A3" w:rsidP="006861A3">
      <w:pPr>
        <w:pStyle w:val="BodyText"/>
      </w:pPr>
      <w:r w:rsidRPr="006861A3">
        <w:t>Accounting</w:t>
      </w:r>
    </w:p>
    <w:p w:rsidR="00000000" w:rsidRPr="006861A3" w:rsidP="006861A3"/>
    <w:sectPr w:rsidSect="006861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1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2AAC" w:rsidP="00872A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1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AAC" w:rsidP="006861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72AAC" w:rsidP="006861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72AAC" w:rsidP="006861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1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2AAC" w:rsidP="00872AA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1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AAC" w:rsidP="006861A3">
    <w:pPr>
      <w:pStyle w:val="Header"/>
      <w:framePr w:wrap="around"/>
    </w:pPr>
    <w:r>
      <w:fldChar w:fldCharType="begin"/>
    </w:r>
    <w:r>
      <w:instrText xml:space="preserve"> TITLE   \* MERGEFORMAT </w:instrText>
    </w:r>
    <w:r>
      <w:fldChar w:fldCharType="separate"/>
    </w:r>
    <w:r>
      <w:t>FNSACC403B Make decisions in a legal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72AAC" w:rsidP="006861A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6060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226D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745C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1A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861A3"/>
    <w:pPr>
      <w:spacing w:before="360" w:after="60"/>
      <w:outlineLvl w:val="0"/>
    </w:pPr>
    <w:rPr>
      <w:sz w:val="32"/>
    </w:rPr>
  </w:style>
  <w:style w:type="paragraph" w:styleId="Heading2">
    <w:name w:val="heading 2"/>
    <w:basedOn w:val="HeadingBase"/>
    <w:next w:val="BodyText"/>
    <w:link w:val="Heading2Char"/>
    <w:qFormat/>
    <w:rsid w:val="006861A3"/>
    <w:pPr>
      <w:keepLines/>
      <w:spacing w:before="240" w:after="120"/>
      <w:outlineLvl w:val="1"/>
    </w:pPr>
    <w:rPr>
      <w:sz w:val="28"/>
      <w:szCs w:val="40"/>
    </w:rPr>
  </w:style>
  <w:style w:type="paragraph" w:styleId="Heading3">
    <w:name w:val="heading 3"/>
    <w:basedOn w:val="HeadingBase"/>
    <w:next w:val="BodyText"/>
    <w:link w:val="Heading3Char"/>
    <w:qFormat/>
    <w:rsid w:val="006861A3"/>
    <w:pPr>
      <w:spacing w:before="180" w:after="120"/>
      <w:outlineLvl w:val="2"/>
    </w:pPr>
    <w:rPr>
      <w:spacing w:val="-10"/>
      <w:kern w:val="32"/>
    </w:rPr>
  </w:style>
  <w:style w:type="paragraph" w:styleId="Heading4">
    <w:name w:val="heading 4"/>
    <w:basedOn w:val="HeadingBase"/>
    <w:next w:val="BodyText"/>
    <w:link w:val="Heading4Char"/>
    <w:qFormat/>
    <w:rsid w:val="006861A3"/>
    <w:pPr>
      <w:spacing w:before="160" w:after="120"/>
      <w:outlineLvl w:val="3"/>
    </w:pPr>
    <w:rPr>
      <w:sz w:val="22"/>
    </w:rPr>
  </w:style>
  <w:style w:type="paragraph" w:styleId="Heading5">
    <w:name w:val="heading 5"/>
    <w:basedOn w:val="HeadingBase"/>
    <w:next w:val="Normal"/>
    <w:link w:val="Heading5Char"/>
    <w:qFormat/>
    <w:rsid w:val="006861A3"/>
    <w:pPr>
      <w:spacing w:before="80"/>
      <w:outlineLvl w:val="4"/>
    </w:pPr>
    <w:rPr>
      <w:color w:val="918585"/>
      <w:sz w:val="20"/>
    </w:rPr>
  </w:style>
  <w:style w:type="paragraph" w:styleId="Heading6">
    <w:name w:val="heading 6"/>
    <w:basedOn w:val="HeadingBase"/>
    <w:next w:val="Normal"/>
    <w:link w:val="Heading6Char"/>
    <w:qFormat/>
    <w:rsid w:val="006861A3"/>
    <w:pPr>
      <w:spacing w:before="60"/>
      <w:outlineLvl w:val="5"/>
    </w:pPr>
    <w:rPr>
      <w:color w:val="918585"/>
      <w:sz w:val="20"/>
    </w:rPr>
  </w:style>
  <w:style w:type="paragraph" w:styleId="Heading7">
    <w:name w:val="heading 7"/>
    <w:basedOn w:val="Normal"/>
    <w:next w:val="Normal"/>
    <w:link w:val="Heading7Char"/>
    <w:qFormat/>
    <w:rsid w:val="006861A3"/>
    <w:pPr>
      <w:ind w:left="720"/>
      <w:outlineLvl w:val="6"/>
    </w:pPr>
    <w:rPr>
      <w:i/>
    </w:rPr>
  </w:style>
  <w:style w:type="paragraph" w:styleId="Heading8">
    <w:name w:val="heading 8"/>
    <w:basedOn w:val="Normal"/>
    <w:next w:val="Normal"/>
    <w:link w:val="Heading8Char"/>
    <w:qFormat/>
    <w:rsid w:val="006861A3"/>
    <w:pPr>
      <w:ind w:left="720"/>
      <w:outlineLvl w:val="7"/>
    </w:pPr>
    <w:rPr>
      <w:i/>
    </w:rPr>
  </w:style>
  <w:style w:type="paragraph" w:styleId="Heading9">
    <w:name w:val="heading 9"/>
    <w:basedOn w:val="Normal"/>
    <w:next w:val="Normal"/>
    <w:link w:val="Heading9Char"/>
    <w:qFormat/>
    <w:rsid w:val="006861A3"/>
    <w:pPr>
      <w:ind w:left="720"/>
      <w:outlineLvl w:val="8"/>
    </w:pPr>
    <w:rPr>
      <w:i/>
    </w:rPr>
  </w:style>
  <w:style w:type="character" w:default="1" w:styleId="DefaultParagraphFont">
    <w:name w:val="Default Paragraph Font"/>
    <w:uiPriority w:val="1"/>
    <w:unhideWhenUsed/>
    <w:rsid w:val="006861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61A3"/>
  </w:style>
  <w:style w:type="character" w:customStyle="1" w:styleId="Heading1Char">
    <w:name w:val="Heading 1 Char"/>
    <w:basedOn w:val="DefaultParagraphFont"/>
    <w:link w:val="Heading1"/>
    <w:rsid w:val="006861A3"/>
    <w:rPr>
      <w:rFonts w:ascii="Times New Roman" w:eastAsia="Times New Roman" w:hAnsi="Times New Roman" w:cs="Times New Roman"/>
      <w:b/>
      <w:sz w:val="32"/>
      <w:szCs w:val="20"/>
      <w:lang w:eastAsia="en-US"/>
    </w:rPr>
  </w:style>
  <w:style w:type="paragraph" w:styleId="BodyText">
    <w:name w:val="Body Text"/>
    <w:basedOn w:val="Normal"/>
    <w:link w:val="BodyTextChar"/>
    <w:rsid w:val="006861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61A3"/>
    <w:rPr>
      <w:rFonts w:ascii="Times New Roman" w:eastAsia="Times New Roman" w:hAnsi="Times New Roman" w:cs="Times New Roman"/>
      <w:sz w:val="24"/>
      <w:lang w:val="en-US" w:eastAsia="en-US"/>
    </w:rPr>
  </w:style>
  <w:style w:type="paragraph" w:styleId="Footer">
    <w:name w:val="footer"/>
    <w:basedOn w:val="Normal"/>
    <w:link w:val="FooterChar"/>
    <w:rsid w:val="006861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61A3"/>
    <w:rPr>
      <w:rFonts w:ascii="Times New Roman" w:eastAsia="Times New Roman" w:hAnsi="Times New Roman" w:cs="Times New Roman"/>
      <w:sz w:val="16"/>
      <w:lang w:val="en-US" w:eastAsia="en-US"/>
    </w:rPr>
  </w:style>
  <w:style w:type="paragraph" w:styleId="ListBullet">
    <w:name w:val="List Bullet"/>
    <w:basedOn w:val="List"/>
    <w:rsid w:val="006861A3"/>
    <w:pPr>
      <w:numPr>
        <w:numId w:val="14"/>
      </w:numPr>
      <w:tabs>
        <w:tab w:val="clear" w:pos="340"/>
      </w:tabs>
      <w:spacing w:before="40" w:after="40"/>
    </w:pPr>
  </w:style>
  <w:style w:type="character" w:customStyle="1" w:styleId="SpecialBold">
    <w:name w:val="Special Bold"/>
    <w:basedOn w:val="DefaultParagraphFont"/>
    <w:rsid w:val="006861A3"/>
    <w:rPr>
      <w:b/>
      <w:spacing w:val="0"/>
    </w:rPr>
  </w:style>
  <w:style w:type="paragraph" w:styleId="ListBullet2">
    <w:name w:val="List Bullet 2"/>
    <w:basedOn w:val="List2"/>
    <w:rsid w:val="006861A3"/>
    <w:pPr>
      <w:numPr>
        <w:numId w:val="15"/>
      </w:numPr>
      <w:tabs>
        <w:tab w:val="clear" w:pos="680"/>
      </w:tabs>
    </w:pPr>
  </w:style>
  <w:style w:type="paragraph" w:styleId="Header">
    <w:name w:val="header"/>
    <w:basedOn w:val="Normal"/>
    <w:link w:val="HeaderChar"/>
    <w:rsid w:val="006861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61A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861A3"/>
    <w:rPr>
      <w:i/>
    </w:rPr>
  </w:style>
  <w:style w:type="paragraph" w:customStyle="1" w:styleId="SuperHeading">
    <w:name w:val="SuperHeading"/>
    <w:basedOn w:val="Normal"/>
    <w:rsid w:val="006861A3"/>
    <w:pPr>
      <w:spacing w:before="240" w:after="120"/>
      <w:outlineLvl w:val="0"/>
    </w:pPr>
    <w:rPr>
      <w:rFonts w:ascii="Times New Roman" w:hAnsi="Times New Roman"/>
      <w:b/>
      <w:sz w:val="28"/>
    </w:rPr>
  </w:style>
  <w:style w:type="paragraph" w:customStyle="1" w:styleId="AllowPageBreak">
    <w:name w:val="AllowPageBreak"/>
    <w:rsid w:val="006861A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861A3"/>
    <w:pPr>
      <w:numPr>
        <w:numId w:val="3"/>
      </w:numPr>
      <w:tabs>
        <w:tab w:val="clear" w:pos="1021"/>
      </w:tabs>
      <w:ind w:left="1037" w:hanging="357"/>
    </w:pPr>
  </w:style>
  <w:style w:type="character" w:customStyle="1" w:styleId="BoldandItalics">
    <w:name w:val="Bold and Italics"/>
    <w:qFormat/>
    <w:rsid w:val="006861A3"/>
    <w:rPr>
      <w:b/>
      <w:i/>
      <w:u w:val="none"/>
    </w:rPr>
  </w:style>
  <w:style w:type="character" w:customStyle="1" w:styleId="Heading2Char">
    <w:name w:val="Heading 2 Char"/>
    <w:basedOn w:val="DefaultParagraphFont"/>
    <w:link w:val="Heading2"/>
    <w:rsid w:val="006861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61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61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61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61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61A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861A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861A3"/>
    <w:rPr>
      <w:rFonts w:ascii="Courier New" w:eastAsia="Times New Roman" w:hAnsi="Courier New" w:cs="Times New Roman"/>
      <w:i/>
      <w:szCs w:val="20"/>
      <w:lang w:val="en-US" w:eastAsia="en-US"/>
    </w:rPr>
  </w:style>
  <w:style w:type="paragraph" w:customStyle="1" w:styleId="HeadingBase">
    <w:name w:val="Heading Base"/>
    <w:rsid w:val="006861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61A3"/>
    <w:pPr>
      <w:tabs>
        <w:tab w:val="right" w:leader="dot" w:pos="9072"/>
      </w:tabs>
      <w:ind w:left="567"/>
    </w:pPr>
    <w:rPr>
      <w:szCs w:val="22"/>
    </w:rPr>
  </w:style>
  <w:style w:type="paragraph" w:customStyle="1" w:styleId="TOCBase">
    <w:name w:val="TOC Base"/>
    <w:rsid w:val="006861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61A3"/>
    <w:pPr>
      <w:tabs>
        <w:tab w:val="right" w:leader="dot" w:pos="9072"/>
      </w:tabs>
      <w:spacing w:before="40" w:after="40"/>
      <w:ind w:left="284"/>
    </w:pPr>
    <w:rPr>
      <w:rFonts w:ascii="Times New Roman" w:hAnsi="Times New Roman"/>
    </w:rPr>
  </w:style>
  <w:style w:type="paragraph" w:styleId="TOC1">
    <w:name w:val="toc 1"/>
    <w:basedOn w:val="TOCBase"/>
    <w:next w:val="Normal"/>
    <w:rsid w:val="006861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61A3"/>
    <w:pPr>
      <w:spacing w:before="5040"/>
      <w:jc w:val="center"/>
    </w:pPr>
    <w:rPr>
      <w:sz w:val="48"/>
      <w:szCs w:val="72"/>
      <w:lang w:val="en-US"/>
    </w:rPr>
  </w:style>
  <w:style w:type="character" w:customStyle="1" w:styleId="TitleChar">
    <w:name w:val="Title Char"/>
    <w:basedOn w:val="DefaultParagraphFont"/>
    <w:link w:val="Title"/>
    <w:rsid w:val="006861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61A3"/>
    <w:pPr>
      <w:tabs>
        <w:tab w:val="left" w:pos="3600"/>
        <w:tab w:val="left" w:pos="3958"/>
      </w:tabs>
    </w:pPr>
  </w:style>
  <w:style w:type="paragraph" w:styleId="List">
    <w:name w:val="List"/>
    <w:basedOn w:val="BodyText"/>
    <w:next w:val="BodyText"/>
    <w:rsid w:val="006861A3"/>
    <w:pPr>
      <w:tabs>
        <w:tab w:val="left" w:pos="340"/>
      </w:tabs>
      <w:spacing w:before="60" w:after="60"/>
      <w:ind w:left="340" w:hanging="340"/>
    </w:pPr>
  </w:style>
  <w:style w:type="paragraph" w:customStyle="1" w:styleId="Note">
    <w:name w:val="Note"/>
    <w:basedOn w:val="BodyText"/>
    <w:rsid w:val="006861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61A3"/>
    <w:pPr>
      <w:framePr w:wrap="auto" w:hAnchor="text" w:y="6049"/>
    </w:pPr>
    <w:rPr>
      <w:color w:val="000000"/>
      <w:sz w:val="40"/>
    </w:rPr>
  </w:style>
  <w:style w:type="paragraph" w:customStyle="1" w:styleId="TOCTitle">
    <w:name w:val="TOCTitle"/>
    <w:basedOn w:val="Heading1"/>
    <w:rsid w:val="006861A3"/>
    <w:pPr>
      <w:spacing w:after="240"/>
      <w:jc w:val="center"/>
      <w:outlineLvl w:val="9"/>
    </w:pPr>
    <w:rPr>
      <w:caps/>
    </w:rPr>
  </w:style>
  <w:style w:type="paragraph" w:customStyle="1" w:styleId="Version">
    <w:name w:val="Version"/>
    <w:rsid w:val="006861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61A3"/>
    <w:pPr>
      <w:keepNext w:val="0"/>
      <w:tabs>
        <w:tab w:val="right" w:pos="4176"/>
      </w:tabs>
      <w:ind w:left="198" w:hanging="198"/>
    </w:pPr>
    <w:rPr>
      <w:rFonts w:ascii="Garamond" w:hAnsi="Garamond"/>
    </w:rPr>
  </w:style>
  <w:style w:type="paragraph" w:styleId="IndexHeading">
    <w:name w:val="index heading"/>
    <w:basedOn w:val="Normal"/>
    <w:next w:val="Index1"/>
    <w:semiHidden/>
    <w:rsid w:val="006861A3"/>
    <w:pPr>
      <w:spacing w:before="120" w:after="120"/>
    </w:pPr>
    <w:rPr>
      <w:rFonts w:ascii="Arial" w:hAnsi="Arial"/>
      <w:b/>
      <w:color w:val="918585"/>
      <w:sz w:val="24"/>
    </w:rPr>
  </w:style>
  <w:style w:type="paragraph" w:customStyle="1" w:styleId="Chapter">
    <w:name w:val="Chapter"/>
    <w:basedOn w:val="Normal"/>
    <w:rsid w:val="006861A3"/>
    <w:pPr>
      <w:spacing w:before="240"/>
    </w:pPr>
    <w:rPr>
      <w:rFonts w:ascii="Times New Roman" w:hAnsi="Times New Roman"/>
      <w:smallCaps/>
      <w:spacing w:val="80"/>
      <w:sz w:val="28"/>
    </w:rPr>
  </w:style>
  <w:style w:type="paragraph" w:customStyle="1" w:styleId="InChapter">
    <w:name w:val="InChapter"/>
    <w:basedOn w:val="Heading3"/>
    <w:rsid w:val="006861A3"/>
    <w:pPr>
      <w:spacing w:after="240"/>
      <w:outlineLvl w:val="9"/>
    </w:pPr>
    <w:rPr>
      <w:noProof/>
    </w:rPr>
  </w:style>
  <w:style w:type="paragraph" w:styleId="Index2">
    <w:name w:val="index 2"/>
    <w:basedOn w:val="Normal"/>
    <w:next w:val="Normal"/>
    <w:semiHidden/>
    <w:rsid w:val="006861A3"/>
    <w:pPr>
      <w:tabs>
        <w:tab w:val="right" w:pos="4176"/>
      </w:tabs>
      <w:ind w:left="568" w:hanging="284"/>
    </w:pPr>
    <w:rPr>
      <w:rFonts w:ascii="Garamond" w:hAnsi="Garamond"/>
    </w:rPr>
  </w:style>
  <w:style w:type="paragraph" w:customStyle="1" w:styleId="Byline">
    <w:name w:val="Byline"/>
    <w:rsid w:val="006861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61A3"/>
    <w:pPr>
      <w:tabs>
        <w:tab w:val="clear" w:pos="3600"/>
        <w:tab w:val="clear" w:pos="3958"/>
      </w:tabs>
      <w:jc w:val="right"/>
    </w:pPr>
  </w:style>
  <w:style w:type="paragraph" w:styleId="Caption">
    <w:name w:val="caption"/>
    <w:basedOn w:val="BodyText"/>
    <w:next w:val="Normal"/>
    <w:qFormat/>
    <w:rsid w:val="006861A3"/>
    <w:pPr>
      <w:framePr w:w="2268" w:hSpace="181" w:vSpace="181" w:wrap="around" w:vAnchor="text" w:hAnchor="page" w:x="1135" w:y="285" w:anchorLock="1"/>
    </w:pPr>
    <w:rPr>
      <w:i/>
    </w:rPr>
  </w:style>
  <w:style w:type="paragraph" w:customStyle="1" w:styleId="MiniTOCTitle">
    <w:name w:val="MiniTOCTitle"/>
    <w:basedOn w:val="Heading4"/>
    <w:rsid w:val="006861A3"/>
    <w:pPr>
      <w:spacing w:before="240"/>
      <w:outlineLvl w:val="9"/>
    </w:pPr>
    <w:rPr>
      <w:noProof/>
      <w:sz w:val="24"/>
    </w:rPr>
  </w:style>
  <w:style w:type="paragraph" w:customStyle="1" w:styleId="MiniTOCItem">
    <w:name w:val="MiniTOCItem"/>
    <w:basedOn w:val="ListBullet"/>
    <w:rsid w:val="006861A3"/>
    <w:pPr>
      <w:numPr>
        <w:numId w:val="0"/>
      </w:numPr>
      <w:tabs>
        <w:tab w:val="right" w:leader="dot" w:pos="6521"/>
      </w:tabs>
      <w:spacing w:before="0" w:after="0"/>
    </w:pPr>
  </w:style>
  <w:style w:type="paragraph" w:customStyle="1" w:styleId="TOFTitle">
    <w:name w:val="TOFTitle"/>
    <w:basedOn w:val="TOCTitle"/>
    <w:rsid w:val="006861A3"/>
  </w:style>
  <w:style w:type="paragraph" w:styleId="TableofFigures">
    <w:name w:val="table of figures"/>
    <w:basedOn w:val="Normal"/>
    <w:next w:val="Normal"/>
    <w:semiHidden/>
    <w:rsid w:val="006861A3"/>
    <w:pPr>
      <w:tabs>
        <w:tab w:val="right" w:leader="dot" w:pos="9072"/>
      </w:tabs>
      <w:ind w:left="970" w:hanging="403"/>
    </w:pPr>
    <w:rPr>
      <w:rFonts w:ascii="Times New Roman" w:hAnsi="Times New Roman"/>
      <w:b/>
    </w:rPr>
  </w:style>
  <w:style w:type="paragraph" w:styleId="ListNumber">
    <w:name w:val="List Number"/>
    <w:basedOn w:val="List"/>
    <w:rsid w:val="006861A3"/>
    <w:pPr>
      <w:numPr>
        <w:numId w:val="12"/>
      </w:numPr>
    </w:pPr>
  </w:style>
  <w:style w:type="character" w:customStyle="1" w:styleId="WingdingSymbols">
    <w:name w:val="Wingding Symbols"/>
    <w:rsid w:val="006861A3"/>
    <w:rPr>
      <w:rFonts w:ascii="Wingdings" w:hAnsi="Wingdings"/>
    </w:rPr>
  </w:style>
  <w:style w:type="paragraph" w:customStyle="1" w:styleId="TableHeading">
    <w:name w:val="Table Heading"/>
    <w:basedOn w:val="HeadingBase"/>
    <w:rsid w:val="006861A3"/>
    <w:pPr>
      <w:keepLines/>
      <w:pBdr>
        <w:bottom w:val="single" w:sz="6" w:space="1" w:color="918585"/>
      </w:pBdr>
      <w:spacing w:before="240"/>
    </w:pPr>
  </w:style>
  <w:style w:type="character" w:customStyle="1" w:styleId="HotSpot">
    <w:name w:val="HotSpot"/>
    <w:rsid w:val="006861A3"/>
    <w:rPr>
      <w:color w:val="0033CC"/>
      <w:u w:val="none"/>
    </w:rPr>
  </w:style>
  <w:style w:type="paragraph" w:customStyle="1" w:styleId="BodyTextRight">
    <w:name w:val="Body Text Right"/>
    <w:basedOn w:val="BodyText"/>
    <w:rsid w:val="006861A3"/>
    <w:pPr>
      <w:spacing w:before="0" w:after="0"/>
      <w:jc w:val="right"/>
    </w:pPr>
  </w:style>
  <w:style w:type="paragraph" w:styleId="Index3">
    <w:name w:val="index 3"/>
    <w:basedOn w:val="ListNumber2"/>
    <w:next w:val="Normal"/>
    <w:semiHidden/>
    <w:rsid w:val="006861A3"/>
    <w:pPr>
      <w:numPr>
        <w:numId w:val="0"/>
      </w:numPr>
      <w:tabs>
        <w:tab w:val="right" w:leader="dot" w:pos="4176"/>
      </w:tabs>
    </w:pPr>
  </w:style>
  <w:style w:type="paragraph" w:styleId="ListNumber2">
    <w:name w:val="List Number 2"/>
    <w:basedOn w:val="List2"/>
    <w:rsid w:val="006861A3"/>
    <w:pPr>
      <w:numPr>
        <w:numId w:val="11"/>
      </w:numPr>
      <w:tabs>
        <w:tab w:val="clear" w:pos="1060"/>
      </w:tabs>
    </w:pPr>
  </w:style>
  <w:style w:type="paragraph" w:customStyle="1" w:styleId="MarginNote">
    <w:name w:val="Margin Note"/>
    <w:basedOn w:val="BodyText"/>
    <w:rsid w:val="006861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61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61A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861A3"/>
    <w:rPr>
      <w:sz w:val="32"/>
    </w:rPr>
  </w:style>
  <w:style w:type="paragraph" w:customStyle="1" w:styleId="HeadingProcedure">
    <w:name w:val="Heading Procedure"/>
    <w:basedOn w:val="HeadingBase"/>
    <w:next w:val="Normal"/>
    <w:rsid w:val="006861A3"/>
    <w:pPr>
      <w:tabs>
        <w:tab w:val="left" w:pos="0"/>
      </w:tabs>
      <w:spacing w:before="120" w:after="60"/>
    </w:pPr>
    <w:rPr>
      <w:i/>
      <w:color w:val="918585"/>
      <w:sz w:val="22"/>
    </w:rPr>
  </w:style>
  <w:style w:type="paragraph" w:customStyle="1" w:styleId="TableBodyText">
    <w:name w:val="Table Body Text"/>
    <w:basedOn w:val="BodyText"/>
    <w:rsid w:val="006861A3"/>
    <w:pPr>
      <w:spacing w:before="60" w:after="60"/>
    </w:pPr>
  </w:style>
  <w:style w:type="paragraph" w:styleId="ListContinue">
    <w:name w:val="List Continue"/>
    <w:basedOn w:val="List"/>
    <w:rsid w:val="006861A3"/>
    <w:pPr>
      <w:ind w:firstLine="0"/>
    </w:pPr>
  </w:style>
  <w:style w:type="paragraph" w:customStyle="1" w:styleId="ListNote">
    <w:name w:val="List Note"/>
    <w:basedOn w:val="List"/>
    <w:rsid w:val="006861A3"/>
    <w:pPr>
      <w:pBdr>
        <w:top w:val="single" w:sz="6" w:space="2" w:color="918585"/>
        <w:bottom w:val="single" w:sz="6" w:space="2" w:color="918585"/>
      </w:pBdr>
      <w:tabs>
        <w:tab w:val="left" w:pos="1021"/>
      </w:tabs>
      <w:ind w:firstLine="0"/>
    </w:pPr>
  </w:style>
  <w:style w:type="paragraph" w:customStyle="1" w:styleId="Warning">
    <w:name w:val="Warning"/>
    <w:basedOn w:val="BodyText"/>
    <w:rsid w:val="006861A3"/>
    <w:pPr>
      <w:shd w:val="clear" w:color="auto" w:fill="D9D9D9"/>
      <w:tabs>
        <w:tab w:val="left" w:pos="992"/>
      </w:tabs>
      <w:ind w:left="119" w:right="119"/>
    </w:pPr>
    <w:rPr>
      <w:sz w:val="20"/>
    </w:rPr>
  </w:style>
  <w:style w:type="paragraph" w:customStyle="1" w:styleId="MarginIcons">
    <w:name w:val="Margin Icons"/>
    <w:basedOn w:val="BodyText"/>
    <w:rsid w:val="006861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61A3"/>
    <w:rPr>
      <w:rFonts w:ascii="Courier New" w:hAnsi="Courier New"/>
    </w:rPr>
  </w:style>
  <w:style w:type="paragraph" w:customStyle="1" w:styleId="NoteBullet">
    <w:name w:val="Note Bullet"/>
    <w:basedOn w:val="Note"/>
    <w:rsid w:val="006861A3"/>
    <w:pPr>
      <w:tabs>
        <w:tab w:val="clear" w:pos="680"/>
      </w:tabs>
      <w:spacing w:before="60" w:after="60"/>
    </w:pPr>
  </w:style>
  <w:style w:type="paragraph" w:customStyle="1" w:styleId="SubHeading2">
    <w:name w:val="SubHeading2"/>
    <w:basedOn w:val="HeadingBase"/>
    <w:rsid w:val="006861A3"/>
    <w:pPr>
      <w:spacing w:before="240" w:after="60"/>
    </w:pPr>
    <w:rPr>
      <w:sz w:val="20"/>
    </w:rPr>
  </w:style>
  <w:style w:type="paragraph" w:customStyle="1" w:styleId="SubHeading1">
    <w:name w:val="SubHeading1"/>
    <w:basedOn w:val="HeadingBase"/>
    <w:rsid w:val="006861A3"/>
    <w:pPr>
      <w:spacing w:before="240" w:after="60"/>
    </w:pPr>
    <w:rPr>
      <w:color w:val="918585"/>
      <w:sz w:val="22"/>
    </w:rPr>
  </w:style>
  <w:style w:type="paragraph" w:customStyle="1" w:styleId="SideHeading">
    <w:name w:val="Side Heading"/>
    <w:basedOn w:val="HeadingBase"/>
    <w:rsid w:val="006861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61A3"/>
    <w:pPr>
      <w:numPr>
        <w:numId w:val="13"/>
      </w:numPr>
    </w:pPr>
  </w:style>
  <w:style w:type="paragraph" w:styleId="PlainText">
    <w:name w:val="Plain Text"/>
    <w:basedOn w:val="Normal"/>
    <w:link w:val="PlainTextChar"/>
    <w:rsid w:val="006861A3"/>
    <w:rPr>
      <w:sz w:val="20"/>
    </w:rPr>
  </w:style>
  <w:style w:type="character" w:customStyle="1" w:styleId="PlainTextChar">
    <w:name w:val="Plain Text Char"/>
    <w:basedOn w:val="DefaultParagraphFont"/>
    <w:link w:val="PlainText"/>
    <w:rsid w:val="006861A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861A3"/>
    <w:rPr>
      <w:b/>
      <w:smallCaps/>
    </w:rPr>
  </w:style>
  <w:style w:type="paragraph" w:customStyle="1" w:styleId="TableListNumber">
    <w:name w:val="Table List Number"/>
    <w:basedOn w:val="ListNumber"/>
    <w:rsid w:val="006861A3"/>
    <w:pPr>
      <w:numPr>
        <w:numId w:val="0"/>
      </w:numPr>
    </w:pPr>
  </w:style>
  <w:style w:type="paragraph" w:styleId="TOC4">
    <w:name w:val="toc 4"/>
    <w:basedOn w:val="TOCBase"/>
    <w:next w:val="Normal"/>
    <w:semiHidden/>
    <w:rsid w:val="006861A3"/>
    <w:pPr>
      <w:tabs>
        <w:tab w:val="right" w:leader="dot" w:pos="9071"/>
      </w:tabs>
      <w:ind w:left="1701"/>
    </w:pPr>
  </w:style>
  <w:style w:type="paragraph" w:customStyle="1" w:styleId="ListAlpha">
    <w:name w:val="List Alpha"/>
    <w:basedOn w:val="List"/>
    <w:rsid w:val="006861A3"/>
    <w:pPr>
      <w:numPr>
        <w:numId w:val="10"/>
      </w:numPr>
    </w:pPr>
  </w:style>
  <w:style w:type="paragraph" w:customStyle="1" w:styleId="ListAlpha2">
    <w:name w:val="List Alpha 2"/>
    <w:basedOn w:val="List2"/>
    <w:rsid w:val="006861A3"/>
    <w:pPr>
      <w:numPr>
        <w:numId w:val="9"/>
      </w:numPr>
    </w:pPr>
  </w:style>
  <w:style w:type="paragraph" w:styleId="List2">
    <w:name w:val="List 2"/>
    <w:basedOn w:val="BodyText"/>
    <w:rsid w:val="006861A3"/>
    <w:pPr>
      <w:tabs>
        <w:tab w:val="left" w:pos="680"/>
      </w:tabs>
      <w:spacing w:before="60" w:after="60"/>
      <w:ind w:left="680" w:hanging="340"/>
    </w:pPr>
  </w:style>
  <w:style w:type="paragraph" w:styleId="List3">
    <w:name w:val="List 3"/>
    <w:basedOn w:val="BodyText"/>
    <w:rsid w:val="006861A3"/>
    <w:pPr>
      <w:tabs>
        <w:tab w:val="left" w:pos="1021"/>
      </w:tabs>
      <w:spacing w:before="60" w:after="60"/>
      <w:ind w:left="1020" w:hanging="340"/>
    </w:pPr>
  </w:style>
  <w:style w:type="paragraph" w:styleId="List4">
    <w:name w:val="List 4"/>
    <w:basedOn w:val="BodyText"/>
    <w:rsid w:val="006861A3"/>
    <w:pPr>
      <w:tabs>
        <w:tab w:val="left" w:pos="1361"/>
      </w:tabs>
      <w:spacing w:before="60" w:after="60"/>
      <w:ind w:left="1361" w:hanging="340"/>
    </w:pPr>
  </w:style>
  <w:style w:type="paragraph" w:styleId="List5">
    <w:name w:val="List 5"/>
    <w:basedOn w:val="BodyText"/>
    <w:rsid w:val="006861A3"/>
    <w:pPr>
      <w:tabs>
        <w:tab w:val="left" w:pos="1701"/>
      </w:tabs>
      <w:spacing w:before="60" w:after="60"/>
      <w:ind w:left="1701" w:hanging="340"/>
    </w:pPr>
  </w:style>
  <w:style w:type="paragraph" w:styleId="ListBullet4">
    <w:name w:val="List Bullet 4"/>
    <w:basedOn w:val="List4"/>
    <w:rsid w:val="006861A3"/>
    <w:pPr>
      <w:numPr>
        <w:numId w:val="4"/>
      </w:numPr>
    </w:pPr>
  </w:style>
  <w:style w:type="paragraph" w:styleId="ListBullet5">
    <w:name w:val="List Bullet 5"/>
    <w:basedOn w:val="List5"/>
    <w:rsid w:val="006861A3"/>
    <w:pPr>
      <w:numPr>
        <w:numId w:val="5"/>
      </w:numPr>
    </w:pPr>
  </w:style>
  <w:style w:type="paragraph" w:styleId="ListContinue2">
    <w:name w:val="List Continue 2"/>
    <w:basedOn w:val="List2"/>
    <w:rsid w:val="006861A3"/>
    <w:pPr>
      <w:ind w:firstLine="0"/>
    </w:pPr>
  </w:style>
  <w:style w:type="paragraph" w:styleId="ListContinue3">
    <w:name w:val="List Continue 3"/>
    <w:basedOn w:val="List3"/>
    <w:rsid w:val="006861A3"/>
    <w:pPr>
      <w:ind w:left="1021" w:firstLine="0"/>
    </w:pPr>
  </w:style>
  <w:style w:type="paragraph" w:styleId="ListContinue4">
    <w:name w:val="List Continue 4"/>
    <w:basedOn w:val="List4"/>
    <w:rsid w:val="006861A3"/>
    <w:pPr>
      <w:ind w:firstLine="0"/>
    </w:pPr>
  </w:style>
  <w:style w:type="paragraph" w:styleId="ListContinue5">
    <w:name w:val="List Continue 5"/>
    <w:basedOn w:val="List5"/>
    <w:rsid w:val="006861A3"/>
    <w:pPr>
      <w:ind w:firstLine="0"/>
    </w:pPr>
  </w:style>
  <w:style w:type="paragraph" w:styleId="ListNumber3">
    <w:name w:val="List Number 3"/>
    <w:basedOn w:val="List3"/>
    <w:rsid w:val="006861A3"/>
    <w:pPr>
      <w:numPr>
        <w:numId w:val="6"/>
      </w:numPr>
    </w:pPr>
  </w:style>
  <w:style w:type="paragraph" w:styleId="ListNumber4">
    <w:name w:val="List Number 4"/>
    <w:basedOn w:val="List4"/>
    <w:rsid w:val="006861A3"/>
    <w:pPr>
      <w:numPr>
        <w:numId w:val="7"/>
      </w:numPr>
    </w:pPr>
  </w:style>
  <w:style w:type="paragraph" w:styleId="ListNumber5">
    <w:name w:val="List Number 5"/>
    <w:basedOn w:val="List5"/>
    <w:rsid w:val="006861A3"/>
    <w:pPr>
      <w:numPr>
        <w:numId w:val="8"/>
      </w:numPr>
    </w:pPr>
  </w:style>
  <w:style w:type="paragraph" w:styleId="BlockText">
    <w:name w:val="Block Text"/>
    <w:basedOn w:val="Normal"/>
    <w:rsid w:val="006861A3"/>
    <w:pPr>
      <w:spacing w:after="120"/>
      <w:ind w:left="1440" w:right="1440"/>
    </w:pPr>
  </w:style>
  <w:style w:type="character" w:customStyle="1" w:styleId="Subscript">
    <w:name w:val="Subscript"/>
    <w:basedOn w:val="DefaultParagraphFont"/>
    <w:rsid w:val="006861A3"/>
    <w:rPr>
      <w:sz w:val="16"/>
      <w:vertAlign w:val="subscript"/>
    </w:rPr>
  </w:style>
  <w:style w:type="character" w:customStyle="1" w:styleId="Superscript">
    <w:name w:val="Superscript"/>
    <w:basedOn w:val="DefaultParagraphFont"/>
    <w:rsid w:val="006861A3"/>
    <w:rPr>
      <w:sz w:val="16"/>
      <w:vertAlign w:val="superscript"/>
    </w:rPr>
  </w:style>
  <w:style w:type="character" w:customStyle="1" w:styleId="Symbols">
    <w:name w:val="Symbols"/>
    <w:basedOn w:val="DefaultParagraphFont"/>
    <w:rsid w:val="006861A3"/>
    <w:rPr>
      <w:rFonts w:ascii="Symbol" w:hAnsi="Symbol"/>
    </w:rPr>
  </w:style>
  <w:style w:type="character" w:customStyle="1" w:styleId="MenuOptions">
    <w:name w:val="Menu Options"/>
    <w:basedOn w:val="DefaultParagraphFont"/>
    <w:rsid w:val="006861A3"/>
    <w:rPr>
      <w:rFonts w:ascii="Arial Narrow" w:hAnsi="Arial Narrow"/>
      <w:smallCaps/>
    </w:rPr>
  </w:style>
  <w:style w:type="character" w:customStyle="1" w:styleId="Buttons">
    <w:name w:val="Buttons"/>
    <w:basedOn w:val="DefaultParagraphFont"/>
    <w:rsid w:val="006861A3"/>
    <w:rPr>
      <w:b/>
    </w:rPr>
  </w:style>
  <w:style w:type="character" w:customStyle="1" w:styleId="Underlined">
    <w:name w:val="Underlined"/>
    <w:basedOn w:val="DefaultParagraphFont"/>
    <w:rsid w:val="006861A3"/>
    <w:rPr>
      <w:u w:val="single"/>
    </w:rPr>
  </w:style>
  <w:style w:type="paragraph" w:customStyle="1" w:styleId="TableBodyTextRight">
    <w:name w:val="Table Body Text Right"/>
    <w:basedOn w:val="TableBodyText"/>
    <w:rsid w:val="006861A3"/>
    <w:pPr>
      <w:widowControl w:val="0"/>
      <w:autoSpaceDE w:val="0"/>
      <w:autoSpaceDN w:val="0"/>
      <w:adjustRightInd w:val="0"/>
      <w:jc w:val="right"/>
    </w:pPr>
    <w:rPr>
      <w:rFonts w:cs="Arial"/>
      <w:szCs w:val="18"/>
    </w:rPr>
  </w:style>
  <w:style w:type="paragraph" w:customStyle="1" w:styleId="CopyrightText">
    <w:name w:val="Copyright Text"/>
    <w:basedOn w:val="BodyText"/>
    <w:rsid w:val="006861A3"/>
    <w:rPr>
      <w:sz w:val="18"/>
    </w:rPr>
  </w:style>
  <w:style w:type="paragraph" w:customStyle="1" w:styleId="BodySmallRight">
    <w:name w:val="Body Small Right"/>
    <w:basedOn w:val="BodyTextRight"/>
    <w:rsid w:val="006861A3"/>
    <w:rPr>
      <w:sz w:val="18"/>
      <w:szCs w:val="18"/>
    </w:rPr>
  </w:style>
  <w:style w:type="paragraph" w:customStyle="1" w:styleId="MarginEdition">
    <w:name w:val="Margin Edition"/>
    <w:basedOn w:val="MarginNote"/>
    <w:rsid w:val="006861A3"/>
    <w:pPr>
      <w:spacing w:before="0" w:after="0"/>
    </w:pPr>
    <w:rPr>
      <w:rFonts w:ascii="Times New Roman" w:hAnsi="Times New Roman"/>
      <w:color w:val="999999"/>
    </w:rPr>
  </w:style>
  <w:style w:type="paragraph" w:customStyle="1" w:styleId="Spacer">
    <w:name w:val="Spacer"/>
    <w:basedOn w:val="Normal"/>
    <w:rsid w:val="006861A3"/>
    <w:rPr>
      <w:sz w:val="2"/>
      <w:szCs w:val="2"/>
    </w:rPr>
  </w:style>
  <w:style w:type="character" w:customStyle="1" w:styleId="Small">
    <w:name w:val="Small"/>
    <w:basedOn w:val="DefaultParagraphFont"/>
    <w:rsid w:val="006861A3"/>
    <w:rPr>
      <w:sz w:val="16"/>
    </w:rPr>
  </w:style>
  <w:style w:type="paragraph" w:customStyle="1" w:styleId="WideTable">
    <w:name w:val="Wide Table"/>
    <w:basedOn w:val="Normal"/>
    <w:rsid w:val="006861A3"/>
    <w:pPr>
      <w:ind w:left="-1418"/>
    </w:pPr>
    <w:rPr>
      <w:sz w:val="2"/>
      <w:szCs w:val="2"/>
    </w:rPr>
  </w:style>
  <w:style w:type="character" w:styleId="PageNumber">
    <w:name w:val="page number"/>
    <w:basedOn w:val="DefaultParagraphFont"/>
    <w:rsid w:val="006861A3"/>
  </w:style>
  <w:style w:type="paragraph" w:styleId="Quote">
    <w:name w:val="Quote"/>
    <w:basedOn w:val="Heading1"/>
    <w:link w:val="QuoteChar"/>
    <w:qFormat/>
    <w:rsid w:val="006861A3"/>
    <w:rPr>
      <w:b w:val="0"/>
      <w:sz w:val="72"/>
      <w:szCs w:val="72"/>
      <w:lang w:val="en-NZ"/>
    </w:rPr>
  </w:style>
  <w:style w:type="character" w:customStyle="1" w:styleId="QuoteChar">
    <w:name w:val="Quote Char"/>
    <w:basedOn w:val="DefaultParagraphFont"/>
    <w:link w:val="Quote"/>
    <w:rsid w:val="006861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61A3"/>
    <w:pPr>
      <w:pageBreakBefore/>
    </w:pPr>
  </w:style>
  <w:style w:type="paragraph" w:customStyle="1" w:styleId="Border">
    <w:name w:val="Border"/>
    <w:basedOn w:val="Normal"/>
    <w:qFormat/>
    <w:rsid w:val="006861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61A3"/>
    <w:rPr>
      <w:b/>
      <w:bCs/>
      <w:i/>
      <w:iCs/>
      <w:color w:val="auto"/>
    </w:rPr>
  </w:style>
  <w:style w:type="paragraph" w:styleId="IntenseQuote">
    <w:name w:val="Intense Quote"/>
    <w:basedOn w:val="Normal"/>
    <w:next w:val="Normal"/>
    <w:link w:val="IntenseQuoteChar"/>
    <w:uiPriority w:val="30"/>
    <w:qFormat/>
    <w:rsid w:val="006861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61A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861A3"/>
    <w:rPr>
      <w:smallCaps/>
      <w:color w:val="auto"/>
      <w:u w:val="single"/>
    </w:rPr>
  </w:style>
  <w:style w:type="character" w:styleId="IntenseReference">
    <w:name w:val="Intense Reference"/>
    <w:basedOn w:val="DefaultParagraphFont"/>
    <w:uiPriority w:val="32"/>
    <w:qFormat/>
    <w:rsid w:val="006861A3"/>
    <w:rPr>
      <w:b/>
      <w:bCs/>
      <w:smallCaps/>
      <w:color w:val="auto"/>
      <w:spacing w:val="5"/>
      <w:u w:val="single"/>
    </w:rPr>
  </w:style>
  <w:style w:type="paragraph" w:customStyle="1" w:styleId="2ColumnHeading">
    <w:name w:val="2Column Heading"/>
    <w:basedOn w:val="BodyText"/>
    <w:qFormat/>
    <w:rsid w:val="006861A3"/>
    <w:pPr>
      <w:spacing w:after="60"/>
      <w:ind w:left="-2268"/>
    </w:pPr>
    <w:rPr>
      <w:b/>
    </w:rPr>
  </w:style>
  <w:style w:type="paragraph" w:customStyle="1" w:styleId="Heading1TOC">
    <w:name w:val="Heading1 TOC"/>
    <w:basedOn w:val="Normal"/>
    <w:qFormat/>
    <w:rsid w:val="006861A3"/>
    <w:pPr>
      <w:spacing w:before="240" w:after="120"/>
    </w:pPr>
    <w:rPr>
      <w:rFonts w:ascii="Times New Roman" w:hAnsi="Times New Roman"/>
      <w:b/>
      <w:sz w:val="32"/>
    </w:rPr>
  </w:style>
  <w:style w:type="paragraph" w:customStyle="1" w:styleId="Heading2TOC">
    <w:name w:val="Heading2 TOC"/>
    <w:basedOn w:val="Normal"/>
    <w:qFormat/>
    <w:rsid w:val="006861A3"/>
    <w:pPr>
      <w:spacing w:before="240" w:after="60"/>
    </w:pPr>
    <w:rPr>
      <w:rFonts w:ascii="Times New Roman" w:hAnsi="Times New Roman"/>
      <w:b/>
      <w:sz w:val="28"/>
    </w:rPr>
  </w:style>
  <w:style w:type="character" w:customStyle="1" w:styleId="Underline">
    <w:name w:val="Underline"/>
    <w:basedOn w:val="DefaultParagraphFont"/>
    <w:qFormat/>
    <w:rsid w:val="006861A3"/>
    <w:rPr>
      <w:u w:val="single"/>
    </w:rPr>
  </w:style>
  <w:style w:type="paragraph" w:styleId="BalloonText">
    <w:name w:val="Balloon Text"/>
    <w:basedOn w:val="Normal"/>
    <w:link w:val="BalloonTextChar"/>
    <w:rsid w:val="006861A3"/>
    <w:rPr>
      <w:rFonts w:ascii="Tahoma" w:hAnsi="Tahoma" w:cs="Tahoma"/>
      <w:sz w:val="16"/>
      <w:szCs w:val="16"/>
    </w:rPr>
  </w:style>
  <w:style w:type="character" w:customStyle="1" w:styleId="BalloonTextChar">
    <w:name w:val="Balloon Text Char"/>
    <w:basedOn w:val="DefaultParagraphFont"/>
    <w:link w:val="BalloonText"/>
    <w:rsid w:val="006861A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861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61A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1016</Words>
  <Characters>6493</Characters>
  <Application>Microsoft Office Word</Application>
  <DocSecurity>0</DocSecurity>
  <Lines>228</Lines>
  <Paragraphs>128</Paragraphs>
  <ScaleCrop>false</ScaleCrop>
  <Company>Author-it Software Corporation Ltd.</Company>
  <LinksUpToDate>false</LinksUpToDate>
  <CharactersWithSpaces>7451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FNSACC403B Make decisions in a legal context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2012-05-26T16:11:00Z</dcterms:created>
  <dcterms:modified xsi:type="dcterms:W3CDTF">2012-05-26T16:11:00Z</dcterms:modified>
</cp:coreProperties>
</file>