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90B" w:rsidP="001D690B">
      <w:pPr>
        <w:pStyle w:val="Title"/>
      </w:pPr>
      <w:r>
        <w:fldChar w:fldCharType="begin"/>
      </w:r>
      <w:r>
        <w:instrText xml:space="preserve"> TITLE   \* MERGEFORMAT </w:instrText>
      </w:r>
      <w:r>
        <w:fldChar w:fldCharType="separate"/>
      </w:r>
      <w:r>
        <w:t>FNSACC403A Make decisions in a legal context</w:t>
      </w:r>
      <w:r>
        <w:fldChar w:fldCharType="end"/>
      </w:r>
    </w:p>
    <w:p w:rsidR="001D690B" w:rsidP="001D690B">
      <w:pPr>
        <w:pStyle w:val="Version"/>
        <w:sectPr w:rsidSect="00A86E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6E9B" w:rsidP="00A86E9B">
      <w:pPr>
        <w:pStyle w:val="SuperHeading"/>
      </w:pPr>
      <w:r w:rsidRPr="00A86E9B">
        <w:t>FNSACC403A Make decisions in a legal context</w:t>
      </w:r>
    </w:p>
    <w:p w:rsidR="00000000" w:rsidRPr="00A86E9B" w:rsidP="00A86E9B">
      <w:pPr>
        <w:pStyle w:val="SuperHeading"/>
      </w:pPr>
    </w:p>
    <w:p w:rsidR="00000000" w:rsidRPr="00A86E9B" w:rsidP="00A86E9B">
      <w:pPr>
        <w:pStyle w:val="Heading1"/>
      </w:pPr>
      <w:bookmarkStart w:id="1" w:name="O_77031"/>
      <w:bookmarkEnd w:id="1"/>
      <w:r w:rsidRPr="00A86E9B">
        <w:t>Modification History</w:t>
      </w:r>
    </w:p>
    <w:p w:rsidR="00000000" w:rsidRPr="00A86E9B" w:rsidP="00A86E9B">
      <w:pPr>
        <w:pStyle w:val="BodyText"/>
      </w:pPr>
      <w:r w:rsidRPr="00A86E9B">
        <w:t>Not applicable.</w:t>
      </w:r>
    </w:p>
    <w:p w:rsidR="00000000" w:rsidRPr="00A86E9B" w:rsidP="00A86E9B">
      <w:pPr>
        <w:pStyle w:val="AllowPageBreak"/>
      </w:pPr>
    </w:p>
    <w:p w:rsidR="00000000" w:rsidRPr="00A86E9B" w:rsidP="00A86E9B">
      <w:pPr>
        <w:pStyle w:val="Heading1"/>
      </w:pPr>
      <w:bookmarkStart w:id="2" w:name="O_77032"/>
      <w:bookmarkEnd w:id="2"/>
      <w:r w:rsidRPr="00A86E9B">
        <w:t>Unit Descriptor</w:t>
      </w:r>
    </w:p>
    <w:tbl>
      <w:tblPr>
        <w:tblW w:w="0" w:type="auto"/>
        <w:tblLayout w:type="fixed"/>
        <w:tblCellMar>
          <w:left w:w="62" w:type="dxa"/>
          <w:right w:w="62" w:type="dxa"/>
        </w:tblCellMar>
        <w:tblLook w:val="0000"/>
      </w:tblPr>
      <w:tblGrid>
        <w:gridCol w:w="2639"/>
        <w:gridCol w:w="5883"/>
      </w:tblGrid>
      <w:tr w:rsidTr="001D690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This unit describes the performance outcomes, skills and knowledge required to make decisions in</w:t>
            </w:r>
            <w:r w:rsidRPr="00A86E9B">
              <w:t xml:space="preserve"> a legal context. </w:t>
            </w:r>
          </w:p>
          <w:p w:rsidR="00000000" w:rsidRPr="00A86E9B" w:rsidP="00A86E9B">
            <w:pPr>
              <w:pStyle w:val="BodyText"/>
            </w:pPr>
          </w:p>
          <w:p w:rsidR="00000000" w:rsidRPr="00A86E9B" w:rsidP="00A86E9B">
            <w:pPr>
              <w:pStyle w:val="BodyText"/>
            </w:pPr>
            <w:r w:rsidRPr="00A86E9B">
              <w:t>This unit has application to a variety of financial services sectors and is applicable to individuals working within enterprises and job roles subject to licensing, legislative, regulatory or certification requirements so the varying Co</w:t>
            </w:r>
            <w:r w:rsidRPr="00A86E9B">
              <w:t>mmonwealth, State or Territory requirements should be confirmed with the relevant body.</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3" w:name="O_77033"/>
      <w:bookmarkEnd w:id="3"/>
      <w:r w:rsidRPr="00A86E9B">
        <w:t>Application of the Unit</w:t>
      </w:r>
    </w:p>
    <w:tbl>
      <w:tblPr>
        <w:tblW w:w="0" w:type="auto"/>
        <w:tblLayout w:type="fixed"/>
        <w:tblCellMar>
          <w:left w:w="62" w:type="dxa"/>
          <w:right w:w="62" w:type="dxa"/>
        </w:tblCellMar>
        <w:tblLook w:val="0000"/>
      </w:tblPr>
      <w:tblGrid>
        <w:gridCol w:w="2718"/>
        <w:gridCol w:w="5804"/>
      </w:tblGrid>
      <w:tr w:rsidTr="001D690B">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This unit encompasses identifying the main roles and responsibilities of key bodies in the legal system, identifying compliance requirements and developing procedures to ensure compliance and has application across all sectors of the financial services ind</w:t>
            </w:r>
            <w:r w:rsidRPr="00A86E9B">
              <w:t>ustry.</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4" w:name="O_77034"/>
      <w:bookmarkEnd w:id="4"/>
      <w:r w:rsidRPr="00A86E9B">
        <w:t>Licensing/Regulatory Information</w:t>
      </w:r>
    </w:p>
    <w:p w:rsidR="00000000" w:rsidRPr="00A86E9B" w:rsidP="00A86E9B">
      <w:pPr>
        <w:pStyle w:val="BodyText"/>
      </w:pPr>
      <w:r w:rsidRPr="00A86E9B">
        <w:t>Not applicable.</w:t>
      </w:r>
    </w:p>
    <w:p w:rsidR="00000000" w:rsidRPr="00A86E9B" w:rsidP="00A86E9B">
      <w:pPr>
        <w:pStyle w:val="AllowPageBreak"/>
      </w:pPr>
    </w:p>
    <w:p w:rsidR="00000000" w:rsidRPr="00A86E9B" w:rsidP="00A86E9B">
      <w:pPr>
        <w:pStyle w:val="Heading1"/>
      </w:pPr>
      <w:bookmarkStart w:id="5" w:name="O_77035"/>
      <w:bookmarkEnd w:id="5"/>
      <w:r w:rsidRPr="00A86E9B">
        <w:t>Pre-Requisites</w:t>
      </w:r>
    </w:p>
    <w:tbl>
      <w:tblPr>
        <w:tblW w:w="0" w:type="auto"/>
        <w:tblLayout w:type="fixed"/>
        <w:tblCellMar>
          <w:left w:w="62" w:type="dxa"/>
          <w:right w:w="62" w:type="dxa"/>
        </w:tblCellMar>
        <w:tblLook w:val="0000"/>
      </w:tblPr>
      <w:tblGrid>
        <w:gridCol w:w="2745"/>
        <w:gridCol w:w="1301"/>
        <w:gridCol w:w="4476"/>
      </w:tblGrid>
      <w:tr w:rsidTr="001D690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p>
        </w:tc>
      </w:tr>
      <w:tr w:rsidTr="001D69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p>
        </w:tc>
      </w:tr>
      <w:tr w:rsidTr="001D69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6" w:name="O_77036"/>
      <w:bookmarkEnd w:id="6"/>
      <w:r w:rsidRPr="00A86E9B">
        <w:t>Employability Skills Information</w:t>
      </w:r>
    </w:p>
    <w:tbl>
      <w:tblPr>
        <w:tblW w:w="0" w:type="auto"/>
        <w:tblLayout w:type="fixed"/>
        <w:tblCellMar>
          <w:left w:w="62" w:type="dxa"/>
          <w:right w:w="62" w:type="dxa"/>
        </w:tblCellMar>
        <w:tblLook w:val="0000"/>
      </w:tblPr>
      <w:tblGrid>
        <w:gridCol w:w="2762"/>
        <w:gridCol w:w="5760"/>
      </w:tblGrid>
      <w:tr w:rsidTr="001D690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This unit contains employability skills.</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7" w:name="O_77037"/>
      <w:bookmarkEnd w:id="7"/>
      <w:r w:rsidRPr="00A86E9B">
        <w:t>Elements and Performance Criteria Pre-Content</w:t>
      </w:r>
    </w:p>
    <w:tbl>
      <w:tblPr>
        <w:tblW w:w="0" w:type="auto"/>
        <w:tblLayout w:type="fixed"/>
        <w:tblCellMar>
          <w:left w:w="62" w:type="dxa"/>
          <w:right w:w="62" w:type="dxa"/>
        </w:tblCellMar>
        <w:tblLook w:val="0000"/>
      </w:tblPr>
      <w:tblGrid>
        <w:gridCol w:w="2575"/>
        <w:gridCol w:w="5947"/>
      </w:tblGrid>
      <w:tr w:rsidTr="001D690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Performance criteria describe the performance needed to demonstrate achievement of the element. Where bold italicised text is used, furth</w:t>
            </w:r>
            <w:r w:rsidRPr="00A86E9B">
              <w:t>er information is detailed in the required skills and knowledge section and the range statement. Assessment of performance is to be consistent with the evidence guide.</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8" w:name="O_77038"/>
      <w:bookmarkEnd w:id="8"/>
      <w:r w:rsidRPr="00A86E9B">
        <w:t>Elements and Performance Criteria</w:t>
      </w:r>
    </w:p>
    <w:tbl>
      <w:tblPr>
        <w:tblW w:w="0" w:type="auto"/>
        <w:tblLayout w:type="fixed"/>
        <w:tblCellMar>
          <w:left w:w="62" w:type="dxa"/>
          <w:right w:w="62" w:type="dxa"/>
        </w:tblCellMar>
        <w:tblLook w:val="0000"/>
      </w:tblPr>
      <w:tblGrid>
        <w:gridCol w:w="2575"/>
        <w:gridCol w:w="5947"/>
      </w:tblGrid>
      <w:tr w:rsidTr="001D690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PERFORMANCE CRITERIA</w:t>
            </w:r>
          </w:p>
        </w:tc>
      </w:tr>
      <w:tr w:rsidTr="001D690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List"/>
              <w:rPr>
                <w:lang w:val="en-NZ"/>
              </w:rPr>
            </w:pPr>
            <w:r w:rsidRPr="00A86E9B">
              <w:t>1.</w:t>
            </w:r>
            <w:r w:rsidRPr="00A86E9B">
              <w:tab/>
            </w:r>
            <w:r w:rsidRPr="00A86E9B">
              <w:t>Identify the main roles and responsibilities of the key bodies in the legal system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2"/>
            </w:pPr>
            <w:r w:rsidRPr="00A86E9B">
              <w:t>1.1.</w:t>
            </w:r>
            <w:r w:rsidRPr="00A86E9B">
              <w:tab/>
              <w:t xml:space="preserve">The functions of the </w:t>
            </w:r>
            <w:r w:rsidRPr="00A86E9B">
              <w:rPr>
                <w:rStyle w:val="BoldandItalics"/>
              </w:rPr>
              <w:t>courts and other regulatory bodies</w:t>
            </w:r>
            <w:r w:rsidRPr="00A86E9B">
              <w:t xml:space="preserve"> relevant to the financial services industry are identified</w:t>
            </w:r>
          </w:p>
          <w:p w:rsidR="00000000" w:rsidRPr="00A86E9B" w:rsidP="00A86E9B">
            <w:pPr>
              <w:pStyle w:val="List2"/>
            </w:pPr>
            <w:r w:rsidRPr="00A86E9B">
              <w:t>1.2.</w:t>
            </w:r>
            <w:r w:rsidRPr="00A86E9B">
              <w:tab/>
              <w:t xml:space="preserve">Implications of </w:t>
            </w:r>
            <w:r w:rsidRPr="00A86E9B">
              <w:rPr>
                <w:rStyle w:val="BoldandItalics"/>
              </w:rPr>
              <w:t>relevant legislation</w:t>
            </w:r>
            <w:r w:rsidRPr="00A86E9B">
              <w:t xml:space="preserve"> are identif</w:t>
            </w:r>
            <w:r w:rsidRPr="00A86E9B">
              <w:t>ied and applied in operational activities</w:t>
            </w:r>
          </w:p>
          <w:p w:rsidR="00000000" w:rsidP="00A86E9B">
            <w:pPr>
              <w:pStyle w:val="List2"/>
              <w:rPr>
                <w:lang w:val="en-NZ"/>
              </w:rPr>
            </w:pPr>
            <w:r w:rsidRPr="00A86E9B">
              <w:t>1.3.</w:t>
            </w:r>
            <w:r w:rsidRPr="00A86E9B">
              <w:tab/>
              <w:t>Implications of common law, including negligence and contract, employment law and business structures, are identified and applied in making operational decisions</w:t>
            </w:r>
          </w:p>
        </w:tc>
      </w:tr>
      <w:tr w:rsidTr="001D690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List"/>
              <w:rPr>
                <w:lang w:val="en-NZ"/>
              </w:rPr>
            </w:pPr>
            <w:r w:rsidRPr="00A86E9B">
              <w:t>2.</w:t>
            </w:r>
            <w:r w:rsidRPr="00A86E9B">
              <w:tab/>
              <w:t>Identify compliance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2"/>
            </w:pPr>
            <w:r w:rsidRPr="00A86E9B">
              <w:t>2.1.</w:t>
            </w:r>
            <w:r w:rsidRPr="00A86E9B">
              <w:tab/>
              <w:t>Compl</w:t>
            </w:r>
            <w:r w:rsidRPr="00A86E9B">
              <w:t>iance requirements are interpreted accurately and applied within prescribed time limits</w:t>
            </w:r>
          </w:p>
          <w:p w:rsidR="00000000" w:rsidRPr="00A86E9B" w:rsidP="00A86E9B">
            <w:pPr>
              <w:pStyle w:val="List2"/>
            </w:pPr>
            <w:r w:rsidRPr="00A86E9B">
              <w:t>2.2.</w:t>
            </w:r>
            <w:r w:rsidRPr="00A86E9B">
              <w:tab/>
              <w:t>Requirements are reviewed regularly in a comprehensive manner</w:t>
            </w:r>
          </w:p>
          <w:p w:rsidR="00000000" w:rsidP="00A86E9B">
            <w:pPr>
              <w:pStyle w:val="List2"/>
              <w:rPr>
                <w:lang w:val="en-NZ"/>
              </w:rPr>
            </w:pPr>
            <w:r w:rsidRPr="00A86E9B">
              <w:t>2.3.</w:t>
            </w:r>
            <w:r w:rsidRPr="00A86E9B">
              <w:tab/>
              <w:t xml:space="preserve">Legislative and regulatory </w:t>
            </w:r>
            <w:r w:rsidRPr="00A86E9B">
              <w:rPr>
                <w:rStyle w:val="BoldandItalics"/>
              </w:rPr>
              <w:t>sources of information</w:t>
            </w:r>
            <w:r w:rsidRPr="00A86E9B">
              <w:t xml:space="preserve"> are constantly reviewed to remain informed of </w:t>
            </w:r>
            <w:r w:rsidRPr="00A86E9B">
              <w:t>changes and amendments to statutes and finance industry requirements</w:t>
            </w:r>
          </w:p>
        </w:tc>
      </w:tr>
      <w:tr w:rsidTr="001D690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List"/>
              <w:rPr>
                <w:lang w:val="en-NZ"/>
              </w:rPr>
            </w:pPr>
            <w:r w:rsidRPr="00A86E9B">
              <w:t>3.</w:t>
            </w:r>
            <w:r w:rsidRPr="00A86E9B">
              <w:tab/>
              <w:t>Develop procedures to ensure compliance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2"/>
            </w:pPr>
            <w:r w:rsidRPr="00A86E9B">
              <w:t>3.1.</w:t>
            </w:r>
            <w:r w:rsidRPr="00A86E9B">
              <w:tab/>
            </w:r>
            <w:r w:rsidRPr="00A86E9B">
              <w:rPr>
                <w:rStyle w:val="BoldandItalics"/>
              </w:rPr>
              <w:t>Procedures</w:t>
            </w:r>
            <w:r w:rsidRPr="00A86E9B">
              <w:t xml:space="preserve"> are developed in consultation with others to address all the requirements to be met for compliance</w:t>
            </w:r>
          </w:p>
          <w:p w:rsidR="00000000" w:rsidRPr="00A86E9B" w:rsidP="00A86E9B">
            <w:pPr>
              <w:pStyle w:val="List2"/>
            </w:pPr>
            <w:r w:rsidRPr="00A86E9B">
              <w:t>3.2.</w:t>
            </w:r>
            <w:r w:rsidRPr="00A86E9B">
              <w:tab/>
            </w:r>
            <w:r w:rsidRPr="00A86E9B">
              <w:rPr>
                <w:rStyle w:val="BoldandItalics"/>
              </w:rPr>
              <w:t>Compliance requirements</w:t>
            </w:r>
            <w:r w:rsidRPr="00A86E9B">
              <w:t xml:space="preserve"> are monitored to ensure that they are adhered to by the organisation</w:t>
            </w:r>
          </w:p>
          <w:p w:rsidR="00000000" w:rsidRPr="00A86E9B" w:rsidP="00A86E9B">
            <w:pPr>
              <w:pStyle w:val="List2"/>
            </w:pPr>
            <w:r w:rsidRPr="00A86E9B">
              <w:t>3.3.</w:t>
            </w:r>
            <w:r w:rsidRPr="00A86E9B">
              <w:tab/>
              <w:t xml:space="preserve">Timetables to meet compliance requirements are established to align with statutory deadlines </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9" w:name="O_77039"/>
      <w:bookmarkEnd w:id="9"/>
      <w:r w:rsidRPr="00A86E9B">
        <w:t>Required Skills and Knowledge</w:t>
      </w:r>
    </w:p>
    <w:tbl>
      <w:tblPr>
        <w:tblW w:w="0" w:type="auto"/>
        <w:tblLayout w:type="fixed"/>
        <w:tblCellMar>
          <w:left w:w="62" w:type="dxa"/>
          <w:right w:w="62" w:type="dxa"/>
        </w:tblCellMar>
        <w:tblLook w:val="0000"/>
      </w:tblPr>
      <w:tblGrid>
        <w:gridCol w:w="8522"/>
      </w:tblGrid>
      <w:tr w:rsidTr="001D69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REQUIRED SKILLS AND KNOWLEDGE</w:t>
            </w:r>
          </w:p>
        </w:tc>
      </w:tr>
      <w:tr w:rsidTr="001D69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t>This section describes the skills and knowledge required for this unit.</w:t>
            </w:r>
          </w:p>
        </w:tc>
      </w:tr>
      <w:tr w:rsidTr="001D69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Required skills</w:t>
            </w:r>
          </w:p>
        </w:tc>
      </w:tr>
      <w:tr w:rsidTr="001D69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communication skills to:</w:t>
            </w:r>
          </w:p>
          <w:p w:rsidR="00000000" w:rsidRPr="00A86E9B" w:rsidP="00A86E9B">
            <w:pPr>
              <w:pStyle w:val="ListBullet2"/>
            </w:pPr>
            <w:r w:rsidRPr="00A86E9B">
              <w:t>determine and confirm work requirements, using questioning and active listening as required</w:t>
            </w:r>
          </w:p>
          <w:p w:rsidR="00000000" w:rsidRPr="00A86E9B" w:rsidP="00A86E9B">
            <w:pPr>
              <w:pStyle w:val="ListBullet2"/>
            </w:pPr>
            <w:r w:rsidRPr="00A86E9B">
              <w:t>liaise with others, share information, listen and understand</w:t>
            </w:r>
          </w:p>
          <w:p w:rsidR="00000000" w:rsidRPr="00A86E9B" w:rsidP="00A86E9B">
            <w:pPr>
              <w:pStyle w:val="ListBullet2"/>
            </w:pPr>
            <w:r w:rsidRPr="00A86E9B">
              <w:t>use language and concepts appropriate to cultural differences</w:t>
            </w:r>
          </w:p>
          <w:p w:rsidR="00000000" w:rsidRPr="00A86E9B" w:rsidP="00A86E9B">
            <w:pPr>
              <w:pStyle w:val="ListBullet"/>
            </w:pPr>
            <w:r w:rsidRPr="00A86E9B">
              <w:t>research skills such as:</w:t>
            </w:r>
          </w:p>
          <w:p w:rsidR="00000000" w:rsidRPr="00A86E9B" w:rsidP="00A86E9B">
            <w:pPr>
              <w:pStyle w:val="ListBullet2"/>
            </w:pPr>
            <w:r w:rsidRPr="00A86E9B">
              <w:t>accessing and managing information</w:t>
            </w:r>
          </w:p>
          <w:p w:rsidR="00000000" w:rsidRPr="00A86E9B" w:rsidP="00A86E9B">
            <w:pPr>
              <w:pStyle w:val="ListBullet2"/>
            </w:pPr>
            <w:r w:rsidRPr="00A86E9B">
              <w:t>interpreting documentation</w:t>
            </w:r>
          </w:p>
          <w:p w:rsidR="00000000" w:rsidRPr="00A86E9B" w:rsidP="00A86E9B">
            <w:pPr>
              <w:pStyle w:val="ListBullet2"/>
            </w:pPr>
            <w:r w:rsidRPr="00A86E9B">
              <w:t>coordinating tasks</w:t>
            </w:r>
          </w:p>
          <w:p w:rsidR="00000000" w:rsidRPr="00A86E9B" w:rsidP="00A86E9B">
            <w:pPr>
              <w:pStyle w:val="ListBullet"/>
            </w:pPr>
            <w:r w:rsidRPr="00A86E9B">
              <w:t xml:space="preserve">IT skills for accessing </w:t>
            </w:r>
            <w:r w:rsidRPr="00A86E9B">
              <w:t>and using appropriate software such as spreadsheets and databases and using internet information</w:t>
            </w:r>
          </w:p>
          <w:p w:rsidR="00000000" w:rsidRPr="00A86E9B" w:rsidP="00A86E9B">
            <w:pPr>
              <w:pStyle w:val="ListBullet"/>
            </w:pPr>
            <w:r w:rsidRPr="00A86E9B">
              <w:t>literacy skills to read and interpret documentation from a variety of relevant legislative and regulatory sources and recording, gathering and consolidating fi</w:t>
            </w:r>
            <w:r w:rsidRPr="00A86E9B">
              <w:t>nancial information</w:t>
            </w:r>
          </w:p>
          <w:p w:rsidR="00000000" w:rsidRPr="00A86E9B" w:rsidP="00A86E9B">
            <w:pPr>
              <w:pStyle w:val="ListBullet"/>
            </w:pPr>
            <w:r w:rsidRPr="00A86E9B">
              <w:t>self-management skills for complying with ethical, legal and procedural requirements</w:t>
            </w:r>
          </w:p>
          <w:p w:rsidR="00000000" w:rsidRPr="00A86E9B" w:rsidP="00A86E9B">
            <w:pPr>
              <w:pStyle w:val="ListBullet"/>
            </w:pPr>
            <w:r w:rsidRPr="00A86E9B">
              <w:t>learning skills to maintain knowledge of changes to compliance legislation and requirements</w:t>
            </w:r>
          </w:p>
          <w:p w:rsidR="00000000" w:rsidP="00A86E9B">
            <w:pPr>
              <w:pStyle w:val="ListBullet"/>
              <w:rPr>
                <w:lang w:val="en-NZ"/>
              </w:rPr>
            </w:pPr>
            <w:r w:rsidRPr="00A86E9B">
              <w:t>problem solving skills to address compliance issues</w:t>
            </w:r>
          </w:p>
        </w:tc>
      </w:tr>
      <w:tr w:rsidTr="001D69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Required knowledge</w:t>
            </w:r>
          </w:p>
        </w:tc>
      </w:tr>
      <w:tr w:rsidTr="001D69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accounting policies and procedures for compliance</w:t>
            </w:r>
          </w:p>
          <w:p w:rsidR="00000000" w:rsidRPr="00A86E9B" w:rsidP="00A86E9B">
            <w:pPr>
              <w:pStyle w:val="ListBullet"/>
            </w:pPr>
            <w:r w:rsidRPr="00A86E9B">
              <w:t>industry codes of practice</w:t>
            </w:r>
          </w:p>
          <w:p w:rsidR="00000000" w:rsidRPr="00A86E9B" w:rsidP="00A86E9B">
            <w:pPr>
              <w:pStyle w:val="ListBullet"/>
            </w:pPr>
            <w:r w:rsidRPr="00A86E9B">
              <w:t>legal systems and procedures applying to the financial services industry</w:t>
            </w:r>
          </w:p>
          <w:p w:rsidR="00000000" w:rsidRPr="00A86E9B" w:rsidP="00A86E9B">
            <w:pPr>
              <w:pStyle w:val="ListBullet"/>
            </w:pPr>
            <w:r w:rsidRPr="00A86E9B">
              <w:t>organisational policy and procedures</w:t>
            </w:r>
          </w:p>
          <w:p w:rsidR="00000000" w:rsidRPr="00A86E9B" w:rsidP="00A86E9B">
            <w:pPr>
              <w:pStyle w:val="ListBullet"/>
            </w:pPr>
            <w:r w:rsidRPr="00A86E9B">
              <w:t>relevant acts and regulations</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10" w:name="O_77040"/>
      <w:bookmarkEnd w:id="10"/>
      <w:r w:rsidRPr="00A86E9B">
        <w:t>E</w:t>
      </w:r>
      <w:r w:rsidRPr="00A86E9B">
        <w:t>vidence Guide</w:t>
      </w:r>
    </w:p>
    <w:tbl>
      <w:tblPr>
        <w:tblW w:w="9570" w:type="dxa"/>
        <w:tblLayout w:type="fixed"/>
        <w:tblCellMar>
          <w:left w:w="62" w:type="dxa"/>
          <w:right w:w="62" w:type="dxa"/>
        </w:tblCellMar>
        <w:tblLook w:val="0000"/>
      </w:tblPr>
      <w:tblGrid>
        <w:gridCol w:w="2808"/>
        <w:gridCol w:w="6762"/>
      </w:tblGrid>
      <w:tr w:rsidTr="001D69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EVIDENCE GUIDE</w:t>
            </w:r>
          </w:p>
        </w:tc>
      </w:tr>
      <w:tr w:rsidTr="001D69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t>The Evidence Guide provides advice on assessment and must be read in conjunction with the performance criteria, required skills and knowledge, range statement and the Assessment Guidelines for the Training Package.</w:t>
            </w:r>
          </w:p>
        </w:tc>
      </w:tr>
      <w:tr w:rsidTr="001D69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p>
        </w:tc>
      </w:tr>
      <w:tr w:rsidTr="001D69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Evidence of the ability to:</w:t>
            </w:r>
          </w:p>
          <w:p w:rsidR="00000000" w:rsidRPr="00A86E9B" w:rsidP="00A86E9B">
            <w:pPr>
              <w:pStyle w:val="ListBullet"/>
            </w:pPr>
            <w:r w:rsidRPr="00A86E9B">
              <w:t>access information on relevant courts and regulatory bodies</w:t>
            </w:r>
          </w:p>
          <w:p w:rsidR="00000000" w:rsidRPr="00A86E9B" w:rsidP="00A86E9B">
            <w:pPr>
              <w:pStyle w:val="ListBullet"/>
            </w:pPr>
            <w:r w:rsidRPr="00A86E9B">
              <w:t xml:space="preserve">develop organisational procedures to meet compliance requirements </w:t>
            </w:r>
          </w:p>
          <w:p w:rsidR="00000000" w:rsidRPr="00A86E9B" w:rsidP="00A86E9B">
            <w:pPr>
              <w:pStyle w:val="ListBullet"/>
            </w:pPr>
            <w:r w:rsidRPr="00A86E9B">
              <w:t>interpret and apply relevant legislation in operational activities</w:t>
            </w:r>
          </w:p>
          <w:p w:rsidR="00000000" w:rsidP="00A86E9B">
            <w:pPr>
              <w:pStyle w:val="ListBullet"/>
              <w:rPr>
                <w:lang w:val="en-NZ"/>
              </w:rPr>
            </w:pPr>
            <w:r w:rsidRPr="00A86E9B">
              <w:t xml:space="preserve">identify the main roles and responsibilities of key bodies in the legal system. </w:t>
            </w:r>
          </w:p>
        </w:tc>
      </w:tr>
      <w:tr w:rsidTr="001D69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Context of and specific resources for as</w:t>
            </w:r>
            <w:r w:rsidRPr="00A86E9B">
              <w:rPr>
                <w:rStyle w:val="SpecialBold"/>
              </w:rPr>
              <w:t>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Assessment must ensure:</w:t>
            </w:r>
          </w:p>
          <w:p w:rsidR="00000000" w:rsidRPr="00A86E9B" w:rsidP="00A86E9B">
            <w:pPr>
              <w:pStyle w:val="ListBullet"/>
            </w:pPr>
            <w:r w:rsidRPr="00A86E9B">
              <w:t>competency is demonstrated in the context of the financial services work environment and conditions specified in the range statement either in a relevant workplace or a closely simulated work environment</w:t>
            </w:r>
          </w:p>
          <w:p w:rsidR="00000000" w:rsidRPr="00A86E9B" w:rsidP="00A86E9B">
            <w:pPr>
              <w:pStyle w:val="ListBullet"/>
            </w:pPr>
            <w:r w:rsidRPr="00A86E9B">
              <w:t xml:space="preserve">access to and the </w:t>
            </w:r>
            <w:r w:rsidRPr="00A86E9B">
              <w:t xml:space="preserve">use of a range of common office equipment, technology, software and consumables. </w:t>
            </w:r>
          </w:p>
          <w:p w:rsidR="00000000" w:rsidRPr="00A86E9B" w:rsidP="00A86E9B">
            <w:pPr>
              <w:pStyle w:val="ListBullet"/>
            </w:pPr>
            <w:r w:rsidRPr="00A86E9B">
              <w:t>internet access</w:t>
            </w:r>
          </w:p>
          <w:p w:rsidR="00000000" w:rsidP="00A86E9B">
            <w:pPr>
              <w:pStyle w:val="ListBullet"/>
              <w:rPr>
                <w:lang w:val="en-NZ"/>
              </w:rPr>
            </w:pPr>
            <w:r w:rsidRPr="00A86E9B">
              <w:t>relevant legislative and regulatory documentation.</w:t>
            </w:r>
          </w:p>
        </w:tc>
      </w:tr>
      <w:tr w:rsidTr="001D69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A range of assessment methods should be used to assess practical skills and knowledge</w:t>
            </w:r>
            <w:r w:rsidRPr="00A86E9B">
              <w:t>. The following examples, in combination, are appropriate for this unit:</w:t>
            </w:r>
          </w:p>
          <w:p w:rsidR="00000000" w:rsidRPr="00A86E9B" w:rsidP="00A86E9B">
            <w:pPr>
              <w:pStyle w:val="ListBullet"/>
            </w:pPr>
            <w:r w:rsidRPr="00A86E9B">
              <w:t>evaluating an integrated activity which combines the elements of competency for the unit or a cluster of related units of competency</w:t>
            </w:r>
          </w:p>
          <w:p w:rsidR="00000000" w:rsidRPr="00A86E9B" w:rsidP="00A86E9B">
            <w:pPr>
              <w:pStyle w:val="ListBullet"/>
            </w:pPr>
            <w:r w:rsidRPr="00A86E9B">
              <w:t>verbal or written questioning on underpinning kno</w:t>
            </w:r>
            <w:r w:rsidRPr="00A86E9B">
              <w:t>wledge and skills which may include formal examinations</w:t>
            </w:r>
          </w:p>
          <w:p w:rsidR="00000000" w:rsidRPr="00A86E9B" w:rsidP="00A86E9B">
            <w:pPr>
              <w:pStyle w:val="ListBullet"/>
            </w:pPr>
            <w:r w:rsidRPr="00A86E9B">
              <w:t>setting and reviewing workplace projects and business simulations/scenarios</w:t>
            </w:r>
          </w:p>
          <w:p w:rsidR="00000000" w:rsidRPr="00A86E9B" w:rsidP="00A86E9B">
            <w:pPr>
              <w:pStyle w:val="ListBullet"/>
            </w:pPr>
            <w:r w:rsidRPr="00A86E9B">
              <w:t>evaluating samples of work</w:t>
            </w:r>
          </w:p>
          <w:p w:rsidR="00000000" w:rsidP="00A86E9B">
            <w:pPr>
              <w:pStyle w:val="ListBullet"/>
              <w:rPr>
                <w:lang w:val="en-NZ"/>
              </w:rPr>
            </w:pPr>
            <w:r w:rsidRPr="00A86E9B">
              <w:t>accessing and validating third party reports.</w:t>
            </w:r>
          </w:p>
        </w:tc>
      </w:tr>
      <w:tr w:rsidTr="001D69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11" w:name="O_77041"/>
      <w:bookmarkEnd w:id="11"/>
      <w:r w:rsidRPr="00A86E9B">
        <w:t>Range Statement</w:t>
      </w:r>
    </w:p>
    <w:tbl>
      <w:tblPr>
        <w:tblW w:w="0" w:type="auto"/>
        <w:tblLayout w:type="fixed"/>
        <w:tblCellMar>
          <w:left w:w="62" w:type="dxa"/>
          <w:right w:w="62" w:type="dxa"/>
        </w:tblCellMar>
        <w:tblLook w:val="0000"/>
      </w:tblPr>
      <w:tblGrid>
        <w:gridCol w:w="2511"/>
        <w:gridCol w:w="6011"/>
      </w:tblGrid>
      <w:tr w:rsidTr="001D69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RANGE STATEMENT</w:t>
            </w:r>
          </w:p>
        </w:tc>
      </w:tr>
      <w:tr w:rsidTr="001D69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t xml:space="preserve">The range statement relates to the unit of competency as a whole. It allows for different work environments and situations that may affect </w:t>
            </w:r>
            <w:r w:rsidRPr="00A86E9B">
              <w:t>performance. Bold italicised wording, if used in the performance criteria, is detailed below. Essential operating conditions that may be present with training and assessment (depending on the work situation, needs of the candidate, accessibility of the ite</w:t>
            </w:r>
            <w:r w:rsidRPr="00A86E9B">
              <w:t>m, and local industry and regional contexts) may also be included.</w:t>
            </w:r>
          </w:p>
        </w:tc>
      </w:tr>
      <w:tr w:rsidTr="001D69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BoldandItalics"/>
              </w:rPr>
              <w:t>Courts and other regulatory bodies</w:t>
            </w:r>
            <w:r w:rsidRPr="00A86E9B">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Australian Consumer And Competition Commission (ACCC)</w:t>
            </w:r>
          </w:p>
          <w:p w:rsidR="00000000" w:rsidRPr="00A86E9B" w:rsidP="00A86E9B">
            <w:pPr>
              <w:pStyle w:val="ListBullet"/>
            </w:pPr>
            <w:r w:rsidRPr="00A86E9B">
              <w:t>Australian Securities and Investments Commission (ASIC)</w:t>
            </w:r>
          </w:p>
          <w:p w:rsidR="00000000" w:rsidRPr="00A86E9B" w:rsidP="00A86E9B">
            <w:pPr>
              <w:pStyle w:val="ListBullet"/>
            </w:pPr>
            <w:r w:rsidRPr="00A86E9B">
              <w:t>Australian Tax Office (ATO)</w:t>
            </w:r>
          </w:p>
          <w:p w:rsidR="00000000" w:rsidRPr="00A86E9B" w:rsidP="00A86E9B">
            <w:pPr>
              <w:pStyle w:val="ListBullet"/>
            </w:pPr>
            <w:r w:rsidRPr="00A86E9B">
              <w:t>Commonwealth courts</w:t>
            </w:r>
          </w:p>
          <w:p w:rsidR="00000000" w:rsidRPr="00A86E9B" w:rsidP="00A86E9B">
            <w:pPr>
              <w:pStyle w:val="ListBullet"/>
            </w:pPr>
            <w:r w:rsidRPr="00A86E9B">
              <w:t>High Court</w:t>
            </w:r>
          </w:p>
          <w:p w:rsidR="00000000" w:rsidRPr="00A86E9B" w:rsidP="00A86E9B">
            <w:pPr>
              <w:pStyle w:val="ListBullet"/>
            </w:pPr>
            <w:r w:rsidRPr="00A86E9B">
              <w:t>Industrial Relations Court</w:t>
            </w:r>
          </w:p>
          <w:p w:rsidR="00000000" w:rsidRPr="00A86E9B" w:rsidP="00A86E9B">
            <w:pPr>
              <w:pStyle w:val="ListBullet"/>
            </w:pPr>
            <w:r w:rsidRPr="00A86E9B">
              <w:t>State courts</w:t>
            </w:r>
          </w:p>
          <w:p w:rsidR="00000000" w:rsidP="00A86E9B">
            <w:pPr>
              <w:pStyle w:val="ListBullet"/>
              <w:rPr>
                <w:lang w:val="en-NZ"/>
              </w:rPr>
            </w:pPr>
            <w:r w:rsidRPr="00A86E9B">
              <w:t>Australian Securities Exchange.</w:t>
            </w:r>
          </w:p>
        </w:tc>
      </w:tr>
      <w:tr w:rsidTr="001D69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BoldandItalics"/>
              </w:rPr>
              <w:t>Relevant legislation</w:t>
            </w:r>
            <w:r w:rsidRPr="00A86E9B">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consumer credit legislation</w:t>
            </w:r>
          </w:p>
          <w:p w:rsidR="00000000" w:rsidRPr="00A86E9B" w:rsidP="00A86E9B">
            <w:pPr>
              <w:pStyle w:val="ListBullet"/>
            </w:pPr>
            <w:r w:rsidRPr="00A86E9B">
              <w:t xml:space="preserve">Department of Climate Change - National Greenhouse Reporting Act </w:t>
            </w:r>
          </w:p>
          <w:p w:rsidR="00000000" w:rsidRPr="00A86E9B" w:rsidP="00A86E9B">
            <w:pPr>
              <w:pStyle w:val="ListBullet"/>
            </w:pPr>
            <w:r w:rsidRPr="00A86E9B">
              <w:t>Financial Transactions Reports Act</w:t>
            </w:r>
          </w:p>
          <w:p w:rsidR="00000000" w:rsidRPr="00A86E9B" w:rsidP="00A86E9B">
            <w:pPr>
              <w:pStyle w:val="ListBullet"/>
            </w:pPr>
            <w:r w:rsidRPr="00A86E9B">
              <w:t>Global Reporting Initiative (GRI)</w:t>
            </w:r>
          </w:p>
          <w:p w:rsidR="00000000" w:rsidRPr="00A86E9B" w:rsidP="00A86E9B">
            <w:pPr>
              <w:pStyle w:val="ListBullet"/>
            </w:pPr>
            <w:r w:rsidRPr="00A86E9B">
              <w:t xml:space="preserve">National Environment Protection Council </w:t>
            </w:r>
          </w:p>
          <w:p w:rsidR="00000000" w:rsidRPr="00A86E9B" w:rsidP="00A86E9B">
            <w:pPr>
              <w:pStyle w:val="ListBullet"/>
            </w:pPr>
            <w:r w:rsidRPr="00A86E9B">
              <w:t>Privacy Act</w:t>
            </w:r>
          </w:p>
          <w:p w:rsidR="00000000" w:rsidRPr="00A86E9B" w:rsidP="00A86E9B">
            <w:pPr>
              <w:pStyle w:val="ListBullet"/>
            </w:pPr>
            <w:r w:rsidRPr="00A86E9B">
              <w:t>Sale of Goods Acts</w:t>
            </w:r>
          </w:p>
          <w:p w:rsidR="00000000" w:rsidRPr="00A86E9B" w:rsidP="00A86E9B">
            <w:pPr>
              <w:pStyle w:val="ListBullet"/>
            </w:pPr>
            <w:r w:rsidRPr="00A86E9B">
              <w:t>Stamp Duties Act</w:t>
            </w:r>
          </w:p>
          <w:p w:rsidR="00000000" w:rsidRPr="00A86E9B" w:rsidP="00A86E9B">
            <w:pPr>
              <w:pStyle w:val="ListBullet"/>
            </w:pPr>
            <w:r w:rsidRPr="00A86E9B">
              <w:t>Taxation Act</w:t>
            </w:r>
          </w:p>
          <w:p w:rsidR="00000000" w:rsidRPr="00A86E9B" w:rsidP="00A86E9B">
            <w:pPr>
              <w:pStyle w:val="ListBullet"/>
            </w:pPr>
            <w:r w:rsidRPr="00A86E9B">
              <w:t>The Greenhouse Gas Protocol</w:t>
            </w:r>
          </w:p>
          <w:p w:rsidR="00000000" w:rsidP="00A86E9B">
            <w:pPr>
              <w:pStyle w:val="ListBullet"/>
              <w:rPr>
                <w:lang w:val="en-NZ"/>
              </w:rPr>
            </w:pPr>
            <w:r w:rsidRPr="00A86E9B">
              <w:t>Trade Practices Act.</w:t>
            </w:r>
          </w:p>
        </w:tc>
      </w:tr>
      <w:tr w:rsidTr="001D69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BoldandItalics"/>
              </w:rPr>
              <w:t>Sources of information</w:t>
            </w:r>
            <w:r w:rsidRPr="00A86E9B">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government publications</w:t>
            </w:r>
          </w:p>
          <w:p w:rsidR="00000000" w:rsidRPr="00A86E9B" w:rsidP="00A86E9B">
            <w:pPr>
              <w:pStyle w:val="ListBullet"/>
            </w:pPr>
            <w:r w:rsidRPr="00A86E9B">
              <w:t>industry journals</w:t>
            </w:r>
          </w:p>
          <w:p w:rsidR="00000000" w:rsidRPr="00A86E9B" w:rsidP="00A86E9B">
            <w:pPr>
              <w:pStyle w:val="ListBullet"/>
            </w:pPr>
            <w:r w:rsidRPr="00A86E9B">
              <w:t>industry networks</w:t>
            </w:r>
          </w:p>
          <w:p w:rsidR="00000000" w:rsidP="00A86E9B">
            <w:pPr>
              <w:pStyle w:val="ListBullet"/>
              <w:rPr>
                <w:lang w:val="en-NZ"/>
              </w:rPr>
            </w:pPr>
            <w:r w:rsidRPr="00A86E9B">
              <w:t>internet.</w:t>
            </w:r>
          </w:p>
        </w:tc>
      </w:tr>
      <w:tr w:rsidTr="001D69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BoldandItalics"/>
              </w:rPr>
              <w:t>Procedures</w:t>
            </w:r>
            <w:r w:rsidRPr="00A86E9B">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computer system documentation</w:t>
            </w:r>
          </w:p>
          <w:p w:rsidR="00000000" w:rsidRPr="00A86E9B" w:rsidP="00A86E9B">
            <w:pPr>
              <w:pStyle w:val="ListBullet"/>
            </w:pPr>
            <w:r w:rsidRPr="00A86E9B">
              <w:t>internal control guidelines</w:t>
            </w:r>
          </w:p>
          <w:p w:rsidR="00000000" w:rsidP="00A86E9B">
            <w:pPr>
              <w:pStyle w:val="ListBullet"/>
              <w:rPr>
                <w:lang w:val="en-NZ"/>
              </w:rPr>
            </w:pPr>
            <w:r w:rsidRPr="00A86E9B">
              <w:t>operations manuals.</w:t>
            </w:r>
          </w:p>
        </w:tc>
      </w:tr>
      <w:tr w:rsidTr="001D69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BoldandItalics"/>
              </w:rPr>
              <w:t>Compliance requirements</w:t>
            </w:r>
            <w:r w:rsidRPr="00A86E9B">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ListBullet"/>
            </w:pPr>
            <w:r w:rsidRPr="00A86E9B">
              <w:t>audits</w:t>
            </w:r>
          </w:p>
          <w:p w:rsidR="00000000" w:rsidRPr="00A86E9B" w:rsidP="00A86E9B">
            <w:pPr>
              <w:pStyle w:val="ListBullet"/>
            </w:pPr>
            <w:r w:rsidRPr="00A86E9B">
              <w:t>contracts</w:t>
            </w:r>
          </w:p>
          <w:p w:rsidR="00000000" w:rsidRPr="00A86E9B" w:rsidP="00A86E9B">
            <w:pPr>
              <w:pStyle w:val="ListBullet"/>
            </w:pPr>
            <w:r w:rsidRPr="00A86E9B">
              <w:t>policy and procedures</w:t>
            </w:r>
          </w:p>
          <w:p w:rsidR="00000000" w:rsidRPr="00A86E9B" w:rsidP="00A86E9B">
            <w:pPr>
              <w:pStyle w:val="ListBullet"/>
            </w:pPr>
            <w:r w:rsidRPr="00A86E9B">
              <w:t>statutory requirements.</w:t>
            </w:r>
          </w:p>
        </w:tc>
      </w:tr>
    </w:tbl>
    <w:p w:rsidR="001D690B" w:rsidP="00A86E9B">
      <w:pPr>
        <w:pStyle w:val="BodyText"/>
      </w:pPr>
    </w:p>
    <w:p w:rsidR="001D690B" w:rsidP="00A86E9B">
      <w:pPr>
        <w:pStyle w:val="BodyText"/>
      </w:pPr>
    </w:p>
    <w:p w:rsidR="00000000" w:rsidRPr="00A86E9B" w:rsidP="00A86E9B">
      <w:pPr>
        <w:pStyle w:val="Heading1"/>
      </w:pPr>
      <w:bookmarkStart w:id="12" w:name="O_77042"/>
      <w:bookmarkEnd w:id="12"/>
      <w:r w:rsidRPr="00A86E9B">
        <w:t>Unit Sector(s)</w:t>
      </w:r>
    </w:p>
    <w:tbl>
      <w:tblPr>
        <w:tblW w:w="0" w:type="auto"/>
        <w:tblLayout w:type="fixed"/>
        <w:tblCellMar>
          <w:left w:w="62" w:type="dxa"/>
          <w:right w:w="62" w:type="dxa"/>
        </w:tblCellMar>
        <w:tblLook w:val="0000"/>
      </w:tblPr>
      <w:tblGrid>
        <w:gridCol w:w="2590"/>
        <w:gridCol w:w="5932"/>
      </w:tblGrid>
      <w:tr w:rsidTr="001D690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r w:rsidRPr="00A86E9B">
              <w:t>Accounting</w:t>
            </w: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13" w:name="O_156079"/>
      <w:bookmarkEnd w:id="13"/>
      <w:r w:rsidRPr="00A86E9B">
        <w:t>Competency field</w:t>
      </w:r>
    </w:p>
    <w:tbl>
      <w:tblPr>
        <w:tblW w:w="0" w:type="auto"/>
        <w:tblLayout w:type="fixed"/>
        <w:tblCellMar>
          <w:left w:w="62" w:type="dxa"/>
          <w:right w:w="62" w:type="dxa"/>
        </w:tblCellMar>
        <w:tblLook w:val="0000"/>
      </w:tblPr>
      <w:tblGrid>
        <w:gridCol w:w="2754"/>
        <w:gridCol w:w="5768"/>
      </w:tblGrid>
      <w:tr w:rsidTr="001D69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p>
        </w:tc>
      </w:tr>
    </w:tbl>
    <w:p w:rsidR="00000000" w:rsidRPr="00A86E9B" w:rsidP="00A86E9B">
      <w:pPr>
        <w:pStyle w:val="BodyText"/>
      </w:pPr>
    </w:p>
    <w:p w:rsidR="00000000" w:rsidRPr="00A86E9B" w:rsidP="00A86E9B">
      <w:pPr>
        <w:pStyle w:val="AllowPageBreak"/>
      </w:pPr>
    </w:p>
    <w:p w:rsidR="00000000" w:rsidRPr="00A86E9B" w:rsidP="00A86E9B">
      <w:pPr>
        <w:pStyle w:val="Heading1"/>
      </w:pPr>
      <w:bookmarkStart w:id="14" w:name="O_156078"/>
      <w:bookmarkEnd w:id="14"/>
      <w:r w:rsidRPr="00A86E9B">
        <w:t>Co-requisite units</w:t>
      </w:r>
    </w:p>
    <w:tbl>
      <w:tblPr>
        <w:tblW w:w="0" w:type="auto"/>
        <w:tblLayout w:type="fixed"/>
        <w:tblCellMar>
          <w:left w:w="62" w:type="dxa"/>
          <w:right w:w="62" w:type="dxa"/>
        </w:tblCellMar>
        <w:tblLook w:val="0000"/>
      </w:tblPr>
      <w:tblGrid>
        <w:gridCol w:w="2629"/>
        <w:gridCol w:w="1324"/>
        <w:gridCol w:w="4569"/>
      </w:tblGrid>
      <w:tr w:rsidTr="001D690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r w:rsidRPr="00A86E9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E9B">
            <w:pPr>
              <w:pStyle w:val="BodyText"/>
              <w:rPr>
                <w:lang w:val="en-NZ"/>
              </w:rPr>
            </w:pPr>
          </w:p>
        </w:tc>
      </w:tr>
      <w:tr w:rsidTr="001D690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E9B" w:rsidP="00A86E9B">
            <w:pPr>
              <w:pStyle w:val="BodyText"/>
            </w:pPr>
          </w:p>
        </w:tc>
      </w:tr>
    </w:tbl>
    <w:p w:rsidR="00000000" w:rsidRPr="00A86E9B" w:rsidP="00A86E9B">
      <w:pPr>
        <w:pStyle w:val="BodyText"/>
      </w:pPr>
    </w:p>
    <w:p w:rsidR="00000000" w:rsidRPr="00A86E9B" w:rsidP="00A86E9B"/>
    <w:sectPr w:rsidSect="00A86E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90B" w:rsidP="001D6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0B" w:rsidP="00A86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90B" w:rsidP="00A86E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90B" w:rsidP="00A86E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90B" w:rsidP="001D69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0B" w:rsidP="00A86E9B">
    <w:pPr>
      <w:pStyle w:val="Header"/>
      <w:framePr w:wrap="around"/>
    </w:pPr>
    <w:r>
      <w:fldChar w:fldCharType="begin"/>
    </w:r>
    <w:r>
      <w:instrText xml:space="preserve"> TITLE   \* MERGEFORMAT </w:instrText>
    </w:r>
    <w:r>
      <w:fldChar w:fldCharType="separate"/>
    </w:r>
    <w:r>
      <w:t>FNSACC403A Make decisions in a legal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90B" w:rsidP="00A86E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65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2D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29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E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E9B"/>
    <w:pPr>
      <w:spacing w:before="360" w:after="60"/>
      <w:outlineLvl w:val="0"/>
    </w:pPr>
    <w:rPr>
      <w:sz w:val="32"/>
    </w:rPr>
  </w:style>
  <w:style w:type="paragraph" w:styleId="Heading2">
    <w:name w:val="heading 2"/>
    <w:basedOn w:val="HeadingBase"/>
    <w:next w:val="BodyText"/>
    <w:link w:val="Heading2Char"/>
    <w:qFormat/>
    <w:rsid w:val="00A86E9B"/>
    <w:pPr>
      <w:keepLines/>
      <w:spacing w:before="240" w:after="120"/>
      <w:outlineLvl w:val="1"/>
    </w:pPr>
    <w:rPr>
      <w:sz w:val="28"/>
      <w:szCs w:val="40"/>
    </w:rPr>
  </w:style>
  <w:style w:type="paragraph" w:styleId="Heading3">
    <w:name w:val="heading 3"/>
    <w:basedOn w:val="HeadingBase"/>
    <w:next w:val="BodyText"/>
    <w:link w:val="Heading3Char"/>
    <w:qFormat/>
    <w:rsid w:val="00A86E9B"/>
    <w:pPr>
      <w:spacing w:before="180" w:after="120"/>
      <w:outlineLvl w:val="2"/>
    </w:pPr>
    <w:rPr>
      <w:spacing w:val="-10"/>
      <w:kern w:val="32"/>
    </w:rPr>
  </w:style>
  <w:style w:type="paragraph" w:styleId="Heading4">
    <w:name w:val="heading 4"/>
    <w:basedOn w:val="HeadingBase"/>
    <w:next w:val="BodyText"/>
    <w:link w:val="Heading4Char"/>
    <w:qFormat/>
    <w:rsid w:val="00A86E9B"/>
    <w:pPr>
      <w:spacing w:before="160" w:after="120"/>
      <w:outlineLvl w:val="3"/>
    </w:pPr>
    <w:rPr>
      <w:sz w:val="22"/>
    </w:rPr>
  </w:style>
  <w:style w:type="paragraph" w:styleId="Heading5">
    <w:name w:val="heading 5"/>
    <w:basedOn w:val="HeadingBase"/>
    <w:next w:val="Normal"/>
    <w:link w:val="Heading5Char"/>
    <w:qFormat/>
    <w:rsid w:val="00A86E9B"/>
    <w:pPr>
      <w:spacing w:before="80"/>
      <w:outlineLvl w:val="4"/>
    </w:pPr>
    <w:rPr>
      <w:color w:val="918585"/>
      <w:sz w:val="20"/>
    </w:rPr>
  </w:style>
  <w:style w:type="paragraph" w:styleId="Heading6">
    <w:name w:val="heading 6"/>
    <w:basedOn w:val="HeadingBase"/>
    <w:next w:val="Normal"/>
    <w:link w:val="Heading6Char"/>
    <w:qFormat/>
    <w:rsid w:val="00A86E9B"/>
    <w:pPr>
      <w:spacing w:before="60"/>
      <w:outlineLvl w:val="5"/>
    </w:pPr>
    <w:rPr>
      <w:color w:val="918585"/>
      <w:sz w:val="20"/>
    </w:rPr>
  </w:style>
  <w:style w:type="paragraph" w:styleId="Heading7">
    <w:name w:val="heading 7"/>
    <w:basedOn w:val="Normal"/>
    <w:next w:val="Normal"/>
    <w:link w:val="Heading7Char"/>
    <w:qFormat/>
    <w:rsid w:val="00A86E9B"/>
    <w:pPr>
      <w:ind w:left="720"/>
      <w:outlineLvl w:val="6"/>
    </w:pPr>
    <w:rPr>
      <w:i/>
    </w:rPr>
  </w:style>
  <w:style w:type="paragraph" w:styleId="Heading8">
    <w:name w:val="heading 8"/>
    <w:basedOn w:val="Normal"/>
    <w:next w:val="Normal"/>
    <w:link w:val="Heading8Char"/>
    <w:qFormat/>
    <w:rsid w:val="00A86E9B"/>
    <w:pPr>
      <w:ind w:left="720"/>
      <w:outlineLvl w:val="7"/>
    </w:pPr>
    <w:rPr>
      <w:i/>
    </w:rPr>
  </w:style>
  <w:style w:type="paragraph" w:styleId="Heading9">
    <w:name w:val="heading 9"/>
    <w:basedOn w:val="Normal"/>
    <w:next w:val="Normal"/>
    <w:link w:val="Heading9Char"/>
    <w:qFormat/>
    <w:rsid w:val="00A86E9B"/>
    <w:pPr>
      <w:ind w:left="720"/>
      <w:outlineLvl w:val="8"/>
    </w:pPr>
    <w:rPr>
      <w:i/>
    </w:rPr>
  </w:style>
  <w:style w:type="character" w:default="1" w:styleId="DefaultParagraphFont">
    <w:name w:val="Default Paragraph Font"/>
    <w:uiPriority w:val="1"/>
    <w:unhideWhenUsed/>
    <w:rsid w:val="00A86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E9B"/>
  </w:style>
  <w:style w:type="character" w:customStyle="1" w:styleId="Heading1Char">
    <w:name w:val="Heading 1 Char"/>
    <w:link w:val="Heading1"/>
    <w:rsid w:val="00A86E9B"/>
    <w:rPr>
      <w:rFonts w:ascii="Times New Roman" w:eastAsia="Times New Roman" w:hAnsi="Times New Roman" w:cs="Times New Roman"/>
      <w:b/>
      <w:sz w:val="32"/>
      <w:szCs w:val="20"/>
      <w:lang w:eastAsia="en-US"/>
    </w:rPr>
  </w:style>
  <w:style w:type="paragraph" w:styleId="BodyText">
    <w:name w:val="Body Text"/>
    <w:basedOn w:val="Normal"/>
    <w:link w:val="BodyTextChar"/>
    <w:rsid w:val="00A86E9B"/>
    <w:pPr>
      <w:spacing w:before="120" w:after="120"/>
      <w:contextualSpacing/>
    </w:pPr>
    <w:rPr>
      <w:rFonts w:ascii="Times New Roman" w:hAnsi="Times New Roman"/>
      <w:sz w:val="24"/>
      <w:szCs w:val="22"/>
    </w:rPr>
  </w:style>
  <w:style w:type="character" w:customStyle="1" w:styleId="BodyTextChar">
    <w:name w:val="Body Text Char"/>
    <w:link w:val="BodyText"/>
    <w:rsid w:val="00A86E9B"/>
    <w:rPr>
      <w:rFonts w:ascii="Times New Roman" w:eastAsia="Times New Roman" w:hAnsi="Times New Roman" w:cs="Times New Roman"/>
      <w:sz w:val="24"/>
      <w:lang w:val="en-US" w:eastAsia="en-US"/>
    </w:rPr>
  </w:style>
  <w:style w:type="paragraph" w:styleId="Footer">
    <w:name w:val="footer"/>
    <w:basedOn w:val="Normal"/>
    <w:link w:val="FooterChar"/>
    <w:rsid w:val="00A86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6E9B"/>
    <w:rPr>
      <w:rFonts w:ascii="Times New Roman" w:eastAsia="Times New Roman" w:hAnsi="Times New Roman" w:cs="Times New Roman"/>
      <w:sz w:val="16"/>
      <w:lang w:val="en-US" w:eastAsia="en-US"/>
    </w:rPr>
  </w:style>
  <w:style w:type="paragraph" w:styleId="List">
    <w:name w:val="List"/>
    <w:basedOn w:val="BodyText"/>
    <w:next w:val="BodyText"/>
    <w:rsid w:val="00A86E9B"/>
    <w:pPr>
      <w:tabs>
        <w:tab w:val="left" w:pos="340"/>
      </w:tabs>
      <w:spacing w:before="60" w:after="60"/>
      <w:ind w:left="340" w:hanging="340"/>
    </w:pPr>
  </w:style>
  <w:style w:type="paragraph" w:styleId="ListBullet">
    <w:name w:val="List Bullet"/>
    <w:basedOn w:val="List"/>
    <w:rsid w:val="00A86E9B"/>
    <w:pPr>
      <w:numPr>
        <w:numId w:val="13"/>
      </w:numPr>
      <w:tabs>
        <w:tab w:val="clear" w:pos="340"/>
      </w:tabs>
      <w:spacing w:before="40" w:after="40"/>
    </w:pPr>
  </w:style>
  <w:style w:type="character" w:customStyle="1" w:styleId="SpecialBold">
    <w:name w:val="Special Bold"/>
    <w:rsid w:val="00A86E9B"/>
    <w:rPr>
      <w:b/>
      <w:spacing w:val="0"/>
    </w:rPr>
  </w:style>
  <w:style w:type="paragraph" w:styleId="ListBullet2">
    <w:name w:val="List Bullet 2"/>
    <w:basedOn w:val="List2"/>
    <w:rsid w:val="00A86E9B"/>
    <w:pPr>
      <w:numPr>
        <w:numId w:val="14"/>
      </w:numPr>
      <w:tabs>
        <w:tab w:val="clear" w:pos="680"/>
      </w:tabs>
    </w:pPr>
  </w:style>
  <w:style w:type="paragraph" w:styleId="Header">
    <w:name w:val="header"/>
    <w:basedOn w:val="Normal"/>
    <w:link w:val="HeaderChar"/>
    <w:rsid w:val="00A86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6E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E9B"/>
    <w:pPr>
      <w:spacing w:before="240" w:after="120"/>
      <w:outlineLvl w:val="0"/>
    </w:pPr>
    <w:rPr>
      <w:rFonts w:ascii="Times New Roman" w:hAnsi="Times New Roman"/>
      <w:b/>
      <w:sz w:val="28"/>
    </w:rPr>
  </w:style>
  <w:style w:type="paragraph" w:customStyle="1" w:styleId="AllowPageBreak">
    <w:name w:val="AllowPageBreak"/>
    <w:rsid w:val="00A86E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E9B"/>
    <w:pPr>
      <w:tabs>
        <w:tab w:val="left" w:pos="680"/>
      </w:tabs>
      <w:spacing w:before="60" w:after="60"/>
      <w:ind w:left="680" w:hanging="340"/>
    </w:pPr>
  </w:style>
  <w:style w:type="character" w:customStyle="1" w:styleId="BoldandItalics">
    <w:name w:val="Bold and Italics"/>
    <w:qFormat/>
    <w:rsid w:val="00A86E9B"/>
    <w:rPr>
      <w:b/>
      <w:i/>
      <w:u w:val="none"/>
    </w:rPr>
  </w:style>
  <w:style w:type="character" w:customStyle="1" w:styleId="Heading2Char">
    <w:name w:val="Heading 2 Char"/>
    <w:link w:val="Heading2"/>
    <w:rsid w:val="00A86E9B"/>
    <w:rPr>
      <w:rFonts w:ascii="Times New Roman" w:eastAsia="Times New Roman" w:hAnsi="Times New Roman" w:cs="Times New Roman"/>
      <w:b/>
      <w:sz w:val="28"/>
      <w:szCs w:val="40"/>
      <w:lang w:eastAsia="en-US"/>
    </w:rPr>
  </w:style>
  <w:style w:type="character" w:customStyle="1" w:styleId="Heading3Char">
    <w:name w:val="Heading 3 Char"/>
    <w:link w:val="Heading3"/>
    <w:rsid w:val="00A86E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6E9B"/>
    <w:rPr>
      <w:rFonts w:ascii="Times New Roman" w:eastAsia="Times New Roman" w:hAnsi="Times New Roman" w:cs="Times New Roman"/>
      <w:b/>
      <w:szCs w:val="20"/>
      <w:lang w:eastAsia="en-US"/>
    </w:rPr>
  </w:style>
  <w:style w:type="character" w:customStyle="1" w:styleId="Heading5Char">
    <w:name w:val="Heading 5 Char"/>
    <w:link w:val="Heading5"/>
    <w:rsid w:val="00A86E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6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E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E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E9B"/>
    <w:rPr>
      <w:rFonts w:ascii="Courier New" w:eastAsia="Times New Roman" w:hAnsi="Courier New" w:cs="Times New Roman"/>
      <w:i/>
      <w:szCs w:val="20"/>
      <w:lang w:val="en-US" w:eastAsia="en-US"/>
    </w:rPr>
  </w:style>
  <w:style w:type="paragraph" w:customStyle="1" w:styleId="HeadingBase">
    <w:name w:val="Heading Base"/>
    <w:rsid w:val="00A86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E9B"/>
    <w:pPr>
      <w:tabs>
        <w:tab w:val="right" w:leader="dot" w:pos="9072"/>
      </w:tabs>
      <w:ind w:left="567"/>
    </w:pPr>
    <w:rPr>
      <w:szCs w:val="22"/>
    </w:rPr>
  </w:style>
  <w:style w:type="paragraph" w:customStyle="1" w:styleId="TOCBase">
    <w:name w:val="TOC Base"/>
    <w:rsid w:val="00A86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E9B"/>
    <w:pPr>
      <w:tabs>
        <w:tab w:val="right" w:leader="dot" w:pos="9072"/>
      </w:tabs>
      <w:spacing w:before="40" w:after="40"/>
      <w:ind w:left="284"/>
    </w:pPr>
    <w:rPr>
      <w:rFonts w:ascii="Times New Roman" w:hAnsi="Times New Roman"/>
    </w:rPr>
  </w:style>
  <w:style w:type="paragraph" w:styleId="TOC1">
    <w:name w:val="toc 1"/>
    <w:basedOn w:val="TOCBase"/>
    <w:next w:val="Normal"/>
    <w:rsid w:val="00A86E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E9B"/>
    <w:pPr>
      <w:spacing w:before="5040"/>
      <w:jc w:val="center"/>
    </w:pPr>
    <w:rPr>
      <w:sz w:val="48"/>
      <w:szCs w:val="72"/>
      <w:lang w:val="en-US"/>
    </w:rPr>
  </w:style>
  <w:style w:type="character" w:customStyle="1" w:styleId="TitleChar">
    <w:name w:val="Title Char"/>
    <w:link w:val="Title"/>
    <w:rsid w:val="00A86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E9B"/>
    <w:pPr>
      <w:tabs>
        <w:tab w:val="left" w:pos="3600"/>
        <w:tab w:val="left" w:pos="3958"/>
      </w:tabs>
    </w:pPr>
  </w:style>
  <w:style w:type="paragraph" w:customStyle="1" w:styleId="Note">
    <w:name w:val="Note"/>
    <w:basedOn w:val="BodyText"/>
    <w:rsid w:val="00A86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E9B"/>
    <w:pPr>
      <w:framePr w:wrap="auto" w:hAnchor="text" w:y="6049"/>
    </w:pPr>
    <w:rPr>
      <w:color w:val="000000"/>
      <w:sz w:val="40"/>
    </w:rPr>
  </w:style>
  <w:style w:type="paragraph" w:customStyle="1" w:styleId="TOCTitle">
    <w:name w:val="TOCTitle"/>
    <w:basedOn w:val="Heading1"/>
    <w:rsid w:val="00A86E9B"/>
    <w:pPr>
      <w:spacing w:after="240"/>
      <w:jc w:val="center"/>
      <w:outlineLvl w:val="9"/>
    </w:pPr>
    <w:rPr>
      <w:caps/>
    </w:rPr>
  </w:style>
  <w:style w:type="paragraph" w:customStyle="1" w:styleId="Version">
    <w:name w:val="Version"/>
    <w:rsid w:val="00A86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E9B"/>
    <w:pPr>
      <w:keepNext w:val="0"/>
      <w:tabs>
        <w:tab w:val="right" w:pos="4176"/>
      </w:tabs>
      <w:ind w:left="198" w:hanging="198"/>
    </w:pPr>
    <w:rPr>
      <w:rFonts w:ascii="Garamond" w:hAnsi="Garamond"/>
    </w:rPr>
  </w:style>
  <w:style w:type="paragraph" w:styleId="IndexHeading">
    <w:name w:val="index heading"/>
    <w:basedOn w:val="Normal"/>
    <w:next w:val="Index1"/>
    <w:semiHidden/>
    <w:rsid w:val="00A86E9B"/>
    <w:pPr>
      <w:spacing w:before="120" w:after="120"/>
    </w:pPr>
    <w:rPr>
      <w:rFonts w:ascii="Arial" w:hAnsi="Arial"/>
      <w:b/>
      <w:color w:val="918585"/>
      <w:sz w:val="24"/>
    </w:rPr>
  </w:style>
  <w:style w:type="paragraph" w:customStyle="1" w:styleId="Chapter">
    <w:name w:val="Chapter"/>
    <w:basedOn w:val="Normal"/>
    <w:rsid w:val="00A86E9B"/>
    <w:pPr>
      <w:spacing w:before="240"/>
    </w:pPr>
    <w:rPr>
      <w:rFonts w:ascii="Times New Roman" w:hAnsi="Times New Roman"/>
      <w:smallCaps/>
      <w:spacing w:val="80"/>
      <w:sz w:val="28"/>
    </w:rPr>
  </w:style>
  <w:style w:type="paragraph" w:customStyle="1" w:styleId="InChapter">
    <w:name w:val="InChapter"/>
    <w:basedOn w:val="Heading3"/>
    <w:rsid w:val="00A86E9B"/>
    <w:pPr>
      <w:spacing w:after="240"/>
      <w:outlineLvl w:val="9"/>
    </w:pPr>
    <w:rPr>
      <w:noProof/>
    </w:rPr>
  </w:style>
  <w:style w:type="paragraph" w:styleId="Index2">
    <w:name w:val="index 2"/>
    <w:basedOn w:val="Normal"/>
    <w:next w:val="Normal"/>
    <w:semiHidden/>
    <w:rsid w:val="00A86E9B"/>
    <w:pPr>
      <w:tabs>
        <w:tab w:val="right" w:pos="4176"/>
      </w:tabs>
      <w:ind w:left="568" w:hanging="284"/>
    </w:pPr>
    <w:rPr>
      <w:rFonts w:ascii="Garamond" w:hAnsi="Garamond"/>
    </w:rPr>
  </w:style>
  <w:style w:type="paragraph" w:customStyle="1" w:styleId="Byline">
    <w:name w:val="Byline"/>
    <w:rsid w:val="00A86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E9B"/>
    <w:pPr>
      <w:tabs>
        <w:tab w:val="clear" w:pos="3600"/>
        <w:tab w:val="clear" w:pos="3958"/>
      </w:tabs>
      <w:jc w:val="right"/>
    </w:pPr>
  </w:style>
  <w:style w:type="character" w:styleId="Emphasis">
    <w:name w:val="Emphasis"/>
    <w:qFormat/>
    <w:rsid w:val="00A86E9B"/>
    <w:rPr>
      <w:i/>
    </w:rPr>
  </w:style>
  <w:style w:type="paragraph" w:styleId="Caption">
    <w:name w:val="caption"/>
    <w:basedOn w:val="BodyText"/>
    <w:next w:val="Normal"/>
    <w:qFormat/>
    <w:rsid w:val="00A86E9B"/>
    <w:pPr>
      <w:framePr w:w="2268" w:hSpace="181" w:vSpace="181" w:wrap="around" w:vAnchor="text" w:hAnchor="page" w:x="1135" w:y="285" w:anchorLock="1"/>
    </w:pPr>
    <w:rPr>
      <w:i/>
    </w:rPr>
  </w:style>
  <w:style w:type="paragraph" w:customStyle="1" w:styleId="MiniTOCTitle">
    <w:name w:val="MiniTOCTitle"/>
    <w:basedOn w:val="Heading4"/>
    <w:rsid w:val="00A86E9B"/>
    <w:pPr>
      <w:spacing w:before="240"/>
      <w:outlineLvl w:val="9"/>
    </w:pPr>
    <w:rPr>
      <w:noProof/>
      <w:sz w:val="24"/>
    </w:rPr>
  </w:style>
  <w:style w:type="paragraph" w:customStyle="1" w:styleId="MiniTOCItem">
    <w:name w:val="MiniTOCItem"/>
    <w:basedOn w:val="ListBullet"/>
    <w:rsid w:val="00A86E9B"/>
    <w:pPr>
      <w:numPr>
        <w:numId w:val="0"/>
      </w:numPr>
      <w:tabs>
        <w:tab w:val="right" w:leader="dot" w:pos="6521"/>
      </w:tabs>
      <w:spacing w:before="0" w:after="0"/>
    </w:pPr>
  </w:style>
  <w:style w:type="paragraph" w:customStyle="1" w:styleId="TOFTitle">
    <w:name w:val="TOFTitle"/>
    <w:basedOn w:val="TOCTitle"/>
    <w:rsid w:val="00A86E9B"/>
  </w:style>
  <w:style w:type="paragraph" w:styleId="TableofFigures">
    <w:name w:val="table of figures"/>
    <w:basedOn w:val="Normal"/>
    <w:next w:val="Normal"/>
    <w:semiHidden/>
    <w:rsid w:val="00A86E9B"/>
    <w:pPr>
      <w:tabs>
        <w:tab w:val="right" w:leader="dot" w:pos="9072"/>
      </w:tabs>
      <w:ind w:left="970" w:hanging="403"/>
    </w:pPr>
    <w:rPr>
      <w:rFonts w:ascii="Times New Roman" w:hAnsi="Times New Roman"/>
      <w:b/>
    </w:rPr>
  </w:style>
  <w:style w:type="paragraph" w:styleId="ListNumber">
    <w:name w:val="List Number"/>
    <w:basedOn w:val="List"/>
    <w:rsid w:val="00A86E9B"/>
    <w:pPr>
      <w:numPr>
        <w:numId w:val="11"/>
      </w:numPr>
    </w:pPr>
  </w:style>
  <w:style w:type="character" w:customStyle="1" w:styleId="WingdingSymbols">
    <w:name w:val="Wingding Symbols"/>
    <w:rsid w:val="00A86E9B"/>
    <w:rPr>
      <w:rFonts w:ascii="Wingdings" w:hAnsi="Wingdings"/>
    </w:rPr>
  </w:style>
  <w:style w:type="paragraph" w:customStyle="1" w:styleId="TableHeading">
    <w:name w:val="Table Heading"/>
    <w:basedOn w:val="HeadingBase"/>
    <w:rsid w:val="00A86E9B"/>
    <w:pPr>
      <w:keepLines/>
      <w:pBdr>
        <w:bottom w:val="single" w:sz="6" w:space="1" w:color="918585"/>
      </w:pBdr>
      <w:spacing w:before="240"/>
    </w:pPr>
  </w:style>
  <w:style w:type="character" w:customStyle="1" w:styleId="HotSpot">
    <w:name w:val="HotSpot"/>
    <w:rsid w:val="00A86E9B"/>
    <w:rPr>
      <w:color w:val="0033CC"/>
      <w:u w:val="none"/>
    </w:rPr>
  </w:style>
  <w:style w:type="paragraph" w:customStyle="1" w:styleId="BodyTextRight">
    <w:name w:val="Body Text Right"/>
    <w:basedOn w:val="BodyText"/>
    <w:rsid w:val="00A86E9B"/>
    <w:pPr>
      <w:spacing w:before="0" w:after="0"/>
      <w:jc w:val="right"/>
    </w:pPr>
  </w:style>
  <w:style w:type="paragraph" w:styleId="Index3">
    <w:name w:val="index 3"/>
    <w:basedOn w:val="ListNumber2"/>
    <w:next w:val="Normal"/>
    <w:semiHidden/>
    <w:rsid w:val="00A86E9B"/>
    <w:pPr>
      <w:numPr>
        <w:numId w:val="0"/>
      </w:numPr>
      <w:tabs>
        <w:tab w:val="right" w:leader="dot" w:pos="4176"/>
      </w:tabs>
    </w:pPr>
  </w:style>
  <w:style w:type="paragraph" w:styleId="ListNumber2">
    <w:name w:val="List Number 2"/>
    <w:basedOn w:val="List2"/>
    <w:rsid w:val="00A86E9B"/>
    <w:pPr>
      <w:numPr>
        <w:numId w:val="10"/>
      </w:numPr>
      <w:tabs>
        <w:tab w:val="clear" w:pos="1060"/>
      </w:tabs>
    </w:pPr>
  </w:style>
  <w:style w:type="paragraph" w:customStyle="1" w:styleId="MarginNote">
    <w:name w:val="Margin Note"/>
    <w:basedOn w:val="BodyText"/>
    <w:rsid w:val="00A86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6E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E9B"/>
    <w:rPr>
      <w:sz w:val="32"/>
    </w:rPr>
  </w:style>
  <w:style w:type="paragraph" w:customStyle="1" w:styleId="HeadingProcedure">
    <w:name w:val="Heading Procedure"/>
    <w:basedOn w:val="HeadingBase"/>
    <w:next w:val="Normal"/>
    <w:rsid w:val="00A86E9B"/>
    <w:pPr>
      <w:tabs>
        <w:tab w:val="left" w:pos="0"/>
      </w:tabs>
      <w:spacing w:before="120" w:after="60"/>
    </w:pPr>
    <w:rPr>
      <w:i/>
      <w:color w:val="918585"/>
      <w:sz w:val="22"/>
    </w:rPr>
  </w:style>
  <w:style w:type="paragraph" w:customStyle="1" w:styleId="TableBodyText">
    <w:name w:val="Table Body Text"/>
    <w:basedOn w:val="BodyText"/>
    <w:rsid w:val="00A86E9B"/>
    <w:pPr>
      <w:spacing w:before="60" w:after="60"/>
    </w:pPr>
  </w:style>
  <w:style w:type="paragraph" w:styleId="ListContinue">
    <w:name w:val="List Continue"/>
    <w:basedOn w:val="List"/>
    <w:rsid w:val="00A86E9B"/>
    <w:pPr>
      <w:ind w:firstLine="0"/>
    </w:pPr>
  </w:style>
  <w:style w:type="paragraph" w:customStyle="1" w:styleId="ListNote">
    <w:name w:val="List Note"/>
    <w:basedOn w:val="List"/>
    <w:rsid w:val="00A86E9B"/>
    <w:pPr>
      <w:pBdr>
        <w:top w:val="single" w:sz="6" w:space="2" w:color="918585"/>
        <w:bottom w:val="single" w:sz="6" w:space="2" w:color="918585"/>
      </w:pBdr>
      <w:tabs>
        <w:tab w:val="left" w:pos="1021"/>
      </w:tabs>
      <w:ind w:firstLine="0"/>
    </w:pPr>
  </w:style>
  <w:style w:type="paragraph" w:customStyle="1" w:styleId="Warning">
    <w:name w:val="Warning"/>
    <w:basedOn w:val="BodyText"/>
    <w:rsid w:val="00A86E9B"/>
    <w:pPr>
      <w:shd w:val="clear" w:color="auto" w:fill="D9D9D9"/>
      <w:tabs>
        <w:tab w:val="left" w:pos="992"/>
      </w:tabs>
      <w:ind w:left="119" w:right="119"/>
    </w:pPr>
    <w:rPr>
      <w:sz w:val="20"/>
    </w:rPr>
  </w:style>
  <w:style w:type="paragraph" w:customStyle="1" w:styleId="MarginIcons">
    <w:name w:val="Margin Icons"/>
    <w:basedOn w:val="BodyText"/>
    <w:rsid w:val="00A86E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6E9B"/>
    <w:rPr>
      <w:rFonts w:ascii="Courier New" w:hAnsi="Courier New"/>
    </w:rPr>
  </w:style>
  <w:style w:type="paragraph" w:customStyle="1" w:styleId="NoteBullet">
    <w:name w:val="Note Bullet"/>
    <w:basedOn w:val="Note"/>
    <w:rsid w:val="00A86E9B"/>
    <w:pPr>
      <w:tabs>
        <w:tab w:val="clear" w:pos="680"/>
      </w:tabs>
      <w:spacing w:before="60" w:after="60"/>
    </w:pPr>
  </w:style>
  <w:style w:type="paragraph" w:customStyle="1" w:styleId="SubHeading2">
    <w:name w:val="SubHeading2"/>
    <w:basedOn w:val="HeadingBase"/>
    <w:rsid w:val="00A86E9B"/>
    <w:pPr>
      <w:spacing w:before="240" w:after="60"/>
    </w:pPr>
    <w:rPr>
      <w:sz w:val="20"/>
    </w:rPr>
  </w:style>
  <w:style w:type="paragraph" w:customStyle="1" w:styleId="SubHeading1">
    <w:name w:val="SubHeading1"/>
    <w:basedOn w:val="HeadingBase"/>
    <w:rsid w:val="00A86E9B"/>
    <w:pPr>
      <w:spacing w:before="240" w:after="60"/>
    </w:pPr>
    <w:rPr>
      <w:color w:val="918585"/>
      <w:sz w:val="22"/>
    </w:rPr>
  </w:style>
  <w:style w:type="paragraph" w:customStyle="1" w:styleId="SideHeading">
    <w:name w:val="Side Heading"/>
    <w:basedOn w:val="HeadingBase"/>
    <w:rsid w:val="00A86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E9B"/>
    <w:pPr>
      <w:numPr>
        <w:numId w:val="12"/>
      </w:numPr>
    </w:pPr>
  </w:style>
  <w:style w:type="paragraph" w:styleId="PlainText">
    <w:name w:val="Plain Text"/>
    <w:basedOn w:val="Normal"/>
    <w:link w:val="PlainTextChar"/>
    <w:rsid w:val="00A86E9B"/>
    <w:rPr>
      <w:sz w:val="20"/>
    </w:rPr>
  </w:style>
  <w:style w:type="character" w:customStyle="1" w:styleId="PlainTextChar">
    <w:name w:val="Plain Text Char"/>
    <w:basedOn w:val="DefaultParagraphFont"/>
    <w:link w:val="PlainText"/>
    <w:rsid w:val="00A86E9B"/>
    <w:rPr>
      <w:rFonts w:ascii="Courier New" w:eastAsia="Times New Roman" w:hAnsi="Courier New" w:cs="Times New Roman"/>
      <w:sz w:val="20"/>
      <w:szCs w:val="20"/>
      <w:lang w:val="en-US" w:eastAsia="en-US"/>
    </w:rPr>
  </w:style>
  <w:style w:type="character" w:customStyle="1" w:styleId="MenuOption">
    <w:name w:val="Menu Option"/>
    <w:rsid w:val="00A86E9B"/>
    <w:rPr>
      <w:b/>
      <w:smallCaps/>
    </w:rPr>
  </w:style>
  <w:style w:type="paragraph" w:customStyle="1" w:styleId="TableListNumber">
    <w:name w:val="Table List Number"/>
    <w:basedOn w:val="ListNumber"/>
    <w:rsid w:val="00A86E9B"/>
    <w:pPr>
      <w:numPr>
        <w:numId w:val="0"/>
      </w:numPr>
    </w:pPr>
  </w:style>
  <w:style w:type="paragraph" w:styleId="TOC4">
    <w:name w:val="toc 4"/>
    <w:basedOn w:val="TOCBase"/>
    <w:next w:val="Normal"/>
    <w:semiHidden/>
    <w:rsid w:val="00A86E9B"/>
    <w:pPr>
      <w:tabs>
        <w:tab w:val="right" w:leader="dot" w:pos="9071"/>
      </w:tabs>
      <w:ind w:left="1701"/>
    </w:pPr>
  </w:style>
  <w:style w:type="paragraph" w:customStyle="1" w:styleId="ListAlpha">
    <w:name w:val="List Alpha"/>
    <w:basedOn w:val="List"/>
    <w:rsid w:val="00A86E9B"/>
    <w:pPr>
      <w:numPr>
        <w:numId w:val="9"/>
      </w:numPr>
    </w:pPr>
  </w:style>
  <w:style w:type="paragraph" w:customStyle="1" w:styleId="ListAlpha2">
    <w:name w:val="List Alpha 2"/>
    <w:basedOn w:val="List2"/>
    <w:rsid w:val="00A86E9B"/>
    <w:pPr>
      <w:numPr>
        <w:numId w:val="8"/>
      </w:numPr>
    </w:pPr>
  </w:style>
  <w:style w:type="paragraph" w:styleId="List3">
    <w:name w:val="List 3"/>
    <w:basedOn w:val="BodyText"/>
    <w:rsid w:val="00A86E9B"/>
    <w:pPr>
      <w:tabs>
        <w:tab w:val="left" w:pos="1021"/>
      </w:tabs>
      <w:spacing w:before="60" w:after="60"/>
      <w:ind w:left="1020" w:hanging="340"/>
    </w:pPr>
  </w:style>
  <w:style w:type="paragraph" w:styleId="List4">
    <w:name w:val="List 4"/>
    <w:basedOn w:val="BodyText"/>
    <w:rsid w:val="00A86E9B"/>
    <w:pPr>
      <w:tabs>
        <w:tab w:val="left" w:pos="1361"/>
      </w:tabs>
      <w:spacing w:before="60" w:after="60"/>
      <w:ind w:left="1361" w:hanging="340"/>
    </w:pPr>
  </w:style>
  <w:style w:type="paragraph" w:styleId="List5">
    <w:name w:val="List 5"/>
    <w:basedOn w:val="BodyText"/>
    <w:rsid w:val="00A86E9B"/>
    <w:pPr>
      <w:tabs>
        <w:tab w:val="left" w:pos="1701"/>
      </w:tabs>
      <w:spacing w:before="60" w:after="60"/>
      <w:ind w:left="1701" w:hanging="340"/>
    </w:pPr>
  </w:style>
  <w:style w:type="paragraph" w:styleId="ListBullet3">
    <w:name w:val="List Bullet 3"/>
    <w:basedOn w:val="List3"/>
    <w:rsid w:val="00A86E9B"/>
    <w:pPr>
      <w:numPr>
        <w:numId w:val="15"/>
      </w:numPr>
      <w:tabs>
        <w:tab w:val="clear" w:pos="1021"/>
      </w:tabs>
      <w:ind w:left="1037" w:hanging="357"/>
    </w:pPr>
  </w:style>
  <w:style w:type="paragraph" w:styleId="ListBullet4">
    <w:name w:val="List Bullet 4"/>
    <w:basedOn w:val="List4"/>
    <w:rsid w:val="00A86E9B"/>
    <w:pPr>
      <w:numPr>
        <w:numId w:val="3"/>
      </w:numPr>
    </w:pPr>
  </w:style>
  <w:style w:type="paragraph" w:styleId="ListBullet5">
    <w:name w:val="List Bullet 5"/>
    <w:basedOn w:val="List5"/>
    <w:rsid w:val="00A86E9B"/>
    <w:pPr>
      <w:numPr>
        <w:numId w:val="4"/>
      </w:numPr>
    </w:pPr>
  </w:style>
  <w:style w:type="paragraph" w:styleId="ListContinue2">
    <w:name w:val="List Continue 2"/>
    <w:basedOn w:val="List2"/>
    <w:rsid w:val="00A86E9B"/>
    <w:pPr>
      <w:ind w:firstLine="0"/>
    </w:pPr>
  </w:style>
  <w:style w:type="paragraph" w:styleId="ListContinue3">
    <w:name w:val="List Continue 3"/>
    <w:basedOn w:val="List3"/>
    <w:rsid w:val="00A86E9B"/>
    <w:pPr>
      <w:ind w:left="1021" w:firstLine="0"/>
    </w:pPr>
  </w:style>
  <w:style w:type="paragraph" w:styleId="ListContinue4">
    <w:name w:val="List Continue 4"/>
    <w:basedOn w:val="List4"/>
    <w:rsid w:val="00A86E9B"/>
    <w:pPr>
      <w:ind w:firstLine="0"/>
    </w:pPr>
  </w:style>
  <w:style w:type="paragraph" w:styleId="ListContinue5">
    <w:name w:val="List Continue 5"/>
    <w:basedOn w:val="List5"/>
    <w:rsid w:val="00A86E9B"/>
    <w:pPr>
      <w:ind w:firstLine="0"/>
    </w:pPr>
  </w:style>
  <w:style w:type="paragraph" w:styleId="ListNumber3">
    <w:name w:val="List Number 3"/>
    <w:basedOn w:val="List3"/>
    <w:rsid w:val="00A86E9B"/>
    <w:pPr>
      <w:numPr>
        <w:numId w:val="5"/>
      </w:numPr>
    </w:pPr>
  </w:style>
  <w:style w:type="paragraph" w:styleId="ListNumber4">
    <w:name w:val="List Number 4"/>
    <w:basedOn w:val="List4"/>
    <w:rsid w:val="00A86E9B"/>
    <w:pPr>
      <w:numPr>
        <w:numId w:val="6"/>
      </w:numPr>
    </w:pPr>
  </w:style>
  <w:style w:type="paragraph" w:styleId="ListNumber5">
    <w:name w:val="List Number 5"/>
    <w:basedOn w:val="List5"/>
    <w:rsid w:val="00A86E9B"/>
    <w:pPr>
      <w:numPr>
        <w:numId w:val="7"/>
      </w:numPr>
    </w:pPr>
  </w:style>
  <w:style w:type="paragraph" w:styleId="BlockText">
    <w:name w:val="Block Text"/>
    <w:basedOn w:val="Normal"/>
    <w:rsid w:val="00A86E9B"/>
    <w:pPr>
      <w:spacing w:after="120"/>
      <w:ind w:left="1440" w:right="1440"/>
    </w:pPr>
  </w:style>
  <w:style w:type="character" w:customStyle="1" w:styleId="Subscript">
    <w:name w:val="Subscript"/>
    <w:rsid w:val="00A86E9B"/>
    <w:rPr>
      <w:sz w:val="16"/>
      <w:vertAlign w:val="subscript"/>
    </w:rPr>
  </w:style>
  <w:style w:type="character" w:customStyle="1" w:styleId="Superscript">
    <w:name w:val="Superscript"/>
    <w:rsid w:val="00A86E9B"/>
    <w:rPr>
      <w:sz w:val="16"/>
      <w:vertAlign w:val="superscript"/>
    </w:rPr>
  </w:style>
  <w:style w:type="character" w:customStyle="1" w:styleId="Symbols">
    <w:name w:val="Symbols"/>
    <w:rsid w:val="00A86E9B"/>
    <w:rPr>
      <w:rFonts w:ascii="Symbol" w:hAnsi="Symbol"/>
    </w:rPr>
  </w:style>
  <w:style w:type="character" w:customStyle="1" w:styleId="MenuOptions">
    <w:name w:val="Menu Options"/>
    <w:rsid w:val="00A86E9B"/>
    <w:rPr>
      <w:rFonts w:ascii="Arial Narrow" w:hAnsi="Arial Narrow"/>
      <w:smallCaps/>
    </w:rPr>
  </w:style>
  <w:style w:type="character" w:customStyle="1" w:styleId="Buttons">
    <w:name w:val="Buttons"/>
    <w:rsid w:val="00A86E9B"/>
    <w:rPr>
      <w:b/>
    </w:rPr>
  </w:style>
  <w:style w:type="character" w:customStyle="1" w:styleId="Underlined">
    <w:name w:val="Underlined"/>
    <w:rsid w:val="00A86E9B"/>
    <w:rPr>
      <w:u w:val="single"/>
    </w:rPr>
  </w:style>
  <w:style w:type="paragraph" w:customStyle="1" w:styleId="TableBodyTextRight">
    <w:name w:val="Table Body Text Right"/>
    <w:basedOn w:val="TableBodyText"/>
    <w:rsid w:val="00A86E9B"/>
    <w:pPr>
      <w:widowControl w:val="0"/>
      <w:autoSpaceDE w:val="0"/>
      <w:autoSpaceDN w:val="0"/>
      <w:adjustRightInd w:val="0"/>
      <w:jc w:val="right"/>
    </w:pPr>
    <w:rPr>
      <w:rFonts w:cs="Arial"/>
      <w:szCs w:val="18"/>
    </w:rPr>
  </w:style>
  <w:style w:type="paragraph" w:customStyle="1" w:styleId="CopyrightText">
    <w:name w:val="Copyright Text"/>
    <w:basedOn w:val="BodyText"/>
    <w:rsid w:val="00A86E9B"/>
    <w:rPr>
      <w:sz w:val="18"/>
    </w:rPr>
  </w:style>
  <w:style w:type="paragraph" w:customStyle="1" w:styleId="BodySmallRight">
    <w:name w:val="Body Small Right"/>
    <w:basedOn w:val="BodyTextRight"/>
    <w:rsid w:val="00A86E9B"/>
    <w:rPr>
      <w:sz w:val="18"/>
      <w:szCs w:val="18"/>
    </w:rPr>
  </w:style>
  <w:style w:type="paragraph" w:customStyle="1" w:styleId="MarginEdition">
    <w:name w:val="Margin Edition"/>
    <w:basedOn w:val="MarginNote"/>
    <w:rsid w:val="00A86E9B"/>
    <w:pPr>
      <w:spacing w:before="0" w:after="0"/>
    </w:pPr>
    <w:rPr>
      <w:rFonts w:ascii="Times New Roman" w:hAnsi="Times New Roman"/>
      <w:color w:val="999999"/>
    </w:rPr>
  </w:style>
  <w:style w:type="paragraph" w:customStyle="1" w:styleId="Spacer">
    <w:name w:val="Spacer"/>
    <w:basedOn w:val="Normal"/>
    <w:rsid w:val="00A86E9B"/>
    <w:rPr>
      <w:sz w:val="2"/>
      <w:szCs w:val="2"/>
    </w:rPr>
  </w:style>
  <w:style w:type="character" w:customStyle="1" w:styleId="Small">
    <w:name w:val="Small"/>
    <w:rsid w:val="00A86E9B"/>
    <w:rPr>
      <w:sz w:val="16"/>
    </w:rPr>
  </w:style>
  <w:style w:type="paragraph" w:customStyle="1" w:styleId="WideTable">
    <w:name w:val="Wide Table"/>
    <w:basedOn w:val="Normal"/>
    <w:rsid w:val="00A86E9B"/>
    <w:pPr>
      <w:ind w:left="-1418"/>
    </w:pPr>
    <w:rPr>
      <w:sz w:val="2"/>
      <w:szCs w:val="2"/>
    </w:rPr>
  </w:style>
  <w:style w:type="character" w:styleId="PageNumber">
    <w:name w:val="page number"/>
    <w:rsid w:val="00A86E9B"/>
  </w:style>
  <w:style w:type="paragraph" w:styleId="Quote">
    <w:name w:val="Quote"/>
    <w:basedOn w:val="Heading1"/>
    <w:link w:val="QuoteChar"/>
    <w:qFormat/>
    <w:rsid w:val="00A86E9B"/>
    <w:rPr>
      <w:b w:val="0"/>
      <w:sz w:val="72"/>
      <w:szCs w:val="72"/>
      <w:lang w:val="en-NZ"/>
    </w:rPr>
  </w:style>
  <w:style w:type="character" w:customStyle="1" w:styleId="QuoteChar">
    <w:name w:val="Quote Char"/>
    <w:link w:val="Quote"/>
    <w:rsid w:val="00A86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E9B"/>
    <w:pPr>
      <w:pageBreakBefore/>
    </w:pPr>
  </w:style>
  <w:style w:type="paragraph" w:customStyle="1" w:styleId="Border">
    <w:name w:val="Border"/>
    <w:basedOn w:val="Normal"/>
    <w:qFormat/>
    <w:rsid w:val="00A86E9B"/>
    <w:pPr>
      <w:pBdr>
        <w:top w:val="single" w:sz="18" w:space="1" w:color="auto"/>
      </w:pBdr>
    </w:pPr>
    <w:rPr>
      <w:rFonts w:ascii="Times New Roman" w:hAnsi="Times New Roman"/>
      <w:color w:val="FFFFFF"/>
      <w:sz w:val="2"/>
    </w:rPr>
  </w:style>
  <w:style w:type="character" w:styleId="IntenseEmphasis">
    <w:name w:val="Intense Emphasis"/>
    <w:uiPriority w:val="21"/>
    <w:qFormat/>
    <w:rsid w:val="00A86E9B"/>
    <w:rPr>
      <w:b/>
      <w:bCs/>
      <w:i/>
      <w:iCs/>
      <w:color w:val="auto"/>
    </w:rPr>
  </w:style>
  <w:style w:type="paragraph" w:styleId="IntenseQuote">
    <w:name w:val="Intense Quote"/>
    <w:basedOn w:val="Normal"/>
    <w:next w:val="Normal"/>
    <w:link w:val="IntenseQuoteChar"/>
    <w:uiPriority w:val="30"/>
    <w:qFormat/>
    <w:rsid w:val="00A86E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6E9B"/>
    <w:rPr>
      <w:rFonts w:ascii="Courier New" w:eastAsia="Times New Roman" w:hAnsi="Courier New" w:cs="Times New Roman"/>
      <w:b/>
      <w:bCs/>
      <w:i/>
      <w:iCs/>
      <w:szCs w:val="20"/>
      <w:lang w:val="en-US" w:eastAsia="en-US"/>
    </w:rPr>
  </w:style>
  <w:style w:type="character" w:styleId="SubtleReference">
    <w:name w:val="Subtle Reference"/>
    <w:uiPriority w:val="31"/>
    <w:qFormat/>
    <w:rsid w:val="00A86E9B"/>
    <w:rPr>
      <w:smallCaps/>
      <w:color w:val="auto"/>
      <w:u w:val="single"/>
    </w:rPr>
  </w:style>
  <w:style w:type="character" w:styleId="IntenseReference">
    <w:name w:val="Intense Reference"/>
    <w:uiPriority w:val="32"/>
    <w:qFormat/>
    <w:rsid w:val="00A86E9B"/>
    <w:rPr>
      <w:b/>
      <w:bCs/>
      <w:smallCaps/>
      <w:color w:val="auto"/>
      <w:spacing w:val="5"/>
      <w:u w:val="single"/>
    </w:rPr>
  </w:style>
  <w:style w:type="paragraph" w:customStyle="1" w:styleId="2ColumnHeading">
    <w:name w:val="2Column Heading"/>
    <w:basedOn w:val="BodyText"/>
    <w:qFormat/>
    <w:rsid w:val="00A86E9B"/>
    <w:pPr>
      <w:spacing w:after="60"/>
      <w:ind w:left="-2268"/>
    </w:pPr>
    <w:rPr>
      <w:b/>
    </w:rPr>
  </w:style>
  <w:style w:type="paragraph" w:customStyle="1" w:styleId="Heading1TOC">
    <w:name w:val="Heading1 TOC"/>
    <w:basedOn w:val="Normal"/>
    <w:qFormat/>
    <w:rsid w:val="00A86E9B"/>
    <w:pPr>
      <w:spacing w:before="240" w:after="120"/>
    </w:pPr>
    <w:rPr>
      <w:rFonts w:ascii="Times New Roman" w:hAnsi="Times New Roman"/>
      <w:b/>
      <w:sz w:val="32"/>
    </w:rPr>
  </w:style>
  <w:style w:type="paragraph" w:customStyle="1" w:styleId="Heading2TOC">
    <w:name w:val="Heading2 TOC"/>
    <w:basedOn w:val="Normal"/>
    <w:qFormat/>
    <w:rsid w:val="00A86E9B"/>
    <w:pPr>
      <w:spacing w:before="240" w:after="60"/>
    </w:pPr>
    <w:rPr>
      <w:rFonts w:ascii="Times New Roman" w:hAnsi="Times New Roman"/>
      <w:b/>
      <w:sz w:val="28"/>
    </w:rPr>
  </w:style>
  <w:style w:type="character" w:customStyle="1" w:styleId="Underline">
    <w:name w:val="Underline"/>
    <w:qFormat/>
    <w:rsid w:val="00A86E9B"/>
    <w:rPr>
      <w:u w:val="single"/>
    </w:rPr>
  </w:style>
  <w:style w:type="paragraph" w:styleId="BalloonText">
    <w:name w:val="Balloon Text"/>
    <w:basedOn w:val="Normal"/>
    <w:link w:val="BalloonTextChar"/>
    <w:rsid w:val="00A86E9B"/>
    <w:rPr>
      <w:rFonts w:ascii="Tahoma" w:hAnsi="Tahoma" w:cs="Tahoma"/>
      <w:sz w:val="16"/>
      <w:szCs w:val="16"/>
    </w:rPr>
  </w:style>
  <w:style w:type="character" w:customStyle="1" w:styleId="BalloonTextChar">
    <w:name w:val="Balloon Text Char"/>
    <w:link w:val="BalloonText"/>
    <w:rsid w:val="00A86E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E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6E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985</Words>
  <Characters>6367</Characters>
  <Application>Microsoft Office Word</Application>
  <DocSecurity>0</DocSecurity>
  <Lines>251</Lines>
  <Paragraphs>129</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FNSACC403A Make decisions in a legal context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2012-05-26T16:11:00Z</dcterms:created>
  <dcterms:modified xsi:type="dcterms:W3CDTF">2012-05-26T16:11:00Z</dcterms:modified>
</cp:coreProperties>
</file>