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FDA" w:rsidP="00977FDA">
      <w:pPr>
        <w:pStyle w:val="Title"/>
      </w:pPr>
      <w:r>
        <w:fldChar w:fldCharType="begin"/>
      </w:r>
      <w:r>
        <w:instrText xml:space="preserve"> TITLE   \* MERGEFORMAT </w:instrText>
      </w:r>
      <w:r>
        <w:fldChar w:fldCharType="separate"/>
      </w:r>
      <w:r>
        <w:t>FNSACC302A Administer subsidiary accounts and ledgers</w:t>
      </w:r>
      <w:r>
        <w:fldChar w:fldCharType="end"/>
      </w:r>
    </w:p>
    <w:p w:rsidR="00977FDA" w:rsidP="00977FDA">
      <w:pPr>
        <w:pStyle w:val="Version"/>
        <w:sectPr w:rsidSect="00031F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1F1D" w:rsidP="00031F1D">
      <w:pPr>
        <w:pStyle w:val="SuperHeading"/>
      </w:pPr>
      <w:r w:rsidRPr="00031F1D">
        <w:t>FNSACC302A Administer subsidiary accounts and ledgers</w:t>
      </w:r>
    </w:p>
    <w:p w:rsidR="00000000" w:rsidRPr="00031F1D" w:rsidP="00031F1D">
      <w:pPr>
        <w:pStyle w:val="SuperHeading"/>
      </w:pPr>
    </w:p>
    <w:p w:rsidR="00000000" w:rsidRPr="00031F1D" w:rsidP="00031F1D">
      <w:pPr>
        <w:pStyle w:val="Heading1"/>
      </w:pPr>
      <w:bookmarkStart w:id="1" w:name="O_76983"/>
      <w:bookmarkEnd w:id="1"/>
      <w:r w:rsidRPr="00031F1D">
        <w:t>Modification History</w:t>
      </w:r>
    </w:p>
    <w:p w:rsidR="00000000" w:rsidRPr="00031F1D" w:rsidP="00031F1D">
      <w:pPr>
        <w:pStyle w:val="BodyText"/>
      </w:pPr>
      <w:r w:rsidRPr="00031F1D">
        <w:t>Not applicable.</w:t>
      </w:r>
    </w:p>
    <w:p w:rsidR="00000000" w:rsidRPr="00031F1D" w:rsidP="00031F1D">
      <w:pPr>
        <w:pStyle w:val="AllowPageBreak"/>
      </w:pPr>
    </w:p>
    <w:p w:rsidR="00000000" w:rsidRPr="00031F1D" w:rsidP="00031F1D">
      <w:pPr>
        <w:pStyle w:val="Heading1"/>
      </w:pPr>
      <w:bookmarkStart w:id="2" w:name="O_76984"/>
      <w:bookmarkEnd w:id="2"/>
      <w:r w:rsidRPr="00031F1D">
        <w:t>Unit Descriptor</w:t>
      </w:r>
    </w:p>
    <w:tbl>
      <w:tblPr>
        <w:tblW w:w="0" w:type="auto"/>
        <w:tblLayout w:type="fixed"/>
        <w:tblCellMar>
          <w:left w:w="62" w:type="dxa"/>
          <w:right w:w="62" w:type="dxa"/>
        </w:tblCellMar>
        <w:tblLook w:val="0000"/>
      </w:tblPr>
      <w:tblGrid>
        <w:gridCol w:w="2639"/>
        <w:gridCol w:w="5883"/>
      </w:tblGrid>
      <w:tr w:rsidTr="00977FDA">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BodyText"/>
            </w:pPr>
            <w:r w:rsidRPr="00031F1D">
              <w:t>This unit describes the performance outcomes, skills and knowledge required to reconcile and monitor f</w:t>
            </w:r>
            <w:r w:rsidRPr="00031F1D">
              <w:t>inancial accounts receivable systems, identify bad and doubtful debts and plan a recovery action and remit payments to sundry creditors.</w:t>
            </w:r>
          </w:p>
          <w:p w:rsidR="00000000" w:rsidRPr="00031F1D" w:rsidP="00031F1D">
            <w:pPr>
              <w:pStyle w:val="BodyText"/>
            </w:pPr>
          </w:p>
          <w:p w:rsidR="00000000" w:rsidRPr="00031F1D" w:rsidP="00031F1D">
            <w:pPr>
              <w:pStyle w:val="BodyText"/>
            </w:pPr>
            <w:r w:rsidRPr="00031F1D">
              <w:t>This unit may apply to job roles subject to licensing, legislative, regulatory or certification requirements so Common</w:t>
            </w:r>
            <w:r w:rsidRPr="00031F1D">
              <w:t>wealth, State or Territory requirements should be confirmed with the relevant body.</w:t>
            </w:r>
          </w:p>
        </w:tc>
      </w:tr>
    </w:tbl>
    <w:p w:rsidR="00000000" w:rsidRPr="00031F1D" w:rsidP="00031F1D">
      <w:pPr>
        <w:pStyle w:val="BodyText"/>
      </w:pPr>
    </w:p>
    <w:p w:rsidR="00000000" w:rsidRPr="00031F1D" w:rsidP="00031F1D">
      <w:pPr>
        <w:pStyle w:val="AllowPageBreak"/>
      </w:pPr>
    </w:p>
    <w:p w:rsidR="00000000" w:rsidRPr="00031F1D" w:rsidP="00031F1D">
      <w:pPr>
        <w:pStyle w:val="Heading1"/>
      </w:pPr>
      <w:bookmarkStart w:id="3" w:name="O_76985"/>
      <w:bookmarkEnd w:id="3"/>
      <w:r w:rsidRPr="00031F1D">
        <w:t>Application of the Unit</w:t>
      </w:r>
    </w:p>
    <w:tbl>
      <w:tblPr>
        <w:tblW w:w="0" w:type="auto"/>
        <w:tblLayout w:type="fixed"/>
        <w:tblCellMar>
          <w:left w:w="62" w:type="dxa"/>
          <w:right w:w="62" w:type="dxa"/>
        </w:tblCellMar>
        <w:tblLook w:val="0000"/>
      </w:tblPr>
      <w:tblGrid>
        <w:gridCol w:w="2720"/>
        <w:gridCol w:w="5802"/>
      </w:tblGrid>
      <w:tr w:rsidTr="00977FDA">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BodyText"/>
            </w:pPr>
            <w:r w:rsidRPr="00031F1D">
              <w:t>This unit may apply to a range of accounts administration job roles in all financial services sectors.</w:t>
            </w:r>
          </w:p>
        </w:tc>
      </w:tr>
    </w:tbl>
    <w:p w:rsidR="00000000" w:rsidRPr="00031F1D" w:rsidP="00031F1D">
      <w:pPr>
        <w:pStyle w:val="BodyText"/>
      </w:pPr>
    </w:p>
    <w:p w:rsidR="00000000" w:rsidRPr="00031F1D" w:rsidP="00031F1D">
      <w:pPr>
        <w:pStyle w:val="AllowPageBreak"/>
      </w:pPr>
    </w:p>
    <w:p w:rsidR="00000000" w:rsidRPr="00031F1D" w:rsidP="00031F1D">
      <w:pPr>
        <w:pStyle w:val="Heading1"/>
      </w:pPr>
      <w:bookmarkStart w:id="4" w:name="O_76986"/>
      <w:bookmarkEnd w:id="4"/>
      <w:r w:rsidRPr="00031F1D">
        <w:t>Licensing/Regulatory Information</w:t>
      </w:r>
    </w:p>
    <w:p w:rsidR="00000000" w:rsidRPr="00031F1D" w:rsidP="00031F1D">
      <w:pPr>
        <w:pStyle w:val="BodyText"/>
      </w:pPr>
      <w:r w:rsidRPr="00031F1D">
        <w:t>Not applicable.</w:t>
      </w:r>
    </w:p>
    <w:p w:rsidR="00000000" w:rsidRPr="00031F1D" w:rsidP="00031F1D">
      <w:pPr>
        <w:pStyle w:val="AllowPageBreak"/>
      </w:pPr>
    </w:p>
    <w:p w:rsidR="00000000" w:rsidRPr="00031F1D" w:rsidP="00031F1D">
      <w:pPr>
        <w:pStyle w:val="Heading1"/>
      </w:pPr>
      <w:bookmarkStart w:id="5" w:name="O_76988"/>
      <w:bookmarkEnd w:id="5"/>
      <w:r w:rsidRPr="00031F1D">
        <w:t>Pre-Requisites</w:t>
      </w:r>
    </w:p>
    <w:tbl>
      <w:tblPr>
        <w:tblW w:w="0" w:type="auto"/>
        <w:tblLayout w:type="fixed"/>
        <w:tblCellMar>
          <w:left w:w="62" w:type="dxa"/>
          <w:right w:w="62" w:type="dxa"/>
        </w:tblCellMar>
        <w:tblLook w:val="0000"/>
      </w:tblPr>
      <w:tblGrid>
        <w:gridCol w:w="2747"/>
        <w:gridCol w:w="5775"/>
      </w:tblGrid>
      <w:tr w:rsidTr="00977FDA">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Prerequisite units</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p>
        </w:tc>
      </w:tr>
      <w:tr w:rsidTr="00977FD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BodyText"/>
            </w:pPr>
          </w:p>
        </w:tc>
      </w:tr>
    </w:tbl>
    <w:p w:rsidR="00000000" w:rsidRPr="00031F1D" w:rsidP="00031F1D">
      <w:pPr>
        <w:pStyle w:val="BodyText"/>
      </w:pPr>
    </w:p>
    <w:p w:rsidR="00000000" w:rsidRPr="00031F1D" w:rsidP="00031F1D">
      <w:pPr>
        <w:pStyle w:val="AllowPageBreak"/>
      </w:pPr>
    </w:p>
    <w:p w:rsidR="00000000" w:rsidRPr="00031F1D" w:rsidP="00031F1D">
      <w:pPr>
        <w:pStyle w:val="Heading1"/>
      </w:pPr>
      <w:bookmarkStart w:id="6" w:name="O_76987"/>
      <w:bookmarkEnd w:id="6"/>
      <w:r w:rsidRPr="00031F1D">
        <w:t>Employability Skills Information</w:t>
      </w:r>
    </w:p>
    <w:tbl>
      <w:tblPr>
        <w:tblW w:w="0" w:type="auto"/>
        <w:tblLayout w:type="fixed"/>
        <w:tblCellMar>
          <w:left w:w="62" w:type="dxa"/>
          <w:right w:w="62" w:type="dxa"/>
        </w:tblCellMar>
        <w:tblLook w:val="0000"/>
      </w:tblPr>
      <w:tblGrid>
        <w:gridCol w:w="2762"/>
        <w:gridCol w:w="5760"/>
      </w:tblGrid>
      <w:tr w:rsidTr="00977FD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BodyText"/>
            </w:pPr>
            <w:r w:rsidRPr="00031F1D">
              <w:t>This unit contains employability skills.</w:t>
            </w:r>
          </w:p>
        </w:tc>
      </w:tr>
    </w:tbl>
    <w:p w:rsidR="00000000" w:rsidRPr="00031F1D" w:rsidP="00031F1D">
      <w:pPr>
        <w:pStyle w:val="BodyText"/>
      </w:pPr>
    </w:p>
    <w:p w:rsidR="00000000" w:rsidRPr="00031F1D" w:rsidP="00031F1D">
      <w:pPr>
        <w:pStyle w:val="AllowPageBreak"/>
      </w:pPr>
    </w:p>
    <w:p w:rsidR="00000000" w:rsidRPr="00031F1D" w:rsidP="00031F1D">
      <w:pPr>
        <w:pStyle w:val="Heading1"/>
      </w:pPr>
      <w:bookmarkStart w:id="7" w:name="O_76989"/>
      <w:bookmarkEnd w:id="7"/>
      <w:r w:rsidRPr="00031F1D">
        <w:t>Elements an</w:t>
      </w:r>
      <w:r w:rsidRPr="00031F1D">
        <w:t>d Performance Criteria Pre-Content</w:t>
      </w:r>
    </w:p>
    <w:tbl>
      <w:tblPr>
        <w:tblW w:w="0" w:type="auto"/>
        <w:tblLayout w:type="fixed"/>
        <w:tblCellMar>
          <w:left w:w="62" w:type="dxa"/>
          <w:right w:w="62" w:type="dxa"/>
        </w:tblCellMar>
        <w:tblLook w:val="0000"/>
      </w:tblPr>
      <w:tblGrid>
        <w:gridCol w:w="2570"/>
        <w:gridCol w:w="5952"/>
      </w:tblGrid>
      <w:tr w:rsidTr="00977FD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BodyText"/>
            </w:pPr>
            <w:r w:rsidRPr="00031F1D">
              <w:t xml:space="preserve">Performance criteria describe the performance needed to demonstrate achievement of the element. Where bold italicised text is used, further information is </w:t>
            </w:r>
            <w:r w:rsidRPr="00031F1D">
              <w:t>detailed in the required skills and knowledge section and the range statement. Assessment of performance is to be consistent with the evidence guide.</w:t>
            </w:r>
          </w:p>
        </w:tc>
      </w:tr>
    </w:tbl>
    <w:p w:rsidR="00000000" w:rsidRPr="00031F1D" w:rsidP="00031F1D">
      <w:pPr>
        <w:pStyle w:val="BodyText"/>
      </w:pPr>
    </w:p>
    <w:p w:rsidR="00000000" w:rsidRPr="00031F1D" w:rsidP="00031F1D">
      <w:pPr>
        <w:pStyle w:val="AllowPageBreak"/>
      </w:pPr>
    </w:p>
    <w:p w:rsidR="00000000" w:rsidRPr="00031F1D" w:rsidP="00031F1D">
      <w:pPr>
        <w:pStyle w:val="Heading1"/>
      </w:pPr>
      <w:bookmarkStart w:id="8" w:name="O_76990"/>
      <w:bookmarkEnd w:id="8"/>
      <w:r w:rsidRPr="00031F1D">
        <w:t>Elements and Performance Criteria</w:t>
      </w:r>
    </w:p>
    <w:tbl>
      <w:tblPr>
        <w:tblW w:w="0" w:type="auto"/>
        <w:tblLayout w:type="fixed"/>
        <w:tblCellMar>
          <w:left w:w="62" w:type="dxa"/>
          <w:right w:w="62" w:type="dxa"/>
        </w:tblCellMar>
        <w:tblLook w:val="0000"/>
      </w:tblPr>
      <w:tblGrid>
        <w:gridCol w:w="2570"/>
        <w:gridCol w:w="5952"/>
      </w:tblGrid>
      <w:tr w:rsidTr="00977FD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BodyText"/>
            </w:pPr>
            <w:r w:rsidRPr="00031F1D">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PERFORMANCE CRITERIA</w:t>
            </w:r>
          </w:p>
        </w:tc>
      </w:tr>
      <w:tr w:rsidTr="00977FD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List"/>
              <w:rPr>
                <w:lang w:val="en-NZ"/>
              </w:rPr>
            </w:pPr>
            <w:r w:rsidRPr="00031F1D">
              <w:t>1.</w:t>
            </w:r>
            <w:r w:rsidRPr="00031F1D">
              <w:tab/>
            </w:r>
            <w:r w:rsidRPr="00031F1D">
              <w:t>Review accounts receivable process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2"/>
            </w:pPr>
            <w:r w:rsidRPr="00031F1D">
              <w:t>1.1.</w:t>
            </w:r>
            <w:r w:rsidRPr="00031F1D">
              <w:tab/>
            </w:r>
            <w:r w:rsidRPr="00031F1D">
              <w:rPr>
                <w:rStyle w:val="BoldandItalics"/>
              </w:rPr>
              <w:t>Receipts</w:t>
            </w:r>
            <w:r w:rsidRPr="00031F1D">
              <w:t xml:space="preserve"> entered into accounts receivable system are checked for accuracy, consistency and thoroughness</w:t>
            </w:r>
          </w:p>
          <w:p w:rsidR="00000000" w:rsidRPr="00031F1D" w:rsidP="00031F1D">
            <w:pPr>
              <w:pStyle w:val="List2"/>
            </w:pPr>
            <w:r w:rsidRPr="00031F1D">
              <w:t>1.2.</w:t>
            </w:r>
            <w:r w:rsidRPr="00031F1D">
              <w:tab/>
              <w:t>Incorrect entries are identified and accurately recorded according to type and source of receipt</w:t>
            </w:r>
          </w:p>
          <w:p w:rsidR="00000000" w:rsidRPr="00031F1D" w:rsidP="00031F1D">
            <w:pPr>
              <w:pStyle w:val="List2"/>
            </w:pPr>
            <w:r w:rsidRPr="00031F1D">
              <w:t>1.3.</w:t>
            </w:r>
            <w:r w:rsidRPr="00031F1D">
              <w:tab/>
            </w:r>
            <w:r w:rsidRPr="00031F1D">
              <w:rPr>
                <w:rStyle w:val="BoldandItalics"/>
              </w:rPr>
              <w:t>Discr</w:t>
            </w:r>
            <w:r w:rsidRPr="00031F1D">
              <w:rPr>
                <w:rStyle w:val="BoldandItalics"/>
              </w:rPr>
              <w:t>epancies between monies owed and monies paid</w:t>
            </w:r>
            <w:r w:rsidRPr="00031F1D">
              <w:t xml:space="preserve"> are identified and investigated according to </w:t>
            </w:r>
            <w:r w:rsidRPr="00031F1D">
              <w:rPr>
                <w:rStyle w:val="BoldandItalics"/>
              </w:rPr>
              <w:t>organisation policy</w:t>
            </w:r>
            <w:r w:rsidRPr="00031F1D">
              <w:t xml:space="preserve">, </w:t>
            </w:r>
            <w:r w:rsidRPr="00031F1D">
              <w:rPr>
                <w:rStyle w:val="BoldandItalics"/>
              </w:rPr>
              <w:t>procedures and guidelines</w:t>
            </w:r>
          </w:p>
          <w:p w:rsidR="00000000" w:rsidP="00031F1D">
            <w:pPr>
              <w:pStyle w:val="List2"/>
              <w:rPr>
                <w:lang w:val="en-NZ"/>
              </w:rPr>
            </w:pPr>
            <w:r w:rsidRPr="00031F1D">
              <w:t>1.4.</w:t>
            </w:r>
            <w:r w:rsidRPr="00031F1D">
              <w:tab/>
              <w:t>Receipts entered into accounts receivable system are amended according to established procedures</w:t>
            </w:r>
          </w:p>
        </w:tc>
      </w:tr>
      <w:tr w:rsidTr="00977FD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List"/>
              <w:rPr>
                <w:lang w:val="en-NZ"/>
              </w:rPr>
            </w:pPr>
            <w:r w:rsidRPr="00031F1D">
              <w:t>2.</w:t>
            </w:r>
            <w:r w:rsidRPr="00031F1D">
              <w:tab/>
              <w:t xml:space="preserve">Identify bad </w:t>
            </w:r>
            <w:r w:rsidRPr="00031F1D">
              <w:t>and doubtful debts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2"/>
            </w:pPr>
            <w:r w:rsidRPr="00031F1D">
              <w:t>2.1.</w:t>
            </w:r>
            <w:r w:rsidRPr="00031F1D">
              <w:tab/>
              <w:t>Debtors ledger is regularly reviewed in accordance with organisation policy and guidelines to identify outstanding monies an further information, if required, sought from relevant sources</w:t>
            </w:r>
          </w:p>
          <w:p w:rsidR="00000000" w:rsidRPr="00031F1D" w:rsidP="00031F1D">
            <w:pPr>
              <w:pStyle w:val="List2"/>
            </w:pPr>
            <w:r w:rsidRPr="00031F1D">
              <w:t>2.2.</w:t>
            </w:r>
            <w:r w:rsidRPr="00031F1D">
              <w:tab/>
            </w:r>
            <w:r w:rsidRPr="00031F1D">
              <w:rPr>
                <w:rStyle w:val="BoldandItalics"/>
              </w:rPr>
              <w:t>Bad or doubtful debt</w:t>
            </w:r>
            <w:r w:rsidRPr="00031F1D">
              <w:t xml:space="preserve"> status is verified</w:t>
            </w:r>
            <w:r w:rsidRPr="00031F1D">
              <w:t xml:space="preserve"> through liaison with debtors</w:t>
            </w:r>
          </w:p>
          <w:p w:rsidR="00000000" w:rsidP="00031F1D">
            <w:pPr>
              <w:pStyle w:val="List2"/>
              <w:rPr>
                <w:lang w:val="en-NZ"/>
              </w:rPr>
            </w:pPr>
            <w:r w:rsidRPr="00031F1D">
              <w:t>2.3.</w:t>
            </w:r>
            <w:r w:rsidRPr="00031F1D">
              <w:tab/>
              <w:t>Reporting procedures and appropriate documentation for bad and doubtful debts is completed in accordance with organisation policy and guidelines</w:t>
            </w:r>
          </w:p>
        </w:tc>
      </w:tr>
      <w:tr w:rsidTr="00977FD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List"/>
              <w:rPr>
                <w:lang w:val="en-NZ"/>
              </w:rPr>
            </w:pPr>
            <w:r w:rsidRPr="00031F1D">
              <w:t>3.</w:t>
            </w:r>
            <w:r w:rsidRPr="00031F1D">
              <w:tab/>
              <w:t>Review compliance with terms and conditions and plan recovery action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2"/>
            </w:pPr>
            <w:r w:rsidRPr="00031F1D">
              <w:t>3.1</w:t>
            </w:r>
            <w:r w:rsidRPr="00031F1D">
              <w:t>.</w:t>
            </w:r>
            <w:r w:rsidRPr="00031F1D">
              <w:tab/>
            </w:r>
            <w:r w:rsidRPr="00031F1D">
              <w:rPr>
                <w:rStyle w:val="BoldandItalics"/>
              </w:rPr>
              <w:t>Clients</w:t>
            </w:r>
            <w:r w:rsidRPr="00031F1D">
              <w:t xml:space="preserve"> in default of trading terms are correctly identified according to organisation operating procedures and contacted promptly and courteously to make satisfactory arrangements to pay monies outstanding</w:t>
            </w:r>
          </w:p>
          <w:p w:rsidR="00000000" w:rsidRPr="00031F1D" w:rsidP="00031F1D">
            <w:pPr>
              <w:pStyle w:val="List2"/>
            </w:pPr>
            <w:r w:rsidRPr="00031F1D">
              <w:t>3.2.</w:t>
            </w:r>
            <w:r w:rsidRPr="00031F1D">
              <w:tab/>
              <w:t>Monies owing that constitute breaches of o</w:t>
            </w:r>
            <w:r w:rsidRPr="00031F1D">
              <w:t>rganisation credit policy are actioned in accordance with organisation policy and procedures</w:t>
            </w:r>
          </w:p>
          <w:p w:rsidR="00000000" w:rsidRPr="00031F1D" w:rsidP="00031F1D">
            <w:pPr>
              <w:pStyle w:val="List2"/>
            </w:pPr>
            <w:r w:rsidRPr="00031F1D">
              <w:t>3.3.</w:t>
            </w:r>
            <w:r w:rsidRPr="00031F1D">
              <w:tab/>
            </w:r>
            <w:r w:rsidRPr="00031F1D">
              <w:t>Previous activities and communication with clients are thoroughly reviewed to establish adequacy of follow-up procedures, and whether all usual organisation recovery avenues have been exhausted</w:t>
            </w:r>
          </w:p>
          <w:p w:rsidR="00000000" w:rsidP="00031F1D">
            <w:pPr>
              <w:pStyle w:val="List2"/>
              <w:rPr>
                <w:lang w:val="en-NZ"/>
              </w:rPr>
            </w:pPr>
            <w:r w:rsidRPr="00031F1D">
              <w:t>3.4.</w:t>
            </w:r>
            <w:r w:rsidRPr="00031F1D">
              <w:tab/>
              <w:t>Plans to pursue debt recovery or to initiate legal action</w:t>
            </w:r>
            <w:r w:rsidRPr="00031F1D">
              <w:t xml:space="preserve"> are developed with measures to collect monies completed in accordance with organisation policy, guidelines and timelines</w:t>
            </w:r>
          </w:p>
        </w:tc>
      </w:tr>
      <w:tr w:rsidTr="00977FD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List"/>
              <w:rPr>
                <w:lang w:val="en-NZ"/>
              </w:rPr>
            </w:pPr>
            <w:r w:rsidRPr="00031F1D">
              <w:t>4.</w:t>
            </w:r>
            <w:r w:rsidRPr="00031F1D">
              <w:tab/>
              <w:t>Prepare reports and file documentation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2"/>
            </w:pPr>
            <w:r w:rsidRPr="00031F1D">
              <w:t>4.1.</w:t>
            </w:r>
            <w:r w:rsidRPr="00031F1D">
              <w:tab/>
            </w:r>
            <w:r w:rsidRPr="00031F1D">
              <w:rPr>
                <w:rStyle w:val="BoldandItalics"/>
              </w:rPr>
              <w:t>Reports</w:t>
            </w:r>
            <w:r w:rsidRPr="00031F1D">
              <w:t xml:space="preserve"> are prepared which document accounts receivable, debt recovery type, cause and</w:t>
            </w:r>
            <w:r w:rsidRPr="00031F1D">
              <w:t xml:space="preserve"> </w:t>
            </w:r>
            <w:r w:rsidRPr="00031F1D">
              <w:rPr>
                <w:rStyle w:val="BoldandItalics"/>
              </w:rPr>
              <w:t>recovery plan</w:t>
            </w:r>
            <w:r w:rsidRPr="00031F1D">
              <w:t xml:space="preserve"> and distributed to supervisors, managers and other relevant parties</w:t>
            </w:r>
          </w:p>
          <w:p w:rsidR="00000000" w:rsidP="00031F1D">
            <w:pPr>
              <w:pStyle w:val="List2"/>
              <w:rPr>
                <w:lang w:val="en-NZ"/>
              </w:rPr>
            </w:pPr>
            <w:r w:rsidRPr="00031F1D">
              <w:t>4.2.</w:t>
            </w:r>
            <w:r w:rsidRPr="00031F1D">
              <w:tab/>
              <w:t>Documentation is filed promptly in accordance with organisation policy and procedures</w:t>
            </w:r>
          </w:p>
        </w:tc>
      </w:tr>
      <w:tr w:rsidTr="00977FD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List"/>
              <w:rPr>
                <w:lang w:val="en-NZ"/>
              </w:rPr>
            </w:pPr>
            <w:r w:rsidRPr="00031F1D">
              <w:t>5.</w:t>
            </w:r>
            <w:r w:rsidRPr="00031F1D">
              <w:tab/>
              <w:t>Distribute creditors invoices for authorisation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2"/>
            </w:pPr>
            <w:r w:rsidRPr="00031F1D">
              <w:t>5.1.</w:t>
            </w:r>
            <w:r w:rsidRPr="00031F1D">
              <w:tab/>
              <w:t>Invoice discrepancies are</w:t>
            </w:r>
            <w:r w:rsidRPr="00031F1D">
              <w:t xml:space="preserve"> identified, investigated and rectified and invoices encoded and recorded correctly</w:t>
            </w:r>
          </w:p>
          <w:p w:rsidR="00000000" w:rsidP="00031F1D">
            <w:pPr>
              <w:pStyle w:val="List2"/>
              <w:rPr>
                <w:lang w:val="en-NZ"/>
              </w:rPr>
            </w:pPr>
            <w:r w:rsidRPr="00031F1D">
              <w:t>5.2.</w:t>
            </w:r>
            <w:r w:rsidRPr="00031F1D">
              <w:tab/>
              <w:t xml:space="preserve">Authorisation for payment is requested from </w:t>
            </w:r>
            <w:r w:rsidRPr="00031F1D">
              <w:rPr>
                <w:rStyle w:val="BoldandItalics"/>
              </w:rPr>
              <w:t>appropriate personnel</w:t>
            </w:r>
          </w:p>
        </w:tc>
      </w:tr>
      <w:tr w:rsidTr="00977FD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List"/>
              <w:rPr>
                <w:lang w:val="en-NZ"/>
              </w:rPr>
            </w:pPr>
            <w:r w:rsidRPr="00031F1D">
              <w:t>6.</w:t>
            </w:r>
            <w:r w:rsidRPr="00031F1D">
              <w:tab/>
              <w:t>Remit payments to creditors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2"/>
            </w:pPr>
            <w:r w:rsidRPr="00031F1D">
              <w:t>6.1.</w:t>
            </w:r>
            <w:r w:rsidRPr="00031F1D">
              <w:tab/>
              <w:t xml:space="preserve">Cheque requisition is correctly drawn up and authorised and the </w:t>
            </w:r>
            <w:r w:rsidRPr="00031F1D">
              <w:t>correct general ledger to be drawn against identified</w:t>
            </w:r>
          </w:p>
          <w:p w:rsidR="00000000" w:rsidRPr="00031F1D" w:rsidP="00031F1D">
            <w:pPr>
              <w:pStyle w:val="List2"/>
            </w:pPr>
            <w:r w:rsidRPr="00031F1D">
              <w:t>6.2.</w:t>
            </w:r>
            <w:r w:rsidRPr="00031F1D">
              <w:tab/>
              <w:t xml:space="preserve">Correct account is debited in a timely manner and in accordance with </w:t>
            </w:r>
            <w:r w:rsidRPr="00031F1D">
              <w:rPr>
                <w:rStyle w:val="BoldandItalics"/>
              </w:rPr>
              <w:t>legislative and compliance requirements</w:t>
            </w:r>
          </w:p>
          <w:p w:rsidR="00000000" w:rsidP="00031F1D">
            <w:pPr>
              <w:pStyle w:val="List2"/>
              <w:rPr>
                <w:lang w:val="en-NZ"/>
              </w:rPr>
            </w:pPr>
            <w:r w:rsidRPr="00031F1D">
              <w:t>6.3.</w:t>
            </w:r>
            <w:r w:rsidRPr="00031F1D">
              <w:tab/>
              <w:t>Creditors payments are prepared in an accurate manner</w:t>
            </w:r>
          </w:p>
        </w:tc>
      </w:tr>
      <w:tr w:rsidTr="00977FD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List"/>
              <w:rPr>
                <w:lang w:val="en-NZ"/>
              </w:rPr>
            </w:pPr>
            <w:r w:rsidRPr="00031F1D">
              <w:t>7.</w:t>
            </w:r>
            <w:r w:rsidRPr="00031F1D">
              <w:tab/>
              <w:t>Prepare accounts paid rep</w:t>
            </w:r>
            <w:r w:rsidRPr="00031F1D">
              <w:t>ort and reconcile balances outstanding</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2"/>
            </w:pPr>
            <w:r w:rsidRPr="00031F1D">
              <w:t>7.1.</w:t>
            </w:r>
            <w:r w:rsidRPr="00031F1D">
              <w:tab/>
              <w:t>Data is collected and entered onto spreadsheet giving details of creditors and amounts paid and a report prepared for ratification by appropriate management</w:t>
            </w:r>
          </w:p>
          <w:p w:rsidR="00000000" w:rsidRPr="00031F1D" w:rsidP="00031F1D">
            <w:pPr>
              <w:pStyle w:val="List2"/>
            </w:pPr>
            <w:r w:rsidRPr="00031F1D">
              <w:t>7.2.</w:t>
            </w:r>
            <w:r w:rsidRPr="00031F1D">
              <w:tab/>
              <w:t>Statements of outstanding balances are sought from</w:t>
            </w:r>
            <w:r w:rsidRPr="00031F1D">
              <w:t xml:space="preserve"> suppliers where required and balances outstanding are reconciled to invoices received</w:t>
            </w:r>
          </w:p>
        </w:tc>
      </w:tr>
    </w:tbl>
    <w:p w:rsidR="00000000" w:rsidRPr="00031F1D" w:rsidP="00031F1D">
      <w:pPr>
        <w:pStyle w:val="BodyText"/>
      </w:pPr>
    </w:p>
    <w:p w:rsidR="00000000" w:rsidRPr="00031F1D" w:rsidP="00031F1D">
      <w:pPr>
        <w:pStyle w:val="AllowPageBreak"/>
      </w:pPr>
    </w:p>
    <w:p w:rsidR="00000000" w:rsidRPr="00031F1D" w:rsidP="00031F1D">
      <w:pPr>
        <w:pStyle w:val="Heading1"/>
      </w:pPr>
      <w:bookmarkStart w:id="9" w:name="O_76991"/>
      <w:bookmarkEnd w:id="9"/>
      <w:r w:rsidRPr="00031F1D">
        <w:t>Required Skills and Knowledge</w:t>
      </w:r>
    </w:p>
    <w:tbl>
      <w:tblPr>
        <w:tblW w:w="0" w:type="auto"/>
        <w:tblLayout w:type="fixed"/>
        <w:tblCellMar>
          <w:left w:w="62" w:type="dxa"/>
          <w:right w:w="62" w:type="dxa"/>
        </w:tblCellMar>
        <w:tblLook w:val="0000"/>
      </w:tblPr>
      <w:tblGrid>
        <w:gridCol w:w="8522"/>
      </w:tblGrid>
      <w:tr w:rsidTr="00977F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REQUIRED SKILLS AND KNOWLEDGE</w:t>
            </w:r>
          </w:p>
        </w:tc>
      </w:tr>
      <w:tr w:rsidTr="00977F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t>This section describes the skills and knowledge required for this unit.</w:t>
            </w:r>
          </w:p>
        </w:tc>
      </w:tr>
      <w:tr w:rsidTr="00977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Required skills</w:t>
            </w:r>
          </w:p>
        </w:tc>
      </w:tr>
      <w:tr w:rsidTr="00977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Bullet"/>
            </w:pPr>
            <w:r w:rsidRPr="00031F1D">
              <w:t>communication skills to:</w:t>
            </w:r>
          </w:p>
          <w:p w:rsidR="00000000" w:rsidRPr="00031F1D" w:rsidP="00031F1D">
            <w:pPr>
              <w:pStyle w:val="ListBullet2"/>
            </w:pPr>
            <w:r w:rsidRPr="00031F1D">
              <w:t>determine and confirm work requirements and interact with clients, using questioning and active listening as required</w:t>
            </w:r>
          </w:p>
          <w:p w:rsidR="00000000" w:rsidRPr="00031F1D" w:rsidP="00031F1D">
            <w:pPr>
              <w:pStyle w:val="ListBullet2"/>
            </w:pPr>
            <w:r w:rsidRPr="00031F1D">
              <w:t>share information, listen and understand</w:t>
            </w:r>
          </w:p>
          <w:p w:rsidR="00000000" w:rsidRPr="00031F1D" w:rsidP="00031F1D">
            <w:pPr>
              <w:pStyle w:val="ListBullet2"/>
            </w:pPr>
            <w:r w:rsidRPr="00031F1D">
              <w:t>use language and concepts appropriate to cultural differences</w:t>
            </w:r>
          </w:p>
          <w:p w:rsidR="00000000" w:rsidRPr="00031F1D" w:rsidP="00031F1D">
            <w:pPr>
              <w:pStyle w:val="ListBullet"/>
            </w:pPr>
            <w:r w:rsidRPr="00031F1D">
              <w:t>well-developed numeracy skills to make financial calculations</w:t>
            </w:r>
          </w:p>
          <w:p w:rsidR="00000000" w:rsidRPr="00031F1D" w:rsidP="00031F1D">
            <w:pPr>
              <w:pStyle w:val="ListBullet"/>
            </w:pPr>
            <w:r w:rsidRPr="00031F1D">
              <w:t>IT skills for accessing and using accounting systems, spreadsheets and databases</w:t>
            </w:r>
          </w:p>
          <w:p w:rsidR="00000000" w:rsidRPr="00031F1D" w:rsidP="00031F1D">
            <w:pPr>
              <w:pStyle w:val="ListBullet"/>
            </w:pPr>
            <w:r w:rsidRPr="00031F1D">
              <w:t>evaluation skills to determine payment status and any discrepancies</w:t>
            </w:r>
          </w:p>
          <w:p w:rsidR="00000000" w:rsidRPr="00031F1D" w:rsidP="00031F1D">
            <w:pPr>
              <w:pStyle w:val="ListBullet"/>
            </w:pPr>
            <w:r w:rsidRPr="00031F1D">
              <w:t>literacy skills for:</w:t>
            </w:r>
          </w:p>
          <w:p w:rsidR="00000000" w:rsidRPr="00031F1D" w:rsidP="00031F1D">
            <w:pPr>
              <w:pStyle w:val="ListBullet2"/>
            </w:pPr>
            <w:r w:rsidRPr="00031F1D">
              <w:t>data analysis and entry</w:t>
            </w:r>
          </w:p>
          <w:p w:rsidR="00000000" w:rsidRPr="00031F1D" w:rsidP="00031F1D">
            <w:pPr>
              <w:pStyle w:val="ListBullet2"/>
            </w:pPr>
            <w:r w:rsidRPr="00031F1D">
              <w:t>drafting reports and letters</w:t>
            </w:r>
          </w:p>
          <w:p w:rsidR="00000000" w:rsidP="00031F1D">
            <w:pPr>
              <w:pStyle w:val="ListBullet"/>
              <w:rPr>
                <w:lang w:val="en-NZ"/>
              </w:rPr>
            </w:pPr>
            <w:r w:rsidRPr="00031F1D">
              <w:t>organisational skills, including the ability to plan and sequence work and maintain accurate records</w:t>
            </w:r>
          </w:p>
        </w:tc>
      </w:tr>
      <w:tr w:rsidTr="00977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Required knowledge</w:t>
            </w:r>
          </w:p>
        </w:tc>
      </w:tr>
      <w:tr w:rsidTr="00977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Bullet"/>
            </w:pPr>
            <w:r w:rsidRPr="00031F1D">
              <w:t>accounting principles and practices</w:t>
            </w:r>
          </w:p>
          <w:p w:rsidR="00000000" w:rsidRPr="00031F1D" w:rsidP="00031F1D">
            <w:pPr>
              <w:pStyle w:val="ListBullet"/>
            </w:pPr>
            <w:r w:rsidRPr="00031F1D">
              <w:t>accounting systems</w:t>
            </w:r>
          </w:p>
          <w:p w:rsidR="00000000" w:rsidRPr="00031F1D" w:rsidP="00031F1D">
            <w:pPr>
              <w:pStyle w:val="ListBullet"/>
            </w:pPr>
            <w:r w:rsidRPr="00031F1D">
              <w:t>awareness of legal systems and procedures and relevant acts or regulations</w:t>
            </w:r>
          </w:p>
          <w:p w:rsidR="00000000" w:rsidRPr="00031F1D" w:rsidP="00031F1D">
            <w:pPr>
              <w:pStyle w:val="ListBullet"/>
            </w:pPr>
            <w:r w:rsidRPr="00031F1D">
              <w:t>industry codes of practice</w:t>
            </w:r>
          </w:p>
          <w:p w:rsidR="00000000" w:rsidRPr="00031F1D" w:rsidP="00031F1D">
            <w:pPr>
              <w:pStyle w:val="ListBullet"/>
            </w:pPr>
            <w:r w:rsidRPr="00031F1D">
              <w:t>industry compliance requirements</w:t>
            </w:r>
          </w:p>
          <w:p w:rsidR="00000000" w:rsidRPr="00031F1D" w:rsidP="00031F1D">
            <w:pPr>
              <w:pStyle w:val="ListBullet"/>
            </w:pPr>
            <w:r w:rsidRPr="00031F1D">
              <w:t>organisation policy, guidelines and procedures</w:t>
            </w:r>
          </w:p>
          <w:p w:rsidR="00000000" w:rsidRPr="00031F1D" w:rsidP="00031F1D">
            <w:pPr>
              <w:pStyle w:val="ListBullet"/>
            </w:pPr>
            <w:r w:rsidRPr="00031F1D">
              <w:t>use of financial spreadsheets</w:t>
            </w:r>
          </w:p>
        </w:tc>
      </w:tr>
    </w:tbl>
    <w:p w:rsidR="00000000" w:rsidRPr="00031F1D" w:rsidP="00031F1D">
      <w:pPr>
        <w:pStyle w:val="BodyText"/>
      </w:pPr>
    </w:p>
    <w:p w:rsidR="00000000" w:rsidRPr="00031F1D" w:rsidP="00031F1D">
      <w:pPr>
        <w:pStyle w:val="AllowPageBreak"/>
      </w:pPr>
    </w:p>
    <w:p w:rsidR="00000000" w:rsidRPr="00031F1D" w:rsidP="00031F1D">
      <w:pPr>
        <w:pStyle w:val="Heading1"/>
      </w:pPr>
      <w:bookmarkStart w:id="10" w:name="O_76992"/>
      <w:bookmarkEnd w:id="10"/>
      <w:r w:rsidRPr="00031F1D">
        <w:t>Evidence Guide</w:t>
      </w:r>
    </w:p>
    <w:tbl>
      <w:tblPr>
        <w:tblW w:w="9570" w:type="dxa"/>
        <w:tblLayout w:type="fixed"/>
        <w:tblCellMar>
          <w:left w:w="62" w:type="dxa"/>
          <w:right w:w="62" w:type="dxa"/>
        </w:tblCellMar>
        <w:tblLook w:val="0000"/>
      </w:tblPr>
      <w:tblGrid>
        <w:gridCol w:w="2808"/>
        <w:gridCol w:w="6762"/>
      </w:tblGrid>
      <w:tr w:rsidTr="00977F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EVIDENCE GUI</w:t>
            </w:r>
            <w:r w:rsidRPr="00031F1D">
              <w:rPr>
                <w:rStyle w:val="SpecialBold"/>
              </w:rPr>
              <w:t>DE</w:t>
            </w:r>
          </w:p>
        </w:tc>
      </w:tr>
      <w:tr w:rsidTr="00977F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t>The Evidence Guide provides advice on assessment and must be read in conjunction with the performance criteria, required skills and knowledge, range statement and the Assessment Guidelines for the Training Package.</w:t>
            </w:r>
          </w:p>
        </w:tc>
      </w:tr>
      <w:tr w:rsidTr="00977FD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p>
        </w:tc>
      </w:tr>
      <w:tr w:rsidTr="00977FD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BodyText"/>
            </w:pPr>
            <w:r w:rsidRPr="00031F1D">
              <w:t>Evidence of the ability to:</w:t>
            </w:r>
          </w:p>
          <w:p w:rsidR="00000000" w:rsidRPr="00031F1D" w:rsidP="00031F1D">
            <w:pPr>
              <w:pStyle w:val="ListBullet"/>
            </w:pPr>
            <w:r w:rsidRPr="00031F1D">
              <w:t xml:space="preserve">interpret and comply with organisation policies and procedures and industry compliance requirements for monitoring accounts </w:t>
            </w:r>
          </w:p>
          <w:p w:rsidR="00000000" w:rsidRPr="00031F1D" w:rsidP="00031F1D">
            <w:pPr>
              <w:pStyle w:val="ListBullet"/>
            </w:pPr>
            <w:r w:rsidRPr="00031F1D">
              <w:t xml:space="preserve">identify bad and doubtful debts in a timely manner and plan effective recovery actions </w:t>
            </w:r>
          </w:p>
          <w:p w:rsidR="00000000" w:rsidRPr="00031F1D" w:rsidP="00031F1D">
            <w:pPr>
              <w:pStyle w:val="ListBullet"/>
            </w:pPr>
            <w:r w:rsidRPr="00031F1D">
              <w:t>follow bank account reconciliation processes</w:t>
            </w:r>
          </w:p>
          <w:p w:rsidR="00000000" w:rsidP="00031F1D">
            <w:pPr>
              <w:pStyle w:val="ListBullet"/>
              <w:rPr>
                <w:lang w:val="en-NZ"/>
              </w:rPr>
            </w:pPr>
            <w:r w:rsidRPr="00031F1D">
              <w:t>use relevant data entry systems accurately.</w:t>
            </w:r>
          </w:p>
        </w:tc>
      </w:tr>
      <w:tr w:rsidTr="00977FD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BodyText"/>
            </w:pPr>
            <w:r w:rsidRPr="00031F1D">
              <w:t>Assessment must ensure:</w:t>
            </w:r>
          </w:p>
          <w:p w:rsidR="00000000" w:rsidRPr="00031F1D" w:rsidP="00031F1D">
            <w:pPr>
              <w:pStyle w:val="ListBullet"/>
            </w:pPr>
            <w:r w:rsidRPr="00031F1D">
              <w:t>comp</w:t>
            </w:r>
            <w:r w:rsidRPr="00031F1D">
              <w:t>etency is demonstrated in the context of the financial services work environment and conditions specified in the range statement either in a relevant workplace or a closely simulated work environment</w:t>
            </w:r>
          </w:p>
          <w:p w:rsidR="00000000" w:rsidRPr="00031F1D" w:rsidP="00031F1D">
            <w:pPr>
              <w:pStyle w:val="ListBullet"/>
            </w:pPr>
            <w:r w:rsidRPr="00031F1D">
              <w:t>access to and the use of a range of common office equipm</w:t>
            </w:r>
            <w:r w:rsidRPr="00031F1D">
              <w:t>ent, technology, software and consumables</w:t>
            </w:r>
          </w:p>
          <w:p w:rsidR="00000000" w:rsidP="00031F1D">
            <w:pPr>
              <w:pStyle w:val="ListBullet"/>
              <w:rPr>
                <w:lang w:val="en-NZ"/>
              </w:rPr>
            </w:pPr>
            <w:r w:rsidRPr="00031F1D">
              <w:t>access to an integrated financial software system and data.</w:t>
            </w:r>
          </w:p>
        </w:tc>
      </w:tr>
      <w:tr w:rsidTr="00977FD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BodyText"/>
            </w:pPr>
            <w:r w:rsidRPr="00031F1D">
              <w:t>A range of assessment methods should be used to assess practical skills and knowledge. The following examples, in combination, are a</w:t>
            </w:r>
            <w:r w:rsidRPr="00031F1D">
              <w:t>ppropriate for this unit:</w:t>
            </w:r>
          </w:p>
          <w:p w:rsidR="00000000" w:rsidRPr="00031F1D" w:rsidP="00031F1D">
            <w:pPr>
              <w:pStyle w:val="ListBullet"/>
            </w:pPr>
            <w:r w:rsidRPr="00031F1D">
              <w:t>evaluating an integrated activity which combines the elements of competency for the unit or a cluster of related units of competency</w:t>
            </w:r>
          </w:p>
          <w:p w:rsidR="00000000" w:rsidRPr="00031F1D" w:rsidP="00031F1D">
            <w:pPr>
              <w:pStyle w:val="ListBullet"/>
            </w:pPr>
            <w:r w:rsidRPr="00031F1D">
              <w:t xml:space="preserve">verbal or written questioning on underpinning knowledge and skills </w:t>
            </w:r>
          </w:p>
          <w:p w:rsidR="00000000" w:rsidRPr="00031F1D" w:rsidP="00031F1D">
            <w:pPr>
              <w:pStyle w:val="ListBullet"/>
            </w:pPr>
            <w:r w:rsidRPr="00031F1D">
              <w:t>evaluating samples of work</w:t>
            </w:r>
          </w:p>
          <w:p w:rsidR="00000000" w:rsidP="00031F1D">
            <w:pPr>
              <w:pStyle w:val="ListBullet"/>
              <w:rPr>
                <w:lang w:val="en-NZ"/>
              </w:rPr>
            </w:pPr>
            <w:r w:rsidRPr="00031F1D">
              <w:t>accessing and validating third party reports.</w:t>
            </w:r>
          </w:p>
        </w:tc>
      </w:tr>
      <w:tr w:rsidTr="00977FD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BodyText"/>
            </w:pPr>
          </w:p>
        </w:tc>
      </w:tr>
    </w:tbl>
    <w:p w:rsidR="00000000" w:rsidRPr="00031F1D" w:rsidP="00031F1D">
      <w:pPr>
        <w:pStyle w:val="BodyText"/>
      </w:pPr>
    </w:p>
    <w:p w:rsidR="00000000" w:rsidRPr="00031F1D" w:rsidP="00031F1D">
      <w:pPr>
        <w:pStyle w:val="AllowPageBreak"/>
      </w:pPr>
    </w:p>
    <w:p w:rsidR="00000000" w:rsidRPr="00031F1D" w:rsidP="00031F1D">
      <w:pPr>
        <w:pStyle w:val="Heading1"/>
      </w:pPr>
      <w:bookmarkStart w:id="11" w:name="O_76993"/>
      <w:bookmarkEnd w:id="11"/>
      <w:r w:rsidRPr="00031F1D">
        <w:t>Range Statement</w:t>
      </w:r>
    </w:p>
    <w:tbl>
      <w:tblPr>
        <w:tblW w:w="0" w:type="auto"/>
        <w:tblLayout w:type="fixed"/>
        <w:tblCellMar>
          <w:left w:w="62" w:type="dxa"/>
          <w:right w:w="62" w:type="dxa"/>
        </w:tblCellMar>
        <w:tblLook w:val="0000"/>
      </w:tblPr>
      <w:tblGrid>
        <w:gridCol w:w="2496"/>
        <w:gridCol w:w="6026"/>
      </w:tblGrid>
      <w:tr w:rsidTr="00977F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RANGE STATEMENT</w:t>
            </w:r>
          </w:p>
        </w:tc>
      </w:tr>
      <w:tr w:rsidTr="00977F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t>The range statement relates to the unit of competency as a whole. It allows for different work environments and situations that may affect performance. Bold italicised wording, if used in the performance criteria, is detailed below. Essential operating con</w:t>
            </w:r>
            <w:r w:rsidRPr="00031F1D">
              <w:t>ditions that may be present with training and assessment (depending on the work situation, needs of the candidate, accessibility of the item, and local industry and regional contexts) may also be included.</w:t>
            </w:r>
          </w:p>
        </w:tc>
      </w:tr>
      <w:tr w:rsidTr="00977FDA">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BoldandItalics"/>
              </w:rPr>
              <w:t>Receipts</w:t>
            </w:r>
            <w:r w:rsidRPr="00031F1D">
              <w:t xml:space="preserve"> may include:</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Bullet"/>
            </w:pPr>
            <w:r w:rsidRPr="00031F1D">
              <w:t>bankers orders</w:t>
            </w:r>
          </w:p>
          <w:p w:rsidR="00000000" w:rsidRPr="00031F1D" w:rsidP="00031F1D">
            <w:pPr>
              <w:pStyle w:val="ListBullet"/>
            </w:pPr>
            <w:r w:rsidRPr="00031F1D">
              <w:t>cash</w:t>
            </w:r>
          </w:p>
          <w:p w:rsidR="00000000" w:rsidRPr="00031F1D" w:rsidP="00031F1D">
            <w:pPr>
              <w:pStyle w:val="ListBullet"/>
            </w:pPr>
            <w:r w:rsidRPr="00031F1D">
              <w:t xml:space="preserve">cash </w:t>
            </w:r>
            <w:r w:rsidRPr="00031F1D">
              <w:t>journal entry</w:t>
            </w:r>
          </w:p>
          <w:p w:rsidR="00000000" w:rsidRPr="00031F1D" w:rsidP="00031F1D">
            <w:pPr>
              <w:pStyle w:val="ListBullet"/>
            </w:pPr>
            <w:r w:rsidRPr="00031F1D">
              <w:t>cheques:</w:t>
            </w:r>
          </w:p>
          <w:p w:rsidR="00000000" w:rsidRPr="00031F1D" w:rsidP="00031F1D">
            <w:pPr>
              <w:pStyle w:val="ListBullet2"/>
            </w:pPr>
            <w:r w:rsidRPr="00031F1D">
              <w:t xml:space="preserve">personal </w:t>
            </w:r>
          </w:p>
          <w:p w:rsidR="00000000" w:rsidRPr="00031F1D" w:rsidP="00031F1D">
            <w:pPr>
              <w:pStyle w:val="ListBullet2"/>
            </w:pPr>
            <w:r w:rsidRPr="00031F1D">
              <w:t>bank</w:t>
            </w:r>
          </w:p>
          <w:p w:rsidR="00000000" w:rsidRPr="00031F1D" w:rsidP="00031F1D">
            <w:pPr>
              <w:pStyle w:val="ListBullet"/>
            </w:pPr>
            <w:r w:rsidRPr="00031F1D">
              <w:t>credit cards:</w:t>
            </w:r>
          </w:p>
          <w:p w:rsidR="00000000" w:rsidRPr="00031F1D" w:rsidP="00031F1D">
            <w:pPr>
              <w:pStyle w:val="ListBullet2"/>
            </w:pPr>
            <w:r w:rsidRPr="00031F1D">
              <w:t xml:space="preserve">direct </w:t>
            </w:r>
          </w:p>
          <w:p w:rsidR="00000000" w:rsidRPr="00031F1D" w:rsidP="00031F1D">
            <w:pPr>
              <w:pStyle w:val="ListBullet2"/>
            </w:pPr>
            <w:r w:rsidRPr="00031F1D">
              <w:t xml:space="preserve">mail </w:t>
            </w:r>
          </w:p>
          <w:p w:rsidR="00000000" w:rsidRPr="00031F1D" w:rsidP="00031F1D">
            <w:pPr>
              <w:pStyle w:val="ListBullet2"/>
            </w:pPr>
            <w:r w:rsidRPr="00031F1D">
              <w:t>telephone</w:t>
            </w:r>
          </w:p>
          <w:p w:rsidR="00000000" w:rsidRPr="00031F1D" w:rsidP="00031F1D">
            <w:pPr>
              <w:pStyle w:val="ListBullet"/>
            </w:pPr>
            <w:r w:rsidRPr="00031F1D">
              <w:t>direct debits</w:t>
            </w:r>
          </w:p>
          <w:p w:rsidR="00000000" w:rsidRPr="00031F1D" w:rsidP="00031F1D">
            <w:pPr>
              <w:pStyle w:val="ListBullet"/>
            </w:pPr>
            <w:r w:rsidRPr="00031F1D">
              <w:t>direct drawing</w:t>
            </w:r>
          </w:p>
          <w:p w:rsidR="00000000" w:rsidP="00031F1D">
            <w:pPr>
              <w:pStyle w:val="ListBullet"/>
              <w:rPr>
                <w:lang w:val="en-NZ"/>
              </w:rPr>
            </w:pPr>
            <w:r w:rsidRPr="00031F1D">
              <w:t>postal order.</w:t>
            </w:r>
          </w:p>
        </w:tc>
      </w:tr>
      <w:tr w:rsidTr="00977FDA">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BoldandItalics"/>
              </w:rPr>
              <w:t>Discrepancies between monies owed and monies paid</w:t>
            </w:r>
            <w:r w:rsidRPr="00031F1D">
              <w:t xml:space="preserve"> may occur as a result of:</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Bullet"/>
            </w:pPr>
            <w:r w:rsidRPr="00031F1D">
              <w:t>deduction of brokers or agents commissions</w:t>
            </w:r>
          </w:p>
          <w:p w:rsidR="00000000" w:rsidRPr="00031F1D" w:rsidP="00031F1D">
            <w:pPr>
              <w:pStyle w:val="ListBullet"/>
            </w:pPr>
            <w:r w:rsidRPr="00031F1D">
              <w:t>incorrect account allocation</w:t>
            </w:r>
          </w:p>
          <w:p w:rsidR="00000000" w:rsidRPr="00031F1D" w:rsidP="00031F1D">
            <w:pPr>
              <w:pStyle w:val="ListBullet"/>
            </w:pPr>
            <w:r w:rsidRPr="00031F1D">
              <w:t>key stroke errors</w:t>
            </w:r>
          </w:p>
          <w:p w:rsidR="00000000" w:rsidRPr="00031F1D" w:rsidP="00031F1D">
            <w:pPr>
              <w:pStyle w:val="ListBullet"/>
            </w:pPr>
            <w:r w:rsidRPr="00031F1D">
              <w:t>overpayments</w:t>
            </w:r>
          </w:p>
          <w:p w:rsidR="00000000" w:rsidRPr="00031F1D" w:rsidP="00031F1D">
            <w:pPr>
              <w:pStyle w:val="ListBullet"/>
            </w:pPr>
            <w:r w:rsidRPr="00031F1D">
              <w:t>part payments</w:t>
            </w:r>
          </w:p>
          <w:p w:rsidR="00000000" w:rsidRPr="00031F1D" w:rsidP="00031F1D">
            <w:pPr>
              <w:pStyle w:val="ListBullet"/>
            </w:pPr>
            <w:r w:rsidRPr="00031F1D">
              <w:t>system errors</w:t>
            </w:r>
          </w:p>
          <w:p w:rsidR="00000000" w:rsidRPr="00031F1D" w:rsidP="00031F1D">
            <w:pPr>
              <w:pStyle w:val="ListBullet"/>
            </w:pPr>
            <w:r w:rsidRPr="00031F1D">
              <w:t>termination of policies</w:t>
            </w:r>
          </w:p>
          <w:p w:rsidR="00000000" w:rsidP="00031F1D">
            <w:pPr>
              <w:pStyle w:val="ListBullet"/>
              <w:rPr>
                <w:lang w:val="en-NZ"/>
              </w:rPr>
            </w:pPr>
            <w:r w:rsidRPr="00031F1D">
              <w:t>underpayments.</w:t>
            </w:r>
          </w:p>
        </w:tc>
      </w:tr>
      <w:tr w:rsidTr="00977FDA">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BoldandItalics"/>
              </w:rPr>
              <w:t>Organisation policy</w:t>
            </w:r>
            <w:r w:rsidRPr="00031F1D">
              <w:t xml:space="preserve">, </w:t>
            </w:r>
            <w:r w:rsidRPr="00031F1D">
              <w:rPr>
                <w:rStyle w:val="BoldandItalics"/>
              </w:rPr>
              <w:t>procedures and guidelines</w:t>
            </w:r>
            <w:r w:rsidRPr="00031F1D">
              <w:t xml:space="preserve"> may include:</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Bullet"/>
            </w:pPr>
            <w:r w:rsidRPr="00031F1D">
              <w:t>computer system documentation</w:t>
            </w:r>
          </w:p>
          <w:p w:rsidR="00000000" w:rsidRPr="00031F1D" w:rsidP="00031F1D">
            <w:pPr>
              <w:pStyle w:val="ListBullet"/>
            </w:pPr>
            <w:r w:rsidRPr="00031F1D">
              <w:t>internal control guidelines</w:t>
            </w:r>
          </w:p>
          <w:p w:rsidR="00000000" w:rsidRPr="00031F1D" w:rsidP="00031F1D">
            <w:pPr>
              <w:pStyle w:val="ListBullet"/>
            </w:pPr>
            <w:r w:rsidRPr="00031F1D">
              <w:t>legal obl</w:t>
            </w:r>
            <w:r w:rsidRPr="00031F1D">
              <w:t>igations</w:t>
            </w:r>
          </w:p>
          <w:p w:rsidR="00000000" w:rsidRPr="00031F1D" w:rsidP="00031F1D">
            <w:pPr>
              <w:pStyle w:val="ListBullet"/>
            </w:pPr>
            <w:r w:rsidRPr="00031F1D">
              <w:t>operations manuals</w:t>
            </w:r>
          </w:p>
          <w:p w:rsidR="00000000" w:rsidRPr="00031F1D" w:rsidP="00031F1D">
            <w:pPr>
              <w:pStyle w:val="ListBullet"/>
            </w:pPr>
            <w:r w:rsidRPr="00031F1D">
              <w:t>overall organisation goals and objectives</w:t>
            </w:r>
          </w:p>
          <w:p w:rsidR="00000000" w:rsidRPr="00031F1D" w:rsidP="00031F1D">
            <w:pPr>
              <w:pStyle w:val="ListBullet"/>
            </w:pPr>
            <w:r w:rsidRPr="00031F1D">
              <w:t>suspension of credit facilities</w:t>
            </w:r>
          </w:p>
          <w:p w:rsidR="00000000" w:rsidP="00031F1D">
            <w:pPr>
              <w:pStyle w:val="ListBullet"/>
              <w:rPr>
                <w:lang w:val="en-NZ"/>
              </w:rPr>
            </w:pPr>
            <w:r w:rsidRPr="00031F1D">
              <w:t>trading terms and credit limits.</w:t>
            </w:r>
          </w:p>
        </w:tc>
      </w:tr>
      <w:tr w:rsidTr="00977FDA">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BoldandItalics"/>
              </w:rPr>
              <w:t>Bad or doubtful debts</w:t>
            </w:r>
            <w:r w:rsidRPr="00031F1D">
              <w:t xml:space="preserve"> are identified through:</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Bullet"/>
            </w:pPr>
            <w:r w:rsidRPr="00031F1D">
              <w:t>Australian Securities and Investments Commission (ASIC) action</w:t>
            </w:r>
          </w:p>
          <w:p w:rsidR="00000000" w:rsidRPr="00031F1D" w:rsidP="00031F1D">
            <w:pPr>
              <w:pStyle w:val="ListBullet"/>
            </w:pPr>
            <w:r w:rsidRPr="00031F1D">
              <w:t>banks forgoing overdrafts</w:t>
            </w:r>
          </w:p>
          <w:p w:rsidR="00000000" w:rsidRPr="00031F1D" w:rsidP="00031F1D">
            <w:pPr>
              <w:pStyle w:val="ListBullet"/>
            </w:pPr>
            <w:r w:rsidRPr="00031F1D">
              <w:t>closure of business</w:t>
            </w:r>
          </w:p>
          <w:p w:rsidR="00000000" w:rsidRPr="00031F1D" w:rsidP="00031F1D">
            <w:pPr>
              <w:pStyle w:val="ListBullet"/>
            </w:pPr>
            <w:r w:rsidRPr="00031F1D">
              <w:t>dishonoured cheques</w:t>
            </w:r>
          </w:p>
          <w:p w:rsidR="00000000" w:rsidRPr="00031F1D" w:rsidP="00031F1D">
            <w:pPr>
              <w:pStyle w:val="ListBullet"/>
            </w:pPr>
            <w:r w:rsidRPr="00031F1D">
              <w:t>gazette listings</w:t>
            </w:r>
          </w:p>
          <w:p w:rsidR="00000000" w:rsidRPr="00031F1D" w:rsidP="00031F1D">
            <w:pPr>
              <w:pStyle w:val="ListBullet"/>
            </w:pPr>
            <w:r w:rsidRPr="00031F1D">
              <w:t>letters from solicitors or accountants</w:t>
            </w:r>
          </w:p>
          <w:p w:rsidR="00000000" w:rsidRPr="00031F1D" w:rsidP="00031F1D">
            <w:pPr>
              <w:pStyle w:val="ListBullet"/>
            </w:pPr>
            <w:r w:rsidRPr="00031F1D">
              <w:t>notices of administration</w:t>
            </w:r>
          </w:p>
          <w:p w:rsidR="00000000" w:rsidRPr="00031F1D" w:rsidP="00031F1D">
            <w:pPr>
              <w:pStyle w:val="ListBullet"/>
            </w:pPr>
            <w:r w:rsidRPr="00031F1D">
              <w:t>returned mail</w:t>
            </w:r>
          </w:p>
          <w:p w:rsidR="00000000" w:rsidRPr="00031F1D" w:rsidP="00031F1D">
            <w:pPr>
              <w:pStyle w:val="ListBullet"/>
            </w:pPr>
            <w:r w:rsidRPr="00031F1D">
              <w:t>sheriff notices or advertisements</w:t>
            </w:r>
          </w:p>
          <w:p w:rsidR="00000000" w:rsidP="00031F1D">
            <w:pPr>
              <w:pStyle w:val="ListBullet"/>
              <w:rPr>
                <w:lang w:val="en-NZ"/>
              </w:rPr>
            </w:pPr>
            <w:r w:rsidRPr="00031F1D">
              <w:t>utilities being cut off.</w:t>
            </w:r>
          </w:p>
        </w:tc>
      </w:tr>
      <w:tr w:rsidTr="00977FDA">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BoldandItalics"/>
              </w:rPr>
              <w:t>Clients</w:t>
            </w:r>
            <w:r w:rsidRPr="00031F1D">
              <w:t xml:space="preserve"> may include:</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Bullet"/>
            </w:pPr>
            <w:r w:rsidRPr="00031F1D">
              <w:t>accountants</w:t>
            </w:r>
          </w:p>
          <w:p w:rsidR="00000000" w:rsidRPr="00031F1D" w:rsidP="00031F1D">
            <w:pPr>
              <w:pStyle w:val="ListBullet"/>
            </w:pPr>
            <w:r w:rsidRPr="00031F1D">
              <w:t>agents</w:t>
            </w:r>
          </w:p>
          <w:p w:rsidR="00000000" w:rsidRPr="00031F1D" w:rsidP="00031F1D">
            <w:pPr>
              <w:pStyle w:val="ListBullet"/>
            </w:pPr>
            <w:r w:rsidRPr="00031F1D">
              <w:t>brokers</w:t>
            </w:r>
          </w:p>
          <w:p w:rsidR="00000000" w:rsidRPr="00031F1D" w:rsidP="00031F1D">
            <w:pPr>
              <w:pStyle w:val="ListBullet"/>
            </w:pPr>
            <w:r w:rsidRPr="00031F1D">
              <w:t>customers</w:t>
            </w:r>
          </w:p>
          <w:p w:rsidR="00000000" w:rsidRPr="00031F1D" w:rsidP="00031F1D">
            <w:pPr>
              <w:pStyle w:val="ListBullet"/>
            </w:pPr>
            <w:r w:rsidRPr="00031F1D">
              <w:t>intermediaries</w:t>
            </w:r>
          </w:p>
          <w:p w:rsidR="00000000" w:rsidRPr="00031F1D" w:rsidP="00031F1D">
            <w:pPr>
              <w:pStyle w:val="ListBullet"/>
            </w:pPr>
            <w:r w:rsidRPr="00031F1D">
              <w:t>policy holders</w:t>
            </w:r>
          </w:p>
          <w:p w:rsidR="00000000" w:rsidP="00031F1D">
            <w:pPr>
              <w:pStyle w:val="ListBullet"/>
              <w:rPr>
                <w:lang w:val="en-NZ"/>
              </w:rPr>
            </w:pPr>
            <w:r w:rsidRPr="00031F1D">
              <w:t>solicitors.</w:t>
            </w:r>
          </w:p>
        </w:tc>
      </w:tr>
      <w:tr w:rsidTr="00977FDA">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BoldandItalics"/>
              </w:rPr>
              <w:t>Reports</w:t>
            </w:r>
            <w:r w:rsidRPr="00031F1D">
              <w:t xml:space="preserve"> may be periodic or on demand, manual or computer generated, and may include:</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Bullet"/>
            </w:pPr>
            <w:r w:rsidRPr="00031F1D">
              <w:t>consumer statements</w:t>
            </w:r>
          </w:p>
          <w:p w:rsidR="00000000" w:rsidRPr="00031F1D" w:rsidP="00031F1D">
            <w:pPr>
              <w:pStyle w:val="ListBullet"/>
            </w:pPr>
            <w:r w:rsidRPr="00031F1D">
              <w:t>legislative requirements</w:t>
            </w:r>
          </w:p>
          <w:p w:rsidR="00000000" w:rsidRPr="00031F1D" w:rsidP="00031F1D">
            <w:pPr>
              <w:pStyle w:val="ListBullet"/>
            </w:pPr>
            <w:r w:rsidRPr="00031F1D">
              <w:t>statistical and financial or management reports</w:t>
            </w:r>
          </w:p>
          <w:p w:rsidR="00000000" w:rsidP="00031F1D">
            <w:pPr>
              <w:pStyle w:val="ListBullet"/>
              <w:rPr>
                <w:lang w:val="en-NZ"/>
              </w:rPr>
            </w:pPr>
            <w:r w:rsidRPr="00031F1D">
              <w:t>user repo</w:t>
            </w:r>
            <w:r w:rsidRPr="00031F1D">
              <w:t>rts.</w:t>
            </w:r>
          </w:p>
        </w:tc>
      </w:tr>
      <w:tr w:rsidTr="00977FDA">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BoldandItalics"/>
              </w:rPr>
              <w:t>Recovery plan</w:t>
            </w:r>
            <w:r w:rsidRPr="00031F1D">
              <w:t xml:space="preserve"> and measures to collect monies may include:</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Bullet"/>
            </w:pPr>
            <w:r w:rsidRPr="00031F1D">
              <w:t>advice to supervisors/managers/legal officers</w:t>
            </w:r>
          </w:p>
          <w:p w:rsidR="00000000" w:rsidRPr="00031F1D" w:rsidP="00031F1D">
            <w:pPr>
              <w:pStyle w:val="ListBullet"/>
            </w:pPr>
            <w:r w:rsidRPr="00031F1D">
              <w:t>dunning letters</w:t>
            </w:r>
          </w:p>
          <w:p w:rsidR="00000000" w:rsidRPr="00031F1D" w:rsidP="00031F1D">
            <w:pPr>
              <w:pStyle w:val="ListBullet"/>
            </w:pPr>
            <w:r w:rsidRPr="00031F1D">
              <w:t>legal action</w:t>
            </w:r>
          </w:p>
          <w:p w:rsidR="00000000" w:rsidRPr="00031F1D" w:rsidP="00031F1D">
            <w:pPr>
              <w:pStyle w:val="ListBullet"/>
            </w:pPr>
            <w:r w:rsidRPr="00031F1D">
              <w:t>letters of demand without prejudice</w:t>
            </w:r>
          </w:p>
          <w:p w:rsidR="00000000" w:rsidRPr="00031F1D" w:rsidP="00031F1D">
            <w:pPr>
              <w:pStyle w:val="ListBullet"/>
            </w:pPr>
            <w:r w:rsidRPr="00031F1D">
              <w:t>letters of notice</w:t>
            </w:r>
          </w:p>
          <w:p w:rsidR="00000000" w:rsidRPr="00031F1D" w:rsidP="00031F1D">
            <w:pPr>
              <w:pStyle w:val="ListBullet"/>
            </w:pPr>
            <w:r w:rsidRPr="00031F1D">
              <w:t>liaison with clients</w:t>
            </w:r>
          </w:p>
          <w:p w:rsidR="00000000" w:rsidRPr="00031F1D" w:rsidP="00031F1D">
            <w:pPr>
              <w:pStyle w:val="ListBullet"/>
            </w:pPr>
            <w:r w:rsidRPr="00031F1D">
              <w:t>plaint</w:t>
            </w:r>
          </w:p>
          <w:p w:rsidR="00000000" w:rsidRPr="00031F1D" w:rsidP="00031F1D">
            <w:pPr>
              <w:pStyle w:val="ListBullet"/>
            </w:pPr>
            <w:r w:rsidRPr="00031F1D">
              <w:t>return of goods</w:t>
            </w:r>
          </w:p>
          <w:p w:rsidR="00000000" w:rsidRPr="00031F1D" w:rsidP="00031F1D">
            <w:pPr>
              <w:pStyle w:val="ListBullet"/>
            </w:pPr>
            <w:r w:rsidRPr="00031F1D">
              <w:t>summons</w:t>
            </w:r>
          </w:p>
          <w:p w:rsidR="00000000" w:rsidRPr="00031F1D" w:rsidP="00031F1D">
            <w:pPr>
              <w:pStyle w:val="ListBullet"/>
            </w:pPr>
            <w:r w:rsidRPr="00031F1D">
              <w:t>third party intervention</w:t>
            </w:r>
          </w:p>
          <w:p w:rsidR="00000000" w:rsidP="00031F1D">
            <w:pPr>
              <w:pStyle w:val="ListBullet"/>
              <w:rPr>
                <w:lang w:val="en-NZ"/>
              </w:rPr>
            </w:pPr>
            <w:r w:rsidRPr="00031F1D">
              <w:t>write-offs.</w:t>
            </w:r>
          </w:p>
        </w:tc>
      </w:tr>
      <w:tr w:rsidTr="00977FDA">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BoldandItalics"/>
              </w:rPr>
              <w:t>Appropriate personnel</w:t>
            </w:r>
            <w:r w:rsidRPr="00031F1D">
              <w:t xml:space="preserve"> would depend on:</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Bullet"/>
            </w:pPr>
            <w:r w:rsidRPr="00031F1D">
              <w:t>industry and organisation requirements, and may include:</w:t>
            </w:r>
          </w:p>
          <w:p w:rsidR="00000000" w:rsidRPr="00031F1D" w:rsidP="00031F1D">
            <w:pPr>
              <w:pStyle w:val="ListBullet2"/>
            </w:pPr>
            <w:r w:rsidRPr="00031F1D">
              <w:t>the board of directors; or</w:t>
            </w:r>
          </w:p>
          <w:p w:rsidR="00000000" w:rsidP="00031F1D">
            <w:pPr>
              <w:pStyle w:val="ListBullet2"/>
              <w:rPr>
                <w:lang w:val="en-NZ"/>
              </w:rPr>
            </w:pPr>
            <w:r w:rsidRPr="00031F1D">
              <w:t>a designated group from the board of directors such as the executive.</w:t>
            </w:r>
          </w:p>
        </w:tc>
      </w:tr>
      <w:tr w:rsidTr="00977FDA">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t xml:space="preserve">Relevant </w:t>
            </w:r>
            <w:r w:rsidRPr="00031F1D">
              <w:rPr>
                <w:rStyle w:val="BoldandItalics"/>
              </w:rPr>
              <w:t>legislative and compliance requirements</w:t>
            </w:r>
            <w:r w:rsidRPr="00031F1D">
              <w:t xml:space="preserve"> may include:</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ListBullet"/>
            </w:pPr>
            <w:r w:rsidRPr="00031F1D">
              <w:t>consumer:</w:t>
            </w:r>
          </w:p>
          <w:p w:rsidR="00000000" w:rsidRPr="00031F1D" w:rsidP="00031F1D">
            <w:pPr>
              <w:pStyle w:val="ListBullet2"/>
            </w:pPr>
            <w:r w:rsidRPr="00031F1D">
              <w:t>codes of practice</w:t>
            </w:r>
          </w:p>
          <w:p w:rsidR="00000000" w:rsidRPr="00031F1D" w:rsidP="00031F1D">
            <w:pPr>
              <w:pStyle w:val="ListBullet2"/>
            </w:pPr>
            <w:r w:rsidRPr="00031F1D">
              <w:t>Consumer Credit Code</w:t>
            </w:r>
          </w:p>
          <w:p w:rsidR="00000000" w:rsidRPr="00031F1D" w:rsidP="00031F1D">
            <w:pPr>
              <w:pStyle w:val="ListBullet2"/>
            </w:pPr>
            <w:r w:rsidRPr="00031F1D">
              <w:t>Privacy Act</w:t>
            </w:r>
          </w:p>
          <w:p w:rsidR="00000000" w:rsidRPr="00031F1D" w:rsidP="00031F1D">
            <w:pPr>
              <w:pStyle w:val="ListBullet2"/>
            </w:pPr>
            <w:r w:rsidRPr="00031F1D">
              <w:t>secrecy laws</w:t>
            </w:r>
          </w:p>
          <w:p w:rsidR="00000000" w:rsidRPr="00031F1D" w:rsidP="00031F1D">
            <w:pPr>
              <w:pStyle w:val="ListBullet"/>
            </w:pPr>
            <w:r w:rsidRPr="00031F1D">
              <w:t>competition:</w:t>
            </w:r>
          </w:p>
          <w:p w:rsidR="00000000" w:rsidRPr="00031F1D" w:rsidP="00031F1D">
            <w:pPr>
              <w:pStyle w:val="ListBullet2"/>
            </w:pPr>
            <w:r w:rsidRPr="00031F1D">
              <w:t>Australian Competition and Consumer Commission (ACCC)</w:t>
            </w:r>
          </w:p>
          <w:p w:rsidR="00000000" w:rsidRPr="00031F1D" w:rsidP="00031F1D">
            <w:pPr>
              <w:pStyle w:val="ListBullet"/>
            </w:pPr>
            <w:r w:rsidRPr="00031F1D">
              <w:t>prudential:</w:t>
            </w:r>
          </w:p>
          <w:p w:rsidR="00000000" w:rsidRPr="00031F1D" w:rsidP="00031F1D">
            <w:pPr>
              <w:pStyle w:val="ListBullet2"/>
            </w:pPr>
            <w:r w:rsidRPr="00031F1D">
              <w:t>Anti-Money Laundering and Counter Terrorism Financing Acts</w:t>
            </w:r>
          </w:p>
          <w:p w:rsidR="00000000" w:rsidRPr="00031F1D" w:rsidP="00031F1D">
            <w:pPr>
              <w:pStyle w:val="ListBullet2"/>
            </w:pPr>
            <w:r w:rsidRPr="00031F1D">
              <w:t>Bills of Exchange Act</w:t>
            </w:r>
          </w:p>
          <w:p w:rsidR="00000000" w:rsidRPr="00031F1D" w:rsidP="00031F1D">
            <w:pPr>
              <w:pStyle w:val="ListBullet2"/>
            </w:pPr>
            <w:r w:rsidRPr="00031F1D">
              <w:t>Cheques and Payment Orders Act</w:t>
            </w:r>
          </w:p>
          <w:p w:rsidR="00000000" w:rsidRPr="00031F1D" w:rsidP="00031F1D">
            <w:pPr>
              <w:pStyle w:val="ListBullet2"/>
            </w:pPr>
            <w:r w:rsidRPr="00031F1D">
              <w:t>Commercial Tenancies Act</w:t>
            </w:r>
          </w:p>
          <w:p w:rsidR="00000000" w:rsidRPr="00031F1D" w:rsidP="00031F1D">
            <w:pPr>
              <w:pStyle w:val="ListBullet2"/>
            </w:pPr>
            <w:r w:rsidRPr="00031F1D">
              <w:t>corporate law</w:t>
            </w:r>
          </w:p>
          <w:p w:rsidR="00000000" w:rsidRPr="00031F1D" w:rsidP="00031F1D">
            <w:pPr>
              <w:pStyle w:val="ListBullet2"/>
            </w:pPr>
            <w:r w:rsidRPr="00031F1D">
              <w:t>Credit Reference Association of Australia (CRAA)</w:t>
            </w:r>
          </w:p>
          <w:p w:rsidR="00000000" w:rsidRPr="00031F1D" w:rsidP="00031F1D">
            <w:pPr>
              <w:pStyle w:val="ListBullet2"/>
            </w:pPr>
            <w:r w:rsidRPr="00031F1D">
              <w:t>Electronic Funds Transfer (EFT) Code of Conduct</w:t>
            </w:r>
          </w:p>
          <w:p w:rsidR="00000000" w:rsidRPr="00031F1D" w:rsidP="00031F1D">
            <w:pPr>
              <w:pStyle w:val="ListBullet2"/>
            </w:pPr>
            <w:r w:rsidRPr="00031F1D">
              <w:t>Financial Institutions (FI) Code</w:t>
            </w:r>
          </w:p>
          <w:p w:rsidR="00000000" w:rsidRPr="00031F1D" w:rsidP="00031F1D">
            <w:pPr>
              <w:pStyle w:val="ListBullet2"/>
            </w:pPr>
            <w:r w:rsidRPr="00031F1D">
              <w:t>Financial Transaction Reports Act</w:t>
            </w:r>
          </w:p>
          <w:p w:rsidR="00000000" w:rsidRPr="00031F1D" w:rsidP="00031F1D">
            <w:pPr>
              <w:pStyle w:val="ListBullet2"/>
            </w:pPr>
            <w:r w:rsidRPr="00031F1D">
              <w:t>Land Tax Assessment Act</w:t>
            </w:r>
          </w:p>
          <w:p w:rsidR="00000000" w:rsidRPr="00031F1D" w:rsidP="00031F1D">
            <w:pPr>
              <w:pStyle w:val="ListBullet2"/>
            </w:pPr>
            <w:r w:rsidRPr="00031F1D">
              <w:t>Payroll Tax Assessment Act</w:t>
            </w:r>
          </w:p>
          <w:p w:rsidR="00000000" w:rsidRPr="00031F1D" w:rsidP="00031F1D">
            <w:pPr>
              <w:pStyle w:val="ListBullet2"/>
            </w:pPr>
            <w:r w:rsidRPr="00031F1D">
              <w:t>Prescribed Payments Act</w:t>
            </w:r>
          </w:p>
          <w:p w:rsidR="00000000" w:rsidRPr="00031F1D" w:rsidP="00031F1D">
            <w:pPr>
              <w:pStyle w:val="ListBullet2"/>
            </w:pPr>
            <w:r w:rsidRPr="00031F1D">
              <w:t>Stamp Duties Act</w:t>
            </w:r>
          </w:p>
          <w:p w:rsidR="00000000" w:rsidRPr="00031F1D" w:rsidP="00031F1D">
            <w:pPr>
              <w:pStyle w:val="ListBullet2"/>
            </w:pPr>
            <w:r w:rsidRPr="00031F1D">
              <w:t>Income Tax Assessment Act.</w:t>
            </w:r>
          </w:p>
        </w:tc>
      </w:tr>
    </w:tbl>
    <w:p w:rsidR="00977FDA" w:rsidP="00031F1D">
      <w:pPr>
        <w:pStyle w:val="BodyText"/>
      </w:pPr>
    </w:p>
    <w:p w:rsidR="00977FDA" w:rsidP="00031F1D">
      <w:pPr>
        <w:pStyle w:val="BodyText"/>
      </w:pPr>
    </w:p>
    <w:p w:rsidR="00000000" w:rsidRPr="00031F1D" w:rsidP="00031F1D">
      <w:pPr>
        <w:pStyle w:val="Heading1"/>
      </w:pPr>
      <w:bookmarkStart w:id="12" w:name="O_76994"/>
      <w:bookmarkEnd w:id="12"/>
      <w:r w:rsidRPr="00031F1D">
        <w:t>Unit Sector(s)</w:t>
      </w:r>
    </w:p>
    <w:tbl>
      <w:tblPr>
        <w:tblW w:w="0" w:type="auto"/>
        <w:tblLayout w:type="fixed"/>
        <w:tblCellMar>
          <w:left w:w="62" w:type="dxa"/>
          <w:right w:w="62" w:type="dxa"/>
        </w:tblCellMar>
        <w:tblLook w:val="0000"/>
      </w:tblPr>
      <w:tblGrid>
        <w:gridCol w:w="2590"/>
        <w:gridCol w:w="5932"/>
      </w:tblGrid>
      <w:tr w:rsidTr="00977FDA">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BodyText"/>
            </w:pPr>
            <w:r w:rsidRPr="00031F1D">
              <w:t>Accounting</w:t>
            </w:r>
          </w:p>
        </w:tc>
      </w:tr>
    </w:tbl>
    <w:p w:rsidR="00000000" w:rsidRPr="00031F1D" w:rsidP="00031F1D">
      <w:pPr>
        <w:pStyle w:val="BodyText"/>
      </w:pPr>
    </w:p>
    <w:p w:rsidR="00000000" w:rsidRPr="00031F1D" w:rsidP="00031F1D">
      <w:pPr>
        <w:pStyle w:val="AllowPageBreak"/>
      </w:pPr>
    </w:p>
    <w:p w:rsidR="00000000" w:rsidRPr="00031F1D" w:rsidP="00031F1D">
      <w:pPr>
        <w:pStyle w:val="Heading1"/>
      </w:pPr>
      <w:bookmarkStart w:id="13" w:name="O_156071"/>
      <w:bookmarkEnd w:id="13"/>
      <w:r w:rsidRPr="00031F1D">
        <w:t>Competency field</w:t>
      </w:r>
    </w:p>
    <w:tbl>
      <w:tblPr>
        <w:tblW w:w="0" w:type="auto"/>
        <w:tblLayout w:type="fixed"/>
        <w:tblCellMar>
          <w:left w:w="62" w:type="dxa"/>
          <w:right w:w="62" w:type="dxa"/>
        </w:tblCellMar>
        <w:tblLook w:val="0000"/>
      </w:tblPr>
      <w:tblGrid>
        <w:gridCol w:w="2754"/>
        <w:gridCol w:w="5768"/>
      </w:tblGrid>
      <w:tr w:rsidTr="00977FD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D">
            <w:pPr>
              <w:pStyle w:val="BodyText"/>
              <w:rPr>
                <w:lang w:val="en-NZ"/>
              </w:rPr>
            </w:pPr>
            <w:r w:rsidRPr="00031F1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D" w:rsidP="00031F1D">
            <w:pPr>
              <w:pStyle w:val="BodyText"/>
            </w:pPr>
          </w:p>
        </w:tc>
      </w:tr>
    </w:tbl>
    <w:p w:rsidR="00000000" w:rsidRPr="00031F1D" w:rsidP="00031F1D">
      <w:pPr>
        <w:pStyle w:val="BodyText"/>
      </w:pPr>
    </w:p>
    <w:p w:rsidR="00000000" w:rsidRPr="00031F1D" w:rsidP="00031F1D"/>
    <w:sectPr w:rsidSect="00031F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FDA" w:rsidP="00977F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DA" w:rsidP="00031F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7FDA" w:rsidP="00031F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7FDA" w:rsidP="00031F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FDA" w:rsidP="00977FD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DA" w:rsidP="00031F1D">
    <w:pPr>
      <w:pStyle w:val="Header"/>
      <w:framePr w:wrap="around"/>
    </w:pPr>
    <w:r>
      <w:fldChar w:fldCharType="begin"/>
    </w:r>
    <w:r>
      <w:instrText xml:space="preserve"> TITLE   \* MERGEFORMAT </w:instrText>
    </w:r>
    <w:r>
      <w:fldChar w:fldCharType="separate"/>
    </w:r>
    <w:r>
      <w:t>FNSACC302A Administer subsidiary accounts and ledgers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7FDA" w:rsidP="00031F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3CD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E8F9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5248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F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1F1D"/>
    <w:pPr>
      <w:spacing w:before="360" w:after="60"/>
      <w:outlineLvl w:val="0"/>
    </w:pPr>
    <w:rPr>
      <w:sz w:val="32"/>
    </w:rPr>
  </w:style>
  <w:style w:type="paragraph" w:styleId="Heading2">
    <w:name w:val="heading 2"/>
    <w:basedOn w:val="HeadingBase"/>
    <w:next w:val="BodyText"/>
    <w:link w:val="Heading2Char"/>
    <w:qFormat/>
    <w:rsid w:val="00031F1D"/>
    <w:pPr>
      <w:keepLines/>
      <w:spacing w:before="240" w:after="120"/>
      <w:outlineLvl w:val="1"/>
    </w:pPr>
    <w:rPr>
      <w:sz w:val="28"/>
      <w:szCs w:val="40"/>
    </w:rPr>
  </w:style>
  <w:style w:type="paragraph" w:styleId="Heading3">
    <w:name w:val="heading 3"/>
    <w:basedOn w:val="HeadingBase"/>
    <w:next w:val="BodyText"/>
    <w:link w:val="Heading3Char"/>
    <w:qFormat/>
    <w:rsid w:val="00031F1D"/>
    <w:pPr>
      <w:spacing w:before="180" w:after="120"/>
      <w:outlineLvl w:val="2"/>
    </w:pPr>
    <w:rPr>
      <w:spacing w:val="-10"/>
      <w:kern w:val="32"/>
    </w:rPr>
  </w:style>
  <w:style w:type="paragraph" w:styleId="Heading4">
    <w:name w:val="heading 4"/>
    <w:basedOn w:val="HeadingBase"/>
    <w:next w:val="BodyText"/>
    <w:link w:val="Heading4Char"/>
    <w:qFormat/>
    <w:rsid w:val="00031F1D"/>
    <w:pPr>
      <w:spacing w:before="160" w:after="120"/>
      <w:outlineLvl w:val="3"/>
    </w:pPr>
    <w:rPr>
      <w:sz w:val="22"/>
    </w:rPr>
  </w:style>
  <w:style w:type="paragraph" w:styleId="Heading5">
    <w:name w:val="heading 5"/>
    <w:basedOn w:val="HeadingBase"/>
    <w:next w:val="Normal"/>
    <w:link w:val="Heading5Char"/>
    <w:qFormat/>
    <w:rsid w:val="00031F1D"/>
    <w:pPr>
      <w:spacing w:before="80"/>
      <w:outlineLvl w:val="4"/>
    </w:pPr>
    <w:rPr>
      <w:color w:val="918585"/>
      <w:sz w:val="20"/>
    </w:rPr>
  </w:style>
  <w:style w:type="paragraph" w:styleId="Heading6">
    <w:name w:val="heading 6"/>
    <w:basedOn w:val="HeadingBase"/>
    <w:next w:val="Normal"/>
    <w:link w:val="Heading6Char"/>
    <w:qFormat/>
    <w:rsid w:val="00031F1D"/>
    <w:pPr>
      <w:spacing w:before="60"/>
      <w:outlineLvl w:val="5"/>
    </w:pPr>
    <w:rPr>
      <w:color w:val="918585"/>
      <w:sz w:val="20"/>
    </w:rPr>
  </w:style>
  <w:style w:type="paragraph" w:styleId="Heading7">
    <w:name w:val="heading 7"/>
    <w:basedOn w:val="Normal"/>
    <w:next w:val="Normal"/>
    <w:link w:val="Heading7Char"/>
    <w:qFormat/>
    <w:rsid w:val="00031F1D"/>
    <w:pPr>
      <w:ind w:left="720"/>
      <w:outlineLvl w:val="6"/>
    </w:pPr>
    <w:rPr>
      <w:i/>
    </w:rPr>
  </w:style>
  <w:style w:type="paragraph" w:styleId="Heading8">
    <w:name w:val="heading 8"/>
    <w:basedOn w:val="Normal"/>
    <w:next w:val="Normal"/>
    <w:link w:val="Heading8Char"/>
    <w:qFormat/>
    <w:rsid w:val="00031F1D"/>
    <w:pPr>
      <w:ind w:left="720"/>
      <w:outlineLvl w:val="7"/>
    </w:pPr>
    <w:rPr>
      <w:i/>
    </w:rPr>
  </w:style>
  <w:style w:type="paragraph" w:styleId="Heading9">
    <w:name w:val="heading 9"/>
    <w:basedOn w:val="Normal"/>
    <w:next w:val="Normal"/>
    <w:link w:val="Heading9Char"/>
    <w:qFormat/>
    <w:rsid w:val="00031F1D"/>
    <w:pPr>
      <w:ind w:left="720"/>
      <w:outlineLvl w:val="8"/>
    </w:pPr>
    <w:rPr>
      <w:i/>
    </w:rPr>
  </w:style>
  <w:style w:type="character" w:default="1" w:styleId="DefaultParagraphFont">
    <w:name w:val="Default Paragraph Font"/>
    <w:uiPriority w:val="1"/>
    <w:unhideWhenUsed/>
    <w:rsid w:val="00031F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F1D"/>
  </w:style>
  <w:style w:type="character" w:customStyle="1" w:styleId="Heading1Char">
    <w:name w:val="Heading 1 Char"/>
    <w:link w:val="Heading1"/>
    <w:rsid w:val="00031F1D"/>
    <w:rPr>
      <w:rFonts w:ascii="Times New Roman" w:eastAsia="Times New Roman" w:hAnsi="Times New Roman" w:cs="Times New Roman"/>
      <w:b/>
      <w:sz w:val="32"/>
      <w:szCs w:val="20"/>
      <w:lang w:eastAsia="en-US"/>
    </w:rPr>
  </w:style>
  <w:style w:type="paragraph" w:styleId="BodyText">
    <w:name w:val="Body Text"/>
    <w:basedOn w:val="Normal"/>
    <w:link w:val="BodyTextChar"/>
    <w:rsid w:val="00031F1D"/>
    <w:pPr>
      <w:spacing w:before="120" w:after="120"/>
      <w:contextualSpacing/>
    </w:pPr>
    <w:rPr>
      <w:rFonts w:ascii="Times New Roman" w:hAnsi="Times New Roman"/>
      <w:sz w:val="24"/>
      <w:szCs w:val="22"/>
    </w:rPr>
  </w:style>
  <w:style w:type="character" w:customStyle="1" w:styleId="BodyTextChar">
    <w:name w:val="Body Text Char"/>
    <w:link w:val="BodyText"/>
    <w:rsid w:val="00031F1D"/>
    <w:rPr>
      <w:rFonts w:ascii="Times New Roman" w:eastAsia="Times New Roman" w:hAnsi="Times New Roman" w:cs="Times New Roman"/>
      <w:sz w:val="24"/>
      <w:lang w:val="en-US" w:eastAsia="en-US"/>
    </w:rPr>
  </w:style>
  <w:style w:type="paragraph" w:styleId="Footer">
    <w:name w:val="footer"/>
    <w:basedOn w:val="Normal"/>
    <w:link w:val="FooterChar"/>
    <w:rsid w:val="00031F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31F1D"/>
    <w:rPr>
      <w:rFonts w:ascii="Times New Roman" w:eastAsia="Times New Roman" w:hAnsi="Times New Roman" w:cs="Times New Roman"/>
      <w:sz w:val="16"/>
      <w:lang w:val="en-US" w:eastAsia="en-US"/>
    </w:rPr>
  </w:style>
  <w:style w:type="paragraph" w:styleId="List">
    <w:name w:val="List"/>
    <w:basedOn w:val="BodyText"/>
    <w:next w:val="BodyText"/>
    <w:rsid w:val="00031F1D"/>
    <w:pPr>
      <w:tabs>
        <w:tab w:val="left" w:pos="340"/>
      </w:tabs>
      <w:spacing w:before="60" w:after="60"/>
      <w:ind w:left="340" w:hanging="340"/>
    </w:pPr>
  </w:style>
  <w:style w:type="paragraph" w:styleId="ListBullet">
    <w:name w:val="List Bullet"/>
    <w:basedOn w:val="List"/>
    <w:rsid w:val="00031F1D"/>
    <w:pPr>
      <w:numPr>
        <w:numId w:val="13"/>
      </w:numPr>
      <w:tabs>
        <w:tab w:val="clear" w:pos="340"/>
      </w:tabs>
      <w:spacing w:before="40" w:after="40"/>
    </w:pPr>
  </w:style>
  <w:style w:type="character" w:customStyle="1" w:styleId="SpecialBold">
    <w:name w:val="Special Bold"/>
    <w:rsid w:val="00031F1D"/>
    <w:rPr>
      <w:b/>
      <w:spacing w:val="0"/>
    </w:rPr>
  </w:style>
  <w:style w:type="paragraph" w:styleId="ListBullet2">
    <w:name w:val="List Bullet 2"/>
    <w:basedOn w:val="List2"/>
    <w:rsid w:val="00031F1D"/>
    <w:pPr>
      <w:numPr>
        <w:numId w:val="14"/>
      </w:numPr>
      <w:tabs>
        <w:tab w:val="clear" w:pos="680"/>
      </w:tabs>
    </w:pPr>
  </w:style>
  <w:style w:type="paragraph" w:styleId="Header">
    <w:name w:val="header"/>
    <w:basedOn w:val="Normal"/>
    <w:link w:val="HeaderChar"/>
    <w:rsid w:val="00031F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31F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1F1D"/>
    <w:pPr>
      <w:spacing w:before="240" w:after="120"/>
      <w:outlineLvl w:val="0"/>
    </w:pPr>
    <w:rPr>
      <w:rFonts w:ascii="Times New Roman" w:hAnsi="Times New Roman"/>
      <w:b/>
      <w:sz w:val="28"/>
    </w:rPr>
  </w:style>
  <w:style w:type="paragraph" w:customStyle="1" w:styleId="AllowPageBreak">
    <w:name w:val="AllowPageBreak"/>
    <w:rsid w:val="00031F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1F1D"/>
    <w:pPr>
      <w:tabs>
        <w:tab w:val="left" w:pos="680"/>
      </w:tabs>
      <w:spacing w:before="60" w:after="60"/>
      <w:ind w:left="680" w:hanging="340"/>
    </w:pPr>
  </w:style>
  <w:style w:type="character" w:customStyle="1" w:styleId="BoldandItalics">
    <w:name w:val="Bold and Italics"/>
    <w:qFormat/>
    <w:rsid w:val="00031F1D"/>
    <w:rPr>
      <w:b/>
      <w:i/>
      <w:u w:val="none"/>
    </w:rPr>
  </w:style>
  <w:style w:type="character" w:customStyle="1" w:styleId="Heading2Char">
    <w:name w:val="Heading 2 Char"/>
    <w:link w:val="Heading2"/>
    <w:rsid w:val="00031F1D"/>
    <w:rPr>
      <w:rFonts w:ascii="Times New Roman" w:eastAsia="Times New Roman" w:hAnsi="Times New Roman" w:cs="Times New Roman"/>
      <w:b/>
      <w:sz w:val="28"/>
      <w:szCs w:val="40"/>
      <w:lang w:eastAsia="en-US"/>
    </w:rPr>
  </w:style>
  <w:style w:type="character" w:customStyle="1" w:styleId="Heading3Char">
    <w:name w:val="Heading 3 Char"/>
    <w:link w:val="Heading3"/>
    <w:rsid w:val="00031F1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31F1D"/>
    <w:rPr>
      <w:rFonts w:ascii="Times New Roman" w:eastAsia="Times New Roman" w:hAnsi="Times New Roman" w:cs="Times New Roman"/>
      <w:b/>
      <w:szCs w:val="20"/>
      <w:lang w:eastAsia="en-US"/>
    </w:rPr>
  </w:style>
  <w:style w:type="character" w:customStyle="1" w:styleId="Heading5Char">
    <w:name w:val="Heading 5 Char"/>
    <w:link w:val="Heading5"/>
    <w:rsid w:val="00031F1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31F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F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1F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1F1D"/>
    <w:rPr>
      <w:rFonts w:ascii="Courier New" w:eastAsia="Times New Roman" w:hAnsi="Courier New" w:cs="Times New Roman"/>
      <w:i/>
      <w:szCs w:val="20"/>
      <w:lang w:val="en-US" w:eastAsia="en-US"/>
    </w:rPr>
  </w:style>
  <w:style w:type="paragraph" w:customStyle="1" w:styleId="HeadingBase">
    <w:name w:val="Heading Base"/>
    <w:rsid w:val="00031F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F1D"/>
    <w:pPr>
      <w:tabs>
        <w:tab w:val="right" w:leader="dot" w:pos="9072"/>
      </w:tabs>
      <w:ind w:left="567"/>
    </w:pPr>
    <w:rPr>
      <w:szCs w:val="22"/>
    </w:rPr>
  </w:style>
  <w:style w:type="paragraph" w:customStyle="1" w:styleId="TOCBase">
    <w:name w:val="TOC Base"/>
    <w:rsid w:val="00031F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F1D"/>
    <w:pPr>
      <w:tabs>
        <w:tab w:val="right" w:leader="dot" w:pos="9072"/>
      </w:tabs>
      <w:spacing w:before="40" w:after="40"/>
      <w:ind w:left="284"/>
    </w:pPr>
    <w:rPr>
      <w:rFonts w:ascii="Times New Roman" w:hAnsi="Times New Roman"/>
    </w:rPr>
  </w:style>
  <w:style w:type="paragraph" w:styleId="TOC1">
    <w:name w:val="toc 1"/>
    <w:basedOn w:val="TOCBase"/>
    <w:next w:val="Normal"/>
    <w:rsid w:val="00031F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1F1D"/>
    <w:pPr>
      <w:spacing w:before="5040"/>
      <w:jc w:val="center"/>
    </w:pPr>
    <w:rPr>
      <w:sz w:val="48"/>
      <w:szCs w:val="72"/>
      <w:lang w:val="en-US"/>
    </w:rPr>
  </w:style>
  <w:style w:type="character" w:customStyle="1" w:styleId="TitleChar">
    <w:name w:val="Title Char"/>
    <w:link w:val="Title"/>
    <w:rsid w:val="00031F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F1D"/>
    <w:pPr>
      <w:tabs>
        <w:tab w:val="left" w:pos="3600"/>
        <w:tab w:val="left" w:pos="3958"/>
      </w:tabs>
    </w:pPr>
  </w:style>
  <w:style w:type="paragraph" w:customStyle="1" w:styleId="Note">
    <w:name w:val="Note"/>
    <w:basedOn w:val="BodyText"/>
    <w:rsid w:val="00031F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F1D"/>
    <w:pPr>
      <w:framePr w:wrap="auto" w:hAnchor="text" w:y="6049"/>
    </w:pPr>
    <w:rPr>
      <w:color w:val="000000"/>
      <w:sz w:val="40"/>
    </w:rPr>
  </w:style>
  <w:style w:type="paragraph" w:customStyle="1" w:styleId="TOCTitle">
    <w:name w:val="TOCTitle"/>
    <w:basedOn w:val="Heading1"/>
    <w:rsid w:val="00031F1D"/>
    <w:pPr>
      <w:spacing w:after="240"/>
      <w:jc w:val="center"/>
      <w:outlineLvl w:val="9"/>
    </w:pPr>
    <w:rPr>
      <w:caps/>
    </w:rPr>
  </w:style>
  <w:style w:type="paragraph" w:customStyle="1" w:styleId="Version">
    <w:name w:val="Version"/>
    <w:rsid w:val="00031F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1F1D"/>
    <w:pPr>
      <w:keepNext w:val="0"/>
      <w:tabs>
        <w:tab w:val="right" w:pos="4176"/>
      </w:tabs>
      <w:ind w:left="198" w:hanging="198"/>
    </w:pPr>
    <w:rPr>
      <w:rFonts w:ascii="Garamond" w:hAnsi="Garamond"/>
    </w:rPr>
  </w:style>
  <w:style w:type="paragraph" w:styleId="IndexHeading">
    <w:name w:val="index heading"/>
    <w:basedOn w:val="Normal"/>
    <w:next w:val="Index1"/>
    <w:semiHidden/>
    <w:rsid w:val="00031F1D"/>
    <w:pPr>
      <w:spacing w:before="120" w:after="120"/>
    </w:pPr>
    <w:rPr>
      <w:rFonts w:ascii="Arial" w:hAnsi="Arial"/>
      <w:b/>
      <w:color w:val="918585"/>
      <w:sz w:val="24"/>
    </w:rPr>
  </w:style>
  <w:style w:type="paragraph" w:customStyle="1" w:styleId="Chapter">
    <w:name w:val="Chapter"/>
    <w:basedOn w:val="Normal"/>
    <w:rsid w:val="00031F1D"/>
    <w:pPr>
      <w:spacing w:before="240"/>
    </w:pPr>
    <w:rPr>
      <w:rFonts w:ascii="Times New Roman" w:hAnsi="Times New Roman"/>
      <w:smallCaps/>
      <w:spacing w:val="80"/>
      <w:sz w:val="28"/>
    </w:rPr>
  </w:style>
  <w:style w:type="paragraph" w:customStyle="1" w:styleId="InChapter">
    <w:name w:val="InChapter"/>
    <w:basedOn w:val="Heading3"/>
    <w:rsid w:val="00031F1D"/>
    <w:pPr>
      <w:spacing w:after="240"/>
      <w:outlineLvl w:val="9"/>
    </w:pPr>
    <w:rPr>
      <w:noProof/>
    </w:rPr>
  </w:style>
  <w:style w:type="paragraph" w:styleId="Index2">
    <w:name w:val="index 2"/>
    <w:basedOn w:val="Normal"/>
    <w:next w:val="Normal"/>
    <w:semiHidden/>
    <w:rsid w:val="00031F1D"/>
    <w:pPr>
      <w:tabs>
        <w:tab w:val="right" w:pos="4176"/>
      </w:tabs>
      <w:ind w:left="568" w:hanging="284"/>
    </w:pPr>
    <w:rPr>
      <w:rFonts w:ascii="Garamond" w:hAnsi="Garamond"/>
    </w:rPr>
  </w:style>
  <w:style w:type="paragraph" w:customStyle="1" w:styleId="Byline">
    <w:name w:val="Byline"/>
    <w:rsid w:val="00031F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F1D"/>
    <w:pPr>
      <w:tabs>
        <w:tab w:val="clear" w:pos="3600"/>
        <w:tab w:val="clear" w:pos="3958"/>
      </w:tabs>
      <w:jc w:val="right"/>
    </w:pPr>
  </w:style>
  <w:style w:type="character" w:styleId="Emphasis">
    <w:name w:val="Emphasis"/>
    <w:qFormat/>
    <w:rsid w:val="00031F1D"/>
    <w:rPr>
      <w:i/>
    </w:rPr>
  </w:style>
  <w:style w:type="paragraph" w:styleId="Caption">
    <w:name w:val="caption"/>
    <w:basedOn w:val="BodyText"/>
    <w:next w:val="Normal"/>
    <w:qFormat/>
    <w:rsid w:val="00031F1D"/>
    <w:pPr>
      <w:framePr w:w="2268" w:hSpace="181" w:vSpace="181" w:wrap="around" w:vAnchor="text" w:hAnchor="page" w:x="1135" w:y="285" w:anchorLock="1"/>
    </w:pPr>
    <w:rPr>
      <w:i/>
    </w:rPr>
  </w:style>
  <w:style w:type="paragraph" w:customStyle="1" w:styleId="MiniTOCTitle">
    <w:name w:val="MiniTOCTitle"/>
    <w:basedOn w:val="Heading4"/>
    <w:rsid w:val="00031F1D"/>
    <w:pPr>
      <w:spacing w:before="240"/>
      <w:outlineLvl w:val="9"/>
    </w:pPr>
    <w:rPr>
      <w:noProof/>
      <w:sz w:val="24"/>
    </w:rPr>
  </w:style>
  <w:style w:type="paragraph" w:customStyle="1" w:styleId="MiniTOCItem">
    <w:name w:val="MiniTOCItem"/>
    <w:basedOn w:val="ListBullet"/>
    <w:rsid w:val="00031F1D"/>
    <w:pPr>
      <w:numPr>
        <w:numId w:val="0"/>
      </w:numPr>
      <w:tabs>
        <w:tab w:val="right" w:leader="dot" w:pos="6521"/>
      </w:tabs>
      <w:spacing w:before="0" w:after="0"/>
    </w:pPr>
  </w:style>
  <w:style w:type="paragraph" w:customStyle="1" w:styleId="TOFTitle">
    <w:name w:val="TOFTitle"/>
    <w:basedOn w:val="TOCTitle"/>
    <w:rsid w:val="00031F1D"/>
  </w:style>
  <w:style w:type="paragraph" w:styleId="TableofFigures">
    <w:name w:val="table of figures"/>
    <w:basedOn w:val="Normal"/>
    <w:next w:val="Normal"/>
    <w:semiHidden/>
    <w:rsid w:val="00031F1D"/>
    <w:pPr>
      <w:tabs>
        <w:tab w:val="right" w:leader="dot" w:pos="9072"/>
      </w:tabs>
      <w:ind w:left="970" w:hanging="403"/>
    </w:pPr>
    <w:rPr>
      <w:rFonts w:ascii="Times New Roman" w:hAnsi="Times New Roman"/>
      <w:b/>
    </w:rPr>
  </w:style>
  <w:style w:type="paragraph" w:styleId="ListNumber">
    <w:name w:val="List Number"/>
    <w:basedOn w:val="List"/>
    <w:rsid w:val="00031F1D"/>
    <w:pPr>
      <w:numPr>
        <w:numId w:val="11"/>
      </w:numPr>
    </w:pPr>
  </w:style>
  <w:style w:type="character" w:customStyle="1" w:styleId="WingdingSymbols">
    <w:name w:val="Wingding Symbols"/>
    <w:rsid w:val="00031F1D"/>
    <w:rPr>
      <w:rFonts w:ascii="Wingdings" w:hAnsi="Wingdings"/>
    </w:rPr>
  </w:style>
  <w:style w:type="paragraph" w:customStyle="1" w:styleId="TableHeading">
    <w:name w:val="Table Heading"/>
    <w:basedOn w:val="HeadingBase"/>
    <w:rsid w:val="00031F1D"/>
    <w:pPr>
      <w:keepLines/>
      <w:pBdr>
        <w:bottom w:val="single" w:sz="6" w:space="1" w:color="918585"/>
      </w:pBdr>
      <w:spacing w:before="240"/>
    </w:pPr>
  </w:style>
  <w:style w:type="character" w:customStyle="1" w:styleId="HotSpot">
    <w:name w:val="HotSpot"/>
    <w:rsid w:val="00031F1D"/>
    <w:rPr>
      <w:color w:val="0033CC"/>
      <w:u w:val="none"/>
    </w:rPr>
  </w:style>
  <w:style w:type="paragraph" w:customStyle="1" w:styleId="BodyTextRight">
    <w:name w:val="Body Text Right"/>
    <w:basedOn w:val="BodyText"/>
    <w:rsid w:val="00031F1D"/>
    <w:pPr>
      <w:spacing w:before="0" w:after="0"/>
      <w:jc w:val="right"/>
    </w:pPr>
  </w:style>
  <w:style w:type="paragraph" w:styleId="Index3">
    <w:name w:val="index 3"/>
    <w:basedOn w:val="ListNumber2"/>
    <w:next w:val="Normal"/>
    <w:semiHidden/>
    <w:rsid w:val="00031F1D"/>
    <w:pPr>
      <w:numPr>
        <w:numId w:val="0"/>
      </w:numPr>
      <w:tabs>
        <w:tab w:val="right" w:leader="dot" w:pos="4176"/>
      </w:tabs>
    </w:pPr>
  </w:style>
  <w:style w:type="paragraph" w:styleId="ListNumber2">
    <w:name w:val="List Number 2"/>
    <w:basedOn w:val="List2"/>
    <w:rsid w:val="00031F1D"/>
    <w:pPr>
      <w:numPr>
        <w:numId w:val="10"/>
      </w:numPr>
      <w:tabs>
        <w:tab w:val="clear" w:pos="1060"/>
      </w:tabs>
    </w:pPr>
  </w:style>
  <w:style w:type="paragraph" w:customStyle="1" w:styleId="MarginNote">
    <w:name w:val="Margin Note"/>
    <w:basedOn w:val="BodyText"/>
    <w:rsid w:val="00031F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F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31F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1F1D"/>
    <w:rPr>
      <w:sz w:val="32"/>
    </w:rPr>
  </w:style>
  <w:style w:type="paragraph" w:customStyle="1" w:styleId="HeadingProcedure">
    <w:name w:val="Heading Procedure"/>
    <w:basedOn w:val="HeadingBase"/>
    <w:next w:val="Normal"/>
    <w:rsid w:val="00031F1D"/>
    <w:pPr>
      <w:tabs>
        <w:tab w:val="left" w:pos="0"/>
      </w:tabs>
      <w:spacing w:before="120" w:after="60"/>
    </w:pPr>
    <w:rPr>
      <w:i/>
      <w:color w:val="918585"/>
      <w:sz w:val="22"/>
    </w:rPr>
  </w:style>
  <w:style w:type="paragraph" w:customStyle="1" w:styleId="TableBodyText">
    <w:name w:val="Table Body Text"/>
    <w:basedOn w:val="BodyText"/>
    <w:rsid w:val="00031F1D"/>
    <w:pPr>
      <w:spacing w:before="60" w:after="60"/>
    </w:pPr>
  </w:style>
  <w:style w:type="paragraph" w:styleId="ListContinue">
    <w:name w:val="List Continue"/>
    <w:basedOn w:val="List"/>
    <w:rsid w:val="00031F1D"/>
    <w:pPr>
      <w:ind w:firstLine="0"/>
    </w:pPr>
  </w:style>
  <w:style w:type="paragraph" w:customStyle="1" w:styleId="ListNote">
    <w:name w:val="List Note"/>
    <w:basedOn w:val="List"/>
    <w:rsid w:val="00031F1D"/>
    <w:pPr>
      <w:pBdr>
        <w:top w:val="single" w:sz="6" w:space="2" w:color="918585"/>
        <w:bottom w:val="single" w:sz="6" w:space="2" w:color="918585"/>
      </w:pBdr>
      <w:tabs>
        <w:tab w:val="left" w:pos="1021"/>
      </w:tabs>
      <w:ind w:firstLine="0"/>
    </w:pPr>
  </w:style>
  <w:style w:type="paragraph" w:customStyle="1" w:styleId="Warning">
    <w:name w:val="Warning"/>
    <w:basedOn w:val="BodyText"/>
    <w:rsid w:val="00031F1D"/>
    <w:pPr>
      <w:shd w:val="clear" w:color="auto" w:fill="D9D9D9"/>
      <w:tabs>
        <w:tab w:val="left" w:pos="992"/>
      </w:tabs>
      <w:ind w:left="119" w:right="119"/>
    </w:pPr>
    <w:rPr>
      <w:sz w:val="20"/>
    </w:rPr>
  </w:style>
  <w:style w:type="paragraph" w:customStyle="1" w:styleId="MarginIcons">
    <w:name w:val="Margin Icons"/>
    <w:basedOn w:val="BodyText"/>
    <w:rsid w:val="00031F1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31F1D"/>
    <w:rPr>
      <w:rFonts w:ascii="Courier New" w:hAnsi="Courier New"/>
    </w:rPr>
  </w:style>
  <w:style w:type="paragraph" w:customStyle="1" w:styleId="NoteBullet">
    <w:name w:val="Note Bullet"/>
    <w:basedOn w:val="Note"/>
    <w:rsid w:val="00031F1D"/>
    <w:pPr>
      <w:tabs>
        <w:tab w:val="clear" w:pos="680"/>
      </w:tabs>
      <w:spacing w:before="60" w:after="60"/>
    </w:pPr>
  </w:style>
  <w:style w:type="paragraph" w:customStyle="1" w:styleId="SubHeading2">
    <w:name w:val="SubHeading2"/>
    <w:basedOn w:val="HeadingBase"/>
    <w:rsid w:val="00031F1D"/>
    <w:pPr>
      <w:spacing w:before="240" w:after="60"/>
    </w:pPr>
    <w:rPr>
      <w:sz w:val="20"/>
    </w:rPr>
  </w:style>
  <w:style w:type="paragraph" w:customStyle="1" w:styleId="SubHeading1">
    <w:name w:val="SubHeading1"/>
    <w:basedOn w:val="HeadingBase"/>
    <w:rsid w:val="00031F1D"/>
    <w:pPr>
      <w:spacing w:before="240" w:after="60"/>
    </w:pPr>
    <w:rPr>
      <w:color w:val="918585"/>
      <w:sz w:val="22"/>
    </w:rPr>
  </w:style>
  <w:style w:type="paragraph" w:customStyle="1" w:styleId="SideHeading">
    <w:name w:val="Side Heading"/>
    <w:basedOn w:val="HeadingBase"/>
    <w:rsid w:val="00031F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F1D"/>
    <w:pPr>
      <w:numPr>
        <w:numId w:val="12"/>
      </w:numPr>
    </w:pPr>
  </w:style>
  <w:style w:type="paragraph" w:styleId="PlainText">
    <w:name w:val="Plain Text"/>
    <w:basedOn w:val="Normal"/>
    <w:link w:val="PlainTextChar"/>
    <w:rsid w:val="00031F1D"/>
    <w:rPr>
      <w:sz w:val="20"/>
    </w:rPr>
  </w:style>
  <w:style w:type="character" w:customStyle="1" w:styleId="PlainTextChar">
    <w:name w:val="Plain Text Char"/>
    <w:basedOn w:val="DefaultParagraphFont"/>
    <w:link w:val="PlainText"/>
    <w:rsid w:val="00031F1D"/>
    <w:rPr>
      <w:rFonts w:ascii="Courier New" w:eastAsia="Times New Roman" w:hAnsi="Courier New" w:cs="Times New Roman"/>
      <w:sz w:val="20"/>
      <w:szCs w:val="20"/>
      <w:lang w:val="en-US" w:eastAsia="en-US"/>
    </w:rPr>
  </w:style>
  <w:style w:type="character" w:customStyle="1" w:styleId="MenuOption">
    <w:name w:val="Menu Option"/>
    <w:rsid w:val="00031F1D"/>
    <w:rPr>
      <w:b/>
      <w:smallCaps/>
    </w:rPr>
  </w:style>
  <w:style w:type="paragraph" w:customStyle="1" w:styleId="TableListNumber">
    <w:name w:val="Table List Number"/>
    <w:basedOn w:val="ListNumber"/>
    <w:rsid w:val="00031F1D"/>
    <w:pPr>
      <w:numPr>
        <w:numId w:val="0"/>
      </w:numPr>
    </w:pPr>
  </w:style>
  <w:style w:type="paragraph" w:styleId="TOC4">
    <w:name w:val="toc 4"/>
    <w:basedOn w:val="TOCBase"/>
    <w:next w:val="Normal"/>
    <w:semiHidden/>
    <w:rsid w:val="00031F1D"/>
    <w:pPr>
      <w:tabs>
        <w:tab w:val="right" w:leader="dot" w:pos="9071"/>
      </w:tabs>
      <w:ind w:left="1701"/>
    </w:pPr>
  </w:style>
  <w:style w:type="paragraph" w:customStyle="1" w:styleId="ListAlpha">
    <w:name w:val="List Alpha"/>
    <w:basedOn w:val="List"/>
    <w:rsid w:val="00031F1D"/>
    <w:pPr>
      <w:numPr>
        <w:numId w:val="9"/>
      </w:numPr>
    </w:pPr>
  </w:style>
  <w:style w:type="paragraph" w:customStyle="1" w:styleId="ListAlpha2">
    <w:name w:val="List Alpha 2"/>
    <w:basedOn w:val="List2"/>
    <w:rsid w:val="00031F1D"/>
    <w:pPr>
      <w:numPr>
        <w:numId w:val="8"/>
      </w:numPr>
    </w:pPr>
  </w:style>
  <w:style w:type="paragraph" w:styleId="List3">
    <w:name w:val="List 3"/>
    <w:basedOn w:val="BodyText"/>
    <w:rsid w:val="00031F1D"/>
    <w:pPr>
      <w:tabs>
        <w:tab w:val="left" w:pos="1021"/>
      </w:tabs>
      <w:spacing w:before="60" w:after="60"/>
      <w:ind w:left="1020" w:hanging="340"/>
    </w:pPr>
  </w:style>
  <w:style w:type="paragraph" w:styleId="List4">
    <w:name w:val="List 4"/>
    <w:basedOn w:val="BodyText"/>
    <w:rsid w:val="00031F1D"/>
    <w:pPr>
      <w:tabs>
        <w:tab w:val="left" w:pos="1361"/>
      </w:tabs>
      <w:spacing w:before="60" w:after="60"/>
      <w:ind w:left="1361" w:hanging="340"/>
    </w:pPr>
  </w:style>
  <w:style w:type="paragraph" w:styleId="List5">
    <w:name w:val="List 5"/>
    <w:basedOn w:val="BodyText"/>
    <w:rsid w:val="00031F1D"/>
    <w:pPr>
      <w:tabs>
        <w:tab w:val="left" w:pos="1701"/>
      </w:tabs>
      <w:spacing w:before="60" w:after="60"/>
      <w:ind w:left="1701" w:hanging="340"/>
    </w:pPr>
  </w:style>
  <w:style w:type="paragraph" w:styleId="ListBullet3">
    <w:name w:val="List Bullet 3"/>
    <w:basedOn w:val="List3"/>
    <w:rsid w:val="00031F1D"/>
    <w:pPr>
      <w:numPr>
        <w:numId w:val="15"/>
      </w:numPr>
      <w:tabs>
        <w:tab w:val="clear" w:pos="1021"/>
      </w:tabs>
      <w:ind w:left="1037" w:hanging="357"/>
    </w:pPr>
  </w:style>
  <w:style w:type="paragraph" w:styleId="ListBullet4">
    <w:name w:val="List Bullet 4"/>
    <w:basedOn w:val="List4"/>
    <w:rsid w:val="00031F1D"/>
    <w:pPr>
      <w:numPr>
        <w:numId w:val="3"/>
      </w:numPr>
    </w:pPr>
  </w:style>
  <w:style w:type="paragraph" w:styleId="ListBullet5">
    <w:name w:val="List Bullet 5"/>
    <w:basedOn w:val="List5"/>
    <w:rsid w:val="00031F1D"/>
    <w:pPr>
      <w:numPr>
        <w:numId w:val="4"/>
      </w:numPr>
    </w:pPr>
  </w:style>
  <w:style w:type="paragraph" w:styleId="ListContinue2">
    <w:name w:val="List Continue 2"/>
    <w:basedOn w:val="List2"/>
    <w:rsid w:val="00031F1D"/>
    <w:pPr>
      <w:ind w:firstLine="0"/>
    </w:pPr>
  </w:style>
  <w:style w:type="paragraph" w:styleId="ListContinue3">
    <w:name w:val="List Continue 3"/>
    <w:basedOn w:val="List3"/>
    <w:rsid w:val="00031F1D"/>
    <w:pPr>
      <w:ind w:left="1021" w:firstLine="0"/>
    </w:pPr>
  </w:style>
  <w:style w:type="paragraph" w:styleId="ListContinue4">
    <w:name w:val="List Continue 4"/>
    <w:basedOn w:val="List4"/>
    <w:rsid w:val="00031F1D"/>
    <w:pPr>
      <w:ind w:firstLine="0"/>
    </w:pPr>
  </w:style>
  <w:style w:type="paragraph" w:styleId="ListContinue5">
    <w:name w:val="List Continue 5"/>
    <w:basedOn w:val="List5"/>
    <w:rsid w:val="00031F1D"/>
    <w:pPr>
      <w:ind w:firstLine="0"/>
    </w:pPr>
  </w:style>
  <w:style w:type="paragraph" w:styleId="ListNumber3">
    <w:name w:val="List Number 3"/>
    <w:basedOn w:val="List3"/>
    <w:rsid w:val="00031F1D"/>
    <w:pPr>
      <w:numPr>
        <w:numId w:val="5"/>
      </w:numPr>
    </w:pPr>
  </w:style>
  <w:style w:type="paragraph" w:styleId="ListNumber4">
    <w:name w:val="List Number 4"/>
    <w:basedOn w:val="List4"/>
    <w:rsid w:val="00031F1D"/>
    <w:pPr>
      <w:numPr>
        <w:numId w:val="6"/>
      </w:numPr>
    </w:pPr>
  </w:style>
  <w:style w:type="paragraph" w:styleId="ListNumber5">
    <w:name w:val="List Number 5"/>
    <w:basedOn w:val="List5"/>
    <w:rsid w:val="00031F1D"/>
    <w:pPr>
      <w:numPr>
        <w:numId w:val="7"/>
      </w:numPr>
    </w:pPr>
  </w:style>
  <w:style w:type="paragraph" w:styleId="BlockText">
    <w:name w:val="Block Text"/>
    <w:basedOn w:val="Normal"/>
    <w:rsid w:val="00031F1D"/>
    <w:pPr>
      <w:spacing w:after="120"/>
      <w:ind w:left="1440" w:right="1440"/>
    </w:pPr>
  </w:style>
  <w:style w:type="character" w:customStyle="1" w:styleId="Subscript">
    <w:name w:val="Subscript"/>
    <w:rsid w:val="00031F1D"/>
    <w:rPr>
      <w:sz w:val="16"/>
      <w:vertAlign w:val="subscript"/>
    </w:rPr>
  </w:style>
  <w:style w:type="character" w:customStyle="1" w:styleId="Superscript">
    <w:name w:val="Superscript"/>
    <w:rsid w:val="00031F1D"/>
    <w:rPr>
      <w:sz w:val="16"/>
      <w:vertAlign w:val="superscript"/>
    </w:rPr>
  </w:style>
  <w:style w:type="character" w:customStyle="1" w:styleId="Symbols">
    <w:name w:val="Symbols"/>
    <w:rsid w:val="00031F1D"/>
    <w:rPr>
      <w:rFonts w:ascii="Symbol" w:hAnsi="Symbol"/>
    </w:rPr>
  </w:style>
  <w:style w:type="character" w:customStyle="1" w:styleId="MenuOptions">
    <w:name w:val="Menu Options"/>
    <w:rsid w:val="00031F1D"/>
    <w:rPr>
      <w:rFonts w:ascii="Arial Narrow" w:hAnsi="Arial Narrow"/>
      <w:smallCaps/>
    </w:rPr>
  </w:style>
  <w:style w:type="character" w:customStyle="1" w:styleId="Buttons">
    <w:name w:val="Buttons"/>
    <w:rsid w:val="00031F1D"/>
    <w:rPr>
      <w:b/>
    </w:rPr>
  </w:style>
  <w:style w:type="character" w:customStyle="1" w:styleId="Underlined">
    <w:name w:val="Underlined"/>
    <w:rsid w:val="00031F1D"/>
    <w:rPr>
      <w:u w:val="single"/>
    </w:rPr>
  </w:style>
  <w:style w:type="paragraph" w:customStyle="1" w:styleId="TableBodyTextRight">
    <w:name w:val="Table Body Text Right"/>
    <w:basedOn w:val="TableBodyText"/>
    <w:rsid w:val="00031F1D"/>
    <w:pPr>
      <w:widowControl w:val="0"/>
      <w:autoSpaceDE w:val="0"/>
      <w:autoSpaceDN w:val="0"/>
      <w:adjustRightInd w:val="0"/>
      <w:jc w:val="right"/>
    </w:pPr>
    <w:rPr>
      <w:rFonts w:cs="Arial"/>
      <w:szCs w:val="18"/>
    </w:rPr>
  </w:style>
  <w:style w:type="paragraph" w:customStyle="1" w:styleId="CopyrightText">
    <w:name w:val="Copyright Text"/>
    <w:basedOn w:val="BodyText"/>
    <w:rsid w:val="00031F1D"/>
    <w:rPr>
      <w:sz w:val="18"/>
    </w:rPr>
  </w:style>
  <w:style w:type="paragraph" w:customStyle="1" w:styleId="BodySmallRight">
    <w:name w:val="Body Small Right"/>
    <w:basedOn w:val="BodyTextRight"/>
    <w:rsid w:val="00031F1D"/>
    <w:rPr>
      <w:sz w:val="18"/>
      <w:szCs w:val="18"/>
    </w:rPr>
  </w:style>
  <w:style w:type="paragraph" w:customStyle="1" w:styleId="MarginEdition">
    <w:name w:val="Margin Edition"/>
    <w:basedOn w:val="MarginNote"/>
    <w:rsid w:val="00031F1D"/>
    <w:pPr>
      <w:spacing w:before="0" w:after="0"/>
    </w:pPr>
    <w:rPr>
      <w:rFonts w:ascii="Times New Roman" w:hAnsi="Times New Roman"/>
      <w:color w:val="999999"/>
    </w:rPr>
  </w:style>
  <w:style w:type="paragraph" w:customStyle="1" w:styleId="Spacer">
    <w:name w:val="Spacer"/>
    <w:basedOn w:val="Normal"/>
    <w:rsid w:val="00031F1D"/>
    <w:rPr>
      <w:sz w:val="2"/>
      <w:szCs w:val="2"/>
    </w:rPr>
  </w:style>
  <w:style w:type="character" w:customStyle="1" w:styleId="Small">
    <w:name w:val="Small"/>
    <w:rsid w:val="00031F1D"/>
    <w:rPr>
      <w:sz w:val="16"/>
    </w:rPr>
  </w:style>
  <w:style w:type="paragraph" w:customStyle="1" w:styleId="WideTable">
    <w:name w:val="Wide Table"/>
    <w:basedOn w:val="Normal"/>
    <w:rsid w:val="00031F1D"/>
    <w:pPr>
      <w:ind w:left="-1418"/>
    </w:pPr>
    <w:rPr>
      <w:sz w:val="2"/>
      <w:szCs w:val="2"/>
    </w:rPr>
  </w:style>
  <w:style w:type="character" w:styleId="PageNumber">
    <w:name w:val="page number"/>
    <w:rsid w:val="00031F1D"/>
  </w:style>
  <w:style w:type="paragraph" w:styleId="Quote">
    <w:name w:val="Quote"/>
    <w:basedOn w:val="Heading1"/>
    <w:link w:val="QuoteChar"/>
    <w:qFormat/>
    <w:rsid w:val="00031F1D"/>
    <w:rPr>
      <w:b w:val="0"/>
      <w:sz w:val="72"/>
      <w:szCs w:val="72"/>
      <w:lang w:val="en-NZ"/>
    </w:rPr>
  </w:style>
  <w:style w:type="character" w:customStyle="1" w:styleId="QuoteChar">
    <w:name w:val="Quote Char"/>
    <w:link w:val="Quote"/>
    <w:rsid w:val="00031F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F1D"/>
    <w:pPr>
      <w:pageBreakBefore/>
    </w:pPr>
  </w:style>
  <w:style w:type="paragraph" w:customStyle="1" w:styleId="Border">
    <w:name w:val="Border"/>
    <w:basedOn w:val="Normal"/>
    <w:qFormat/>
    <w:rsid w:val="00031F1D"/>
    <w:pPr>
      <w:pBdr>
        <w:top w:val="single" w:sz="18" w:space="1" w:color="auto"/>
      </w:pBdr>
    </w:pPr>
    <w:rPr>
      <w:rFonts w:ascii="Times New Roman" w:hAnsi="Times New Roman"/>
      <w:color w:val="FFFFFF"/>
      <w:sz w:val="2"/>
    </w:rPr>
  </w:style>
  <w:style w:type="character" w:styleId="IntenseEmphasis">
    <w:name w:val="Intense Emphasis"/>
    <w:uiPriority w:val="21"/>
    <w:qFormat/>
    <w:rsid w:val="00031F1D"/>
    <w:rPr>
      <w:b/>
      <w:bCs/>
      <w:i/>
      <w:iCs/>
      <w:color w:val="auto"/>
    </w:rPr>
  </w:style>
  <w:style w:type="paragraph" w:styleId="IntenseQuote">
    <w:name w:val="Intense Quote"/>
    <w:basedOn w:val="Normal"/>
    <w:next w:val="Normal"/>
    <w:link w:val="IntenseQuoteChar"/>
    <w:uiPriority w:val="30"/>
    <w:qFormat/>
    <w:rsid w:val="00031F1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31F1D"/>
    <w:rPr>
      <w:rFonts w:ascii="Courier New" w:eastAsia="Times New Roman" w:hAnsi="Courier New" w:cs="Times New Roman"/>
      <w:b/>
      <w:bCs/>
      <w:i/>
      <w:iCs/>
      <w:szCs w:val="20"/>
      <w:lang w:val="en-US" w:eastAsia="en-US"/>
    </w:rPr>
  </w:style>
  <w:style w:type="character" w:styleId="SubtleReference">
    <w:name w:val="Subtle Reference"/>
    <w:uiPriority w:val="31"/>
    <w:qFormat/>
    <w:rsid w:val="00031F1D"/>
    <w:rPr>
      <w:smallCaps/>
      <w:color w:val="auto"/>
      <w:u w:val="single"/>
    </w:rPr>
  </w:style>
  <w:style w:type="character" w:styleId="IntenseReference">
    <w:name w:val="Intense Reference"/>
    <w:uiPriority w:val="32"/>
    <w:qFormat/>
    <w:rsid w:val="00031F1D"/>
    <w:rPr>
      <w:b/>
      <w:bCs/>
      <w:smallCaps/>
      <w:color w:val="auto"/>
      <w:spacing w:val="5"/>
      <w:u w:val="single"/>
    </w:rPr>
  </w:style>
  <w:style w:type="paragraph" w:customStyle="1" w:styleId="2ColumnHeading">
    <w:name w:val="2Column Heading"/>
    <w:basedOn w:val="BodyText"/>
    <w:qFormat/>
    <w:rsid w:val="00031F1D"/>
    <w:pPr>
      <w:spacing w:after="60"/>
      <w:ind w:left="-2268"/>
    </w:pPr>
    <w:rPr>
      <w:b/>
    </w:rPr>
  </w:style>
  <w:style w:type="paragraph" w:customStyle="1" w:styleId="Heading1TOC">
    <w:name w:val="Heading1 TOC"/>
    <w:basedOn w:val="Normal"/>
    <w:qFormat/>
    <w:rsid w:val="00031F1D"/>
    <w:pPr>
      <w:spacing w:before="240" w:after="120"/>
    </w:pPr>
    <w:rPr>
      <w:rFonts w:ascii="Times New Roman" w:hAnsi="Times New Roman"/>
      <w:b/>
      <w:sz w:val="32"/>
    </w:rPr>
  </w:style>
  <w:style w:type="paragraph" w:customStyle="1" w:styleId="Heading2TOC">
    <w:name w:val="Heading2 TOC"/>
    <w:basedOn w:val="Normal"/>
    <w:qFormat/>
    <w:rsid w:val="00031F1D"/>
    <w:pPr>
      <w:spacing w:before="240" w:after="60"/>
    </w:pPr>
    <w:rPr>
      <w:rFonts w:ascii="Times New Roman" w:hAnsi="Times New Roman"/>
      <w:b/>
      <w:sz w:val="28"/>
    </w:rPr>
  </w:style>
  <w:style w:type="character" w:customStyle="1" w:styleId="Underline">
    <w:name w:val="Underline"/>
    <w:qFormat/>
    <w:rsid w:val="00031F1D"/>
    <w:rPr>
      <w:u w:val="single"/>
    </w:rPr>
  </w:style>
  <w:style w:type="paragraph" w:styleId="BalloonText">
    <w:name w:val="Balloon Text"/>
    <w:basedOn w:val="Normal"/>
    <w:link w:val="BalloonTextChar"/>
    <w:rsid w:val="00031F1D"/>
    <w:rPr>
      <w:rFonts w:ascii="Tahoma" w:hAnsi="Tahoma" w:cs="Tahoma"/>
      <w:sz w:val="16"/>
      <w:szCs w:val="16"/>
    </w:rPr>
  </w:style>
  <w:style w:type="character" w:customStyle="1" w:styleId="BalloonTextChar">
    <w:name w:val="Balloon Text Char"/>
    <w:link w:val="BalloonText"/>
    <w:rsid w:val="00031F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1F1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31F1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1381</Words>
  <Characters>8832</Characters>
  <Application>Microsoft Office Word</Application>
  <DocSecurity>0</DocSecurity>
  <Lines>342</Lines>
  <Paragraphs>199</Paragraphs>
  <ScaleCrop>false</ScaleCrop>
  <Company>Author-it Software Corporation Ltd.</Company>
  <LinksUpToDate>false</LinksUpToDate>
  <CharactersWithSpaces>10133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FNSACC302A Administer subsidiary accounts and ledgers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2012-05-26T16:11:00Z</dcterms:created>
  <dcterms:modified xsi:type="dcterms:W3CDTF">2012-05-26T16:11:00Z</dcterms:modified>
</cp:coreProperties>
</file>