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5D1" w:rsidP="00C145D1">
      <w:pPr>
        <w:pStyle w:val="Title"/>
      </w:pPr>
      <w:r>
        <w:fldChar w:fldCharType="begin"/>
      </w:r>
      <w:r>
        <w:instrText xml:space="preserve"> TITLE   \* MERGEFORMAT </w:instrText>
      </w:r>
      <w:r>
        <w:fldChar w:fldCharType="separate"/>
      </w:r>
      <w:r>
        <w:t>FNSMERC304B Locate subjects</w:t>
      </w:r>
      <w:r>
        <w:fldChar w:fldCharType="end"/>
      </w:r>
    </w:p>
    <w:p w:rsidR="00C145D1" w:rsidP="00C145D1">
      <w:pPr>
        <w:pStyle w:val="Version"/>
        <w:sectPr w:rsidSect="00C249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920" w:rsidP="00C24920">
      <w:pPr>
        <w:pStyle w:val="SuperHeading"/>
      </w:pPr>
      <w:r w:rsidRPr="00C24920">
        <w:t>FNSMERC304B Locate subjects</w:t>
      </w:r>
    </w:p>
    <w:p w:rsidR="00000000" w:rsidRPr="00C24920" w:rsidP="00C24920">
      <w:pPr>
        <w:pStyle w:val="Heading1"/>
      </w:pPr>
      <w:bookmarkStart w:id="1" w:name="O_318593"/>
      <w:bookmarkEnd w:id="1"/>
      <w:r w:rsidRPr="00C24920">
        <w:t>Modification History</w:t>
      </w:r>
    </w:p>
    <w:p w:rsidR="00000000" w:rsidRPr="00C24920" w:rsidP="00C24920">
      <w:pPr>
        <w:pStyle w:val="BodyText"/>
      </w:pPr>
      <w:r w:rsidRPr="00C24920">
        <w:t>Not applicable.</w:t>
      </w:r>
    </w:p>
    <w:p w:rsidR="00000000" w:rsidRPr="00C24920" w:rsidP="00C24920">
      <w:pPr>
        <w:pStyle w:val="AllowPageBreak"/>
      </w:pPr>
    </w:p>
    <w:p w:rsidR="00000000" w:rsidRPr="00C24920" w:rsidP="00C24920">
      <w:pPr>
        <w:pStyle w:val="Heading1"/>
      </w:pPr>
      <w:bookmarkStart w:id="2" w:name="O_318595"/>
      <w:bookmarkEnd w:id="2"/>
      <w:r w:rsidRPr="00C24920">
        <w:t>Unit Descriptor</w:t>
      </w:r>
    </w:p>
    <w:p w:rsidR="00000000" w:rsidRPr="00C24920" w:rsidP="00C24920">
      <w:pPr>
        <w:pStyle w:val="BodyText"/>
      </w:pPr>
      <w:r w:rsidRPr="00C24920">
        <w:t>This unit describes the functions associated with locating subjects.</w:t>
      </w:r>
    </w:p>
    <w:p w:rsidR="00000000" w:rsidRPr="00C24920" w:rsidP="00C24920">
      <w:pPr>
        <w:pStyle w:val="BodyText"/>
      </w:pPr>
      <w:r w:rsidRPr="00C24920">
        <w:t>This unit describes the functions associated with locating subjects.</w:t>
      </w:r>
    </w:p>
    <w:p w:rsidR="00000000" w:rsidRPr="00C24920" w:rsidP="00C24920">
      <w:pPr>
        <w:pStyle w:val="AllowPageBreak"/>
      </w:pPr>
    </w:p>
    <w:p w:rsidR="00000000" w:rsidRPr="00C24920" w:rsidP="00C24920">
      <w:pPr>
        <w:pStyle w:val="Heading1"/>
      </w:pPr>
      <w:bookmarkStart w:id="3" w:name="O_318594"/>
      <w:bookmarkEnd w:id="3"/>
      <w:r w:rsidRPr="00C24920">
        <w:t>Application of the Unit</w:t>
      </w:r>
    </w:p>
    <w:p w:rsidR="00000000" w:rsidRPr="00C24920" w:rsidP="00C24920">
      <w:pPr>
        <w:pStyle w:val="BodyText"/>
      </w:pPr>
      <w:r w:rsidRPr="00C24920">
        <w:t>This unit requires the application of research, analytical and investigative skills to determine the location of subjects, and written and oral communication and reporting skills. Demonstration of perception and intui</w:t>
      </w:r>
      <w:r w:rsidRPr="00C24920">
        <w:t xml:space="preserve">tion in determining and assessing lines of approach should be assessed. </w:t>
      </w:r>
    </w:p>
    <w:p w:rsidR="00000000" w:rsidRPr="00C24920" w:rsidP="00C24920">
      <w:pPr>
        <w:pStyle w:val="BodyText"/>
      </w:pPr>
      <w:r w:rsidRPr="00C24920">
        <w:t>This unit requires the application of research, analytical and investigative skills to determine the location of subjects, and written and oral communication and reporting skills. Dem</w:t>
      </w:r>
      <w:r w:rsidRPr="00C24920">
        <w:t xml:space="preserve">onstration of perception and intuition in determining and assessing lines of approach should be assessed. </w:t>
      </w:r>
    </w:p>
    <w:p w:rsidR="00000000" w:rsidRPr="00C24920" w:rsidP="00C24920">
      <w:pPr>
        <w:pStyle w:val="AllowPageBreak"/>
      </w:pPr>
    </w:p>
    <w:p w:rsidR="00000000" w:rsidRPr="00C24920" w:rsidP="00C24920">
      <w:pPr>
        <w:pStyle w:val="Heading1"/>
      </w:pPr>
      <w:bookmarkStart w:id="4" w:name="O_318604"/>
      <w:bookmarkEnd w:id="4"/>
      <w:r w:rsidRPr="00C24920">
        <w:t>Licensing/Regulatory Information</w:t>
      </w:r>
    </w:p>
    <w:p w:rsidR="00000000" w:rsidRPr="00C24920" w:rsidP="00C24920">
      <w:pPr>
        <w:pStyle w:val="BodyText"/>
      </w:pPr>
      <w:r w:rsidRPr="00C24920">
        <w:t>Not applicable.</w:t>
      </w:r>
    </w:p>
    <w:p w:rsidR="00000000" w:rsidRPr="00C24920" w:rsidP="00C24920">
      <w:pPr>
        <w:pStyle w:val="AllowPageBreak"/>
      </w:pPr>
    </w:p>
    <w:p w:rsidR="00000000" w:rsidRPr="00C24920" w:rsidP="00C24920">
      <w:pPr>
        <w:pStyle w:val="Heading1"/>
      </w:pPr>
      <w:bookmarkStart w:id="5" w:name="O_318596"/>
      <w:bookmarkEnd w:id="5"/>
      <w:r w:rsidRPr="00C24920">
        <w:t>Pre-Requisites</w:t>
      </w:r>
    </w:p>
    <w:p w:rsidR="00000000" w:rsidRPr="00C24920" w:rsidP="00C24920">
      <w:pPr>
        <w:pStyle w:val="BodyText"/>
      </w:pPr>
      <w:r w:rsidRPr="00C24920">
        <w:t>Not applicable.</w:t>
      </w:r>
    </w:p>
    <w:p w:rsidR="00000000" w:rsidRPr="00C24920" w:rsidP="00C24920">
      <w:pPr>
        <w:pStyle w:val="AllowPageBreak"/>
      </w:pPr>
    </w:p>
    <w:p w:rsidR="00000000" w:rsidRPr="00C24920" w:rsidP="00C24920">
      <w:pPr>
        <w:pStyle w:val="Heading1"/>
      </w:pPr>
      <w:bookmarkStart w:id="6" w:name="O_318592"/>
      <w:bookmarkEnd w:id="6"/>
      <w:r w:rsidRPr="00C24920">
        <w:t>Employabilit</w:t>
      </w:r>
      <w:r w:rsidRPr="00C24920">
        <w:t>y Skills Information</w:t>
      </w:r>
    </w:p>
    <w:p w:rsidR="00000000" w:rsidRPr="00C24920" w:rsidP="00C24920">
      <w:pPr>
        <w:pStyle w:val="BodyText"/>
      </w:pPr>
      <w:r w:rsidRPr="00C24920">
        <w:t>The required outcomes described in this unit of competency contain applicable facets of employability skills. The Employability Skills Summary for the qualification in which this unit of competency is packaged, will assist in identifyi</w:t>
      </w:r>
      <w:r w:rsidRPr="00C24920">
        <w:t>ng employability skills requirements.</w:t>
      </w:r>
    </w:p>
    <w:p w:rsidR="00000000" w:rsidRPr="00C24920" w:rsidP="00C24920">
      <w:pPr>
        <w:pStyle w:val="BodyText"/>
      </w:pPr>
      <w:r w:rsidRPr="00C24920">
        <w:t>The required outcomes described in this unit of competency contain applicable facets of employability skills. The Employability Skills Summary for the qualification in which this unit of competency is packaged, will as</w:t>
      </w:r>
      <w:r w:rsidRPr="00C24920">
        <w:t>sist in identifying employability skills requirements.</w:t>
      </w:r>
    </w:p>
    <w:p w:rsidR="00000000" w:rsidRPr="00C24920" w:rsidP="00C24920">
      <w:pPr>
        <w:pStyle w:val="AllowPageBreak"/>
      </w:pPr>
    </w:p>
    <w:p w:rsidR="00000000" w:rsidRPr="00C24920" w:rsidP="00C24920">
      <w:pPr>
        <w:pStyle w:val="Heading1"/>
      </w:pPr>
      <w:bookmarkStart w:id="7" w:name="O_318598"/>
      <w:bookmarkEnd w:id="7"/>
      <w:r w:rsidRPr="00C24920">
        <w:t>Elements and Performance Criteria Pre-Content</w:t>
      </w:r>
    </w:p>
    <w:p w:rsidR="00000000" w:rsidRPr="00C24920" w:rsidP="00C24920">
      <w:pPr>
        <w:pStyle w:val="BodyText"/>
      </w:pPr>
      <w:r w:rsidRPr="00C24920">
        <w:t>Elements define the essential outcomes of a unit of competency.</w:t>
      </w:r>
    </w:p>
    <w:p w:rsidR="00000000" w:rsidRPr="00C24920" w:rsidP="00C24920">
      <w:pPr>
        <w:pStyle w:val="BodyText"/>
      </w:pPr>
      <w:r w:rsidRPr="00C24920">
        <w:t xml:space="preserve">Performance Criteria describe the required performance needed to demonstrate achievement of the Element. </w:t>
      </w:r>
      <w:r w:rsidRPr="00C24920">
        <w:rPr>
          <w:rStyle w:val="SpecialBold"/>
        </w:rPr>
        <w:t xml:space="preserve">Bold, italicised </w:t>
      </w:r>
      <w:r w:rsidRPr="00C24920">
        <w:t>terms are elaborated in the Range Statement. Assessment of performance is to be consistent with the Evidence Guide.</w:t>
      </w:r>
    </w:p>
    <w:p w:rsidR="00000000" w:rsidRPr="00C24920" w:rsidP="00C24920">
      <w:pPr>
        <w:pStyle w:val="BodyText"/>
      </w:pPr>
      <w:r w:rsidRPr="00C24920">
        <w:t>Elements define th</w:t>
      </w:r>
      <w:r w:rsidRPr="00C24920">
        <w:t>e essential outcomes of a unit of competency.</w:t>
      </w:r>
    </w:p>
    <w:p w:rsidR="00000000" w:rsidRPr="00C24920" w:rsidP="00C24920">
      <w:pPr>
        <w:pStyle w:val="BodyText"/>
      </w:pPr>
      <w:r w:rsidRPr="00C24920">
        <w:t xml:space="preserve">Performance Criteria describe the required performance needed to demonstrate achievement of the Element. </w:t>
      </w:r>
      <w:r w:rsidRPr="00C24920">
        <w:rPr>
          <w:rStyle w:val="SpecialBold"/>
        </w:rPr>
        <w:t xml:space="preserve">Bold, italicised </w:t>
      </w:r>
      <w:r w:rsidRPr="00C24920">
        <w:t>terms are elaborated in the Range Statement. Assessment of performance is to be consiste</w:t>
      </w:r>
      <w:r w:rsidRPr="00C24920">
        <w:t>nt with the Evidence Guide.</w:t>
      </w:r>
    </w:p>
    <w:p w:rsidR="00000000" w:rsidRPr="00C24920" w:rsidP="00C24920">
      <w:pPr>
        <w:pStyle w:val="AllowPageBreak"/>
      </w:pPr>
    </w:p>
    <w:p w:rsidR="00000000" w:rsidRPr="00C24920" w:rsidP="00C24920">
      <w:pPr>
        <w:pStyle w:val="Heading1"/>
      </w:pPr>
      <w:bookmarkStart w:id="8" w:name="O_318599"/>
      <w:bookmarkEnd w:id="8"/>
      <w:r w:rsidRPr="00C2492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145D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Elements and Performance Criteria</w:t>
            </w:r>
          </w:p>
        </w:tc>
      </w:tr>
      <w:tr w:rsidTr="00C145D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Performance Criteria</w:t>
            </w:r>
          </w:p>
        </w:tc>
      </w:tr>
      <w:tr w:rsidTr="00C145D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1</w:t>
            </w:r>
          </w:p>
        </w:tc>
        <w:tc>
          <w:tcPr>
            <w:tcW w:w="3000" w:type="dxa"/>
            <w:vMerge w:val="restart"/>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Research/investigate case</w:t>
            </w:r>
          </w:p>
        </w:tc>
        <w:tc>
          <w:tcPr>
            <w:tcW w:w="5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1.1</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 xml:space="preserve">Client's </w:t>
            </w:r>
            <w:r w:rsidRPr="00C24920">
              <w:t>written instructions are accurately and clearly interpreted</w:t>
            </w:r>
          </w:p>
        </w:tc>
      </w:tr>
      <w:tr w:rsidTr="00C145D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1.2</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 xml:space="preserve">Preliminary </w:t>
            </w:r>
            <w:r w:rsidRPr="00C24920">
              <w:rPr>
                <w:rStyle w:val="SpecialBold"/>
              </w:rPr>
              <w:t xml:space="preserve">searches </w:t>
            </w:r>
            <w:r w:rsidRPr="00C24920">
              <w:t xml:space="preserve">for </w:t>
            </w:r>
            <w:r w:rsidRPr="00C24920">
              <w:rPr>
                <w:rStyle w:val="SpecialBold"/>
              </w:rPr>
              <w:t xml:space="preserve">subjects </w:t>
            </w:r>
            <w:r w:rsidRPr="00C24920">
              <w:t>are thoroughly and comprehensively completed</w:t>
            </w:r>
          </w:p>
        </w:tc>
      </w:tr>
      <w:tr w:rsidTr="00C145D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1.3</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 xml:space="preserve">All appropriate </w:t>
            </w:r>
            <w:r w:rsidRPr="00C24920">
              <w:rPr>
                <w:rStyle w:val="SpecialBold"/>
              </w:rPr>
              <w:t xml:space="preserve">mercantile data </w:t>
            </w:r>
            <w:r w:rsidRPr="00C24920">
              <w:t>is checked for relevant information</w:t>
            </w:r>
          </w:p>
        </w:tc>
      </w:tr>
      <w:tr w:rsidTr="00C145D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2</w:t>
            </w:r>
          </w:p>
        </w:tc>
        <w:tc>
          <w:tcPr>
            <w:tcW w:w="3000" w:type="dxa"/>
            <w:vMerge w:val="restart"/>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Conduct searches/enquiries</w:t>
            </w:r>
          </w:p>
        </w:tc>
        <w:tc>
          <w:tcPr>
            <w:tcW w:w="5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2.1</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 xml:space="preserve">Field calls </w:t>
            </w:r>
            <w:r w:rsidRPr="00C24920">
              <w:t>are made as directed by client and meet legislative req</w:t>
            </w:r>
            <w:r w:rsidRPr="00C24920">
              <w:t>uirements</w:t>
            </w:r>
          </w:p>
        </w:tc>
      </w:tr>
      <w:tr w:rsidTr="00C145D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2.2</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Address is checked when necessary and any further leads are persistently followed to ascertain whereabouts of individual</w:t>
            </w:r>
          </w:p>
        </w:tc>
      </w:tr>
      <w:tr w:rsidTr="00C145D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2.3</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Alternative lines of approach are developed and assessed to determine the most effective and applicable one</w:t>
            </w:r>
          </w:p>
        </w:tc>
      </w:tr>
      <w:tr w:rsidTr="00C145D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2.4</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Searches are conducted in a reasonable time period as specified by client</w:t>
            </w:r>
          </w:p>
        </w:tc>
      </w:tr>
      <w:tr w:rsidTr="00C145D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2.5</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Detailed field notes on times, dates, occurrences and results are accurately maintained to obtain the best result from searches</w:t>
            </w:r>
          </w:p>
        </w:tc>
      </w:tr>
      <w:tr w:rsidTr="00C145D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3</w:t>
            </w:r>
          </w:p>
        </w:tc>
        <w:tc>
          <w:tcPr>
            <w:tcW w:w="3000" w:type="dxa"/>
            <w:vMerge w:val="restart"/>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Formulate/report recommendations</w:t>
            </w:r>
          </w:p>
        </w:tc>
        <w:tc>
          <w:tcPr>
            <w:tcW w:w="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3.1</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Information gathered is reviewed and ordered</w:t>
            </w:r>
          </w:p>
        </w:tc>
      </w:tr>
      <w:tr w:rsidTr="00C145D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3.2</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Results of review of the information are used to determine a strategy for action</w:t>
            </w:r>
          </w:p>
        </w:tc>
      </w:tr>
      <w:tr w:rsidTr="00C145D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3.3</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Documentation of outcomes is clear, concise and is made accessible to all relevant staff</w:t>
            </w:r>
          </w:p>
        </w:tc>
      </w:tr>
      <w:tr w:rsidTr="00C145D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3.4</w:t>
            </w:r>
          </w:p>
        </w:tc>
        <w:tc>
          <w:tcPr>
            <w:tcW w:w="51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Links between the outcomes and the analysis of the debtor information are proposed as a basis for further action or non-action</w:t>
            </w:r>
          </w:p>
        </w:tc>
      </w:tr>
      <w:tr w:rsidTr="00C145D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3.5</w:t>
            </w:r>
          </w:p>
        </w:tc>
        <w:tc>
          <w:tcPr>
            <w:tcW w:w="51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Relevant reports are completed without delay and disseminated to appropriate staff and management</w:t>
            </w:r>
          </w:p>
        </w:tc>
      </w:tr>
    </w:tbl>
    <w:p w:rsidR="00000000" w:rsidRPr="00C24920" w:rsidP="00C24920">
      <w:pPr>
        <w:pStyle w:val="BodyText"/>
      </w:pPr>
    </w:p>
    <w:p w:rsidR="00000000" w:rsidRPr="00C24920" w:rsidP="00C24920">
      <w:pPr>
        <w:pStyle w:val="AllowPageBreak"/>
      </w:pPr>
    </w:p>
    <w:p w:rsidR="00000000" w:rsidRPr="00C24920" w:rsidP="00C24920">
      <w:pPr>
        <w:pStyle w:val="Heading1"/>
      </w:pPr>
      <w:bookmarkStart w:id="9" w:name="O_318600"/>
      <w:bookmarkEnd w:id="9"/>
      <w:r w:rsidRPr="00C24920">
        <w:t>Required Skills and Knowledge</w:t>
      </w:r>
    </w:p>
    <w:tbl>
      <w:tblPr>
        <w:tblW w:w="0" w:type="auto"/>
        <w:tblLayout w:type="fixed"/>
        <w:tblCellMar>
          <w:left w:w="62" w:type="dxa"/>
          <w:right w:w="62" w:type="dxa"/>
        </w:tblCellMar>
        <w:tblLook w:val="0000"/>
      </w:tblPr>
      <w:tblGrid>
        <w:gridCol w:w="9000"/>
      </w:tblGrid>
      <w:tr w:rsidTr="00C145D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REQUIRED KNOWLEDGE</w:t>
            </w:r>
            <w:r w:rsidRPr="00C24920">
              <w:t>&amp;</w:t>
            </w:r>
            <w:r w:rsidRPr="00C24920">
              <w:rPr>
                <w:rStyle w:val="SpecialBold"/>
              </w:rPr>
              <w:t>SKILLS</w:t>
            </w:r>
          </w:p>
        </w:tc>
      </w:tr>
      <w:tr w:rsidTr="00C145D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rPr>
                <w:rStyle w:val="SpecialBold"/>
              </w:rPr>
              <w:t>Knowledge requirements include</w:t>
            </w:r>
            <w:r w:rsidRPr="00C24920">
              <w:t xml:space="preserve">:    </w:t>
            </w:r>
          </w:p>
          <w:p w:rsidR="00000000" w:rsidRPr="00C24920" w:rsidP="00C24920">
            <w:pPr>
              <w:pStyle w:val="BodyText"/>
            </w:pPr>
            <w:r w:rsidRPr="00C24920">
              <w:t>basic knowledge of all relevant State and Commonwealth Acts</w:t>
            </w:r>
          </w:p>
          <w:p w:rsidR="00000000" w:rsidP="00C24920">
            <w:pPr>
              <w:pStyle w:val="BodyText"/>
              <w:rPr>
                <w:lang w:val="en-NZ"/>
              </w:rPr>
            </w:pPr>
            <w:r w:rsidRPr="00C24920">
              <w:t xml:space="preserve">occupational health and safety (OH&amp;S) practices </w:t>
            </w:r>
          </w:p>
        </w:tc>
      </w:tr>
      <w:tr w:rsidTr="00C145D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rPr>
                <w:rStyle w:val="SpecialBold"/>
              </w:rPr>
              <w:t>Skills requirements include</w:t>
            </w:r>
            <w:r w:rsidRPr="00C24920">
              <w:t xml:space="preserve">:    </w:t>
            </w:r>
          </w:p>
          <w:p w:rsidR="00000000" w:rsidRPr="00C24920" w:rsidP="00C24920">
            <w:pPr>
              <w:pStyle w:val="BodyText"/>
            </w:pPr>
            <w:r w:rsidRPr="00C24920">
              <w:t>demonstrates current</w:t>
            </w:r>
            <w:r w:rsidRPr="00C24920">
              <w:t xml:space="preserve"> techniques of search and locating defaulters</w:t>
            </w:r>
          </w:p>
          <w:p w:rsidR="00000000" w:rsidRPr="00C24920" w:rsidP="00C24920">
            <w:pPr>
              <w:pStyle w:val="BodyText"/>
            </w:pPr>
            <w:r w:rsidRPr="00C24920">
              <w:t>ability to liaise effectively with a range of clients</w:t>
            </w:r>
          </w:p>
          <w:p w:rsidR="00000000" w:rsidRPr="00C24920" w:rsidP="00C24920">
            <w:pPr>
              <w:pStyle w:val="BodyText"/>
            </w:pPr>
            <w:r w:rsidRPr="00C24920">
              <w:t>negotiation and dispute resolution skills</w:t>
            </w:r>
          </w:p>
          <w:p w:rsidR="00000000" w:rsidRPr="00C24920" w:rsidP="00C24920">
            <w:pPr>
              <w:pStyle w:val="BodyText"/>
            </w:pPr>
            <w:r w:rsidRPr="00C24920">
              <w:t>clear and accurate observation and analytical skills</w:t>
            </w:r>
          </w:p>
          <w:p w:rsidR="00000000" w:rsidRPr="00C24920" w:rsidP="00C24920">
            <w:pPr>
              <w:pStyle w:val="BodyText"/>
            </w:pPr>
            <w:r w:rsidRPr="00C24920">
              <w:t>effective written communication skills and appropriate report</w:t>
            </w:r>
            <w:r w:rsidRPr="00C24920">
              <w:t xml:space="preserve"> and letter writing</w:t>
            </w:r>
          </w:p>
          <w:p w:rsidR="00000000" w:rsidRPr="00C24920" w:rsidP="00C24920">
            <w:pPr>
              <w:pStyle w:val="BodyText"/>
            </w:pPr>
            <w:r w:rsidRPr="00C24920">
              <w:t xml:space="preserve">effective telephone techniques </w:t>
            </w:r>
          </w:p>
        </w:tc>
      </w:tr>
    </w:tbl>
    <w:p w:rsidR="00000000" w:rsidRPr="00C24920" w:rsidP="00C24920">
      <w:pPr>
        <w:pStyle w:val="BodyText"/>
      </w:pPr>
    </w:p>
    <w:p w:rsidR="00000000" w:rsidRPr="00C24920" w:rsidP="00C24920">
      <w:pPr>
        <w:pStyle w:val="AllowPageBreak"/>
      </w:pPr>
    </w:p>
    <w:p w:rsidR="00000000" w:rsidRPr="00C24920" w:rsidP="00C24920">
      <w:pPr>
        <w:pStyle w:val="Heading1"/>
      </w:pPr>
      <w:bookmarkStart w:id="10" w:name="O_318601"/>
      <w:bookmarkEnd w:id="10"/>
      <w:r w:rsidRPr="00C24920">
        <w:t>Evidence Guide</w:t>
      </w:r>
    </w:p>
    <w:tbl>
      <w:tblPr>
        <w:tblW w:w="0" w:type="auto"/>
        <w:tblLayout w:type="fixed"/>
        <w:tblCellMar>
          <w:left w:w="62" w:type="dxa"/>
          <w:right w:w="62" w:type="dxa"/>
        </w:tblCellMar>
        <w:tblLook w:val="0000"/>
      </w:tblPr>
      <w:tblGrid>
        <w:gridCol w:w="4500"/>
        <w:gridCol w:w="4500"/>
      </w:tblGrid>
      <w:tr w:rsidTr="00C145D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 xml:space="preserve"> EVIDENCE GUIDE</w:t>
            </w:r>
          </w:p>
        </w:tc>
      </w:tr>
      <w:tr w:rsidTr="00C145D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 xml:space="preserve">Assessment of performance requirements in the unit should be undertaken in an industry context. The Evidence Guide identifies the critical </w:t>
            </w:r>
            <w:r w:rsidRPr="00C24920">
              <w:t xml:space="preserve">aspects, knowledge and skills to be demonstrated to confirm competency for the unit. Competency is demonstrated by performance of all stated criteria including the Range Statement applicable to the workplace. </w:t>
            </w:r>
          </w:p>
        </w:tc>
      </w:tr>
      <w:tr w:rsidTr="00C145D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 xml:space="preserve">OVERVIEW OF ASSESSMENT REQUIREMENTS </w:t>
            </w:r>
          </w:p>
        </w:tc>
      </w:tr>
      <w:tr w:rsidTr="00C145D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To ac</w:t>
            </w:r>
            <w:r w:rsidRPr="00C24920">
              <w:t xml:space="preserve">hieve competency in this unit, a person must be able to demonstrate: </w:t>
            </w:r>
          </w:p>
          <w:p w:rsidR="00000000" w:rsidP="00C24920">
            <w:pPr>
              <w:pStyle w:val="BodyText"/>
              <w:rPr>
                <w:lang w:val="en-NZ"/>
              </w:rPr>
            </w:pPr>
            <w:r w:rsidRPr="00C24920">
              <w:t xml:space="preserve">good application of prior experience in searches and problem solving, such as patterns of behaviour and incidents, or trends, which indicate areas for investigation </w:t>
            </w:r>
          </w:p>
        </w:tc>
      </w:tr>
      <w:tr w:rsidTr="00C145D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developing constru</w:t>
            </w:r>
            <w:r w:rsidRPr="00C24920">
              <w:t>ctive responses when confronted with problems and difficulties</w:t>
            </w:r>
          </w:p>
          <w:p w:rsidR="00000000" w:rsidRPr="00C24920" w:rsidP="00C24920">
            <w:pPr>
              <w:pStyle w:val="BodyText"/>
            </w:pPr>
            <w:r w:rsidRPr="00C24920">
              <w:t>to operate reliably at all times and an awareness of client and community concerns</w:t>
            </w:r>
          </w:p>
          <w:p w:rsidR="00000000" w:rsidRPr="00C24920" w:rsidP="00C24920">
            <w:pPr>
              <w:pStyle w:val="BodyText"/>
            </w:pPr>
            <w:r w:rsidRPr="00C24920">
              <w:t>maintaining knowledge of current legislative requirements and general developments in process servicing</w:t>
            </w:r>
          </w:p>
          <w:p w:rsidR="00000000" w:rsidP="00C24920">
            <w:pPr>
              <w:pStyle w:val="BodyText"/>
              <w:rPr>
                <w:lang w:val="en-NZ"/>
              </w:rPr>
            </w:pPr>
            <w:r w:rsidRPr="00C24920">
              <w:t>abilit</w:t>
            </w:r>
            <w:r w:rsidRPr="00C24920">
              <w:t xml:space="preserve">y to liaise and cooperate with a variety of people </w:t>
            </w:r>
          </w:p>
        </w:tc>
      </w:tr>
      <w:tr w:rsidTr="00C145D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 xml:space="preserve">CRITICAL ASPECTS OF EVIDENCE </w:t>
            </w:r>
          </w:p>
        </w:tc>
      </w:tr>
      <w:tr w:rsidTr="00C145D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Evidence required for demonstration of consistent performance</w:t>
            </w:r>
            <w:r w:rsidRPr="00C24920">
              <w:t xml:space="preserve">: </w:t>
            </w:r>
          </w:p>
        </w:tc>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Competence in this unit must be assessed over a period of time in order to ensure consistency of performan</w:t>
            </w:r>
            <w:r w:rsidRPr="00C24920">
              <w:t xml:space="preserve">ce over the Range Statement and contexts applicable to the work environment. </w:t>
            </w:r>
          </w:p>
        </w:tc>
      </w:tr>
      <w:tr w:rsidTr="00C145D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Delivery</w:t>
            </w:r>
            <w:r w:rsidRPr="00C24920">
              <w:t>/</w:t>
            </w:r>
            <w:r w:rsidRPr="00C24920">
              <w:rPr>
                <w:rStyle w:val="SpecialBold"/>
              </w:rPr>
              <w:t>assessment relationship to other units</w:t>
            </w:r>
            <w:r w:rsidRPr="00C24920">
              <w:t xml:space="preserve">: </w:t>
            </w:r>
          </w:p>
        </w:tc>
        <w:tc>
          <w:tcPr>
            <w:tcW w:w="45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This unit may be assessed on its own or it may be assessed with other units that cover related skills and knowledge.</w:t>
            </w:r>
          </w:p>
          <w:p w:rsidR="00000000" w:rsidP="00C24920">
            <w:pPr>
              <w:pStyle w:val="BodyText"/>
              <w:rPr>
                <w:lang w:val="en-NZ"/>
              </w:rPr>
            </w:pPr>
            <w:r w:rsidRPr="00C24920">
              <w:t xml:space="preserve">Evidence is most relevant when provided through an integrated activity which combines the elements of competency for the unit, or a cluster of units of competency. </w:t>
            </w:r>
          </w:p>
        </w:tc>
      </w:tr>
      <w:tr w:rsidTr="00C145D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 xml:space="preserve">ASSESSMENT REQUIREMENTS </w:t>
            </w:r>
          </w:p>
        </w:tc>
      </w:tr>
      <w:tr w:rsidTr="00C145D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Method of assessment</w:t>
            </w:r>
            <w:r w:rsidRPr="00C24920">
              <w:t xml:space="preserve">: </w:t>
            </w:r>
          </w:p>
        </w:tc>
        <w:tc>
          <w:tcPr>
            <w:tcW w:w="45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For valid and reliable assessment of thi</w:t>
            </w:r>
            <w:r w:rsidRPr="00C24920">
              <w:t>s unit, evidence should be gathered through a range of methods to indicate consistent performance.</w:t>
            </w:r>
          </w:p>
          <w:p w:rsidR="00000000" w:rsidP="00C24920">
            <w:pPr>
              <w:pStyle w:val="BodyText"/>
              <w:rPr>
                <w:lang w:val="en-NZ"/>
              </w:rPr>
            </w:pPr>
            <w:r w:rsidRPr="00C24920">
              <w:t xml:space="preserve">Assessment of this unit of competence will usually include observation of processes and procedures, oral and/or written questioning </w:t>
            </w:r>
            <w:r w:rsidRPr="00C24920">
              <w:t>on underpinning knowledge</w:t>
            </w:r>
            <w:r w:rsidRPr="00C24920">
              <w:t xml:space="preserve"> and skills and other methods as required. </w:t>
            </w:r>
          </w:p>
        </w:tc>
      </w:tr>
      <w:tr w:rsidTr="00C145D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Context of assessment</w:t>
            </w:r>
            <w:r w:rsidRPr="00C24920">
              <w:t xml:space="preserve">: </w:t>
            </w:r>
          </w:p>
        </w:tc>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t xml:space="preserve">This unit may be assessed through practical demonstration in an actual work environment or simulation of such an environment. </w:t>
            </w:r>
          </w:p>
        </w:tc>
      </w:tr>
      <w:tr w:rsidTr="00C145D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Resources required for assessment</w:t>
            </w:r>
            <w:r w:rsidRPr="00C24920">
              <w:t xml:space="preserve">: </w:t>
            </w:r>
          </w:p>
        </w:tc>
        <w:tc>
          <w:tcPr>
            <w:tcW w:w="45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Assessment of this unit</w:t>
            </w:r>
            <w:r w:rsidRPr="00C24920">
              <w:t xml:space="preserve"> of competence requires access to:   </w:t>
            </w:r>
          </w:p>
          <w:p w:rsidR="00000000" w:rsidRPr="00C24920" w:rsidP="00C24920">
            <w:pPr>
              <w:pStyle w:val="BodyText"/>
            </w:pPr>
            <w:r w:rsidRPr="00C24920">
              <w:t>qualified assessors and assessment guidelines</w:t>
            </w:r>
          </w:p>
          <w:p w:rsidR="00000000" w:rsidRPr="00C24920" w:rsidP="00C24920">
            <w:pPr>
              <w:pStyle w:val="BodyText"/>
            </w:pPr>
            <w:r w:rsidRPr="00C24920">
              <w:t>a system which facilitates recording of trainee' profiles and progress</w:t>
            </w:r>
          </w:p>
          <w:p w:rsidR="00000000" w:rsidRPr="00C24920" w:rsidP="00C24920">
            <w:pPr>
              <w:pStyle w:val="BodyText"/>
            </w:pPr>
            <w:r w:rsidRPr="00C24920">
              <w:t xml:space="preserve">facilities for workplace or simulated environment assessment. </w:t>
            </w:r>
          </w:p>
        </w:tc>
      </w:tr>
    </w:tbl>
    <w:p w:rsidR="00000000" w:rsidRPr="00C24920" w:rsidP="00C24920">
      <w:pPr>
        <w:pStyle w:val="BodyText"/>
      </w:pPr>
    </w:p>
    <w:p w:rsidR="00000000" w:rsidRPr="00C24920" w:rsidP="00C24920">
      <w:pPr>
        <w:pStyle w:val="AllowPageBreak"/>
      </w:pPr>
    </w:p>
    <w:p w:rsidR="00000000" w:rsidRPr="00C24920" w:rsidP="00C24920">
      <w:pPr>
        <w:pStyle w:val="Heading1"/>
      </w:pPr>
      <w:bookmarkStart w:id="11" w:name="O_318602"/>
      <w:bookmarkEnd w:id="11"/>
      <w:r w:rsidRPr="00C24920">
        <w:t>Range Statement</w:t>
      </w:r>
    </w:p>
    <w:tbl>
      <w:tblPr>
        <w:tblW w:w="0" w:type="auto"/>
        <w:tblLayout w:type="fixed"/>
        <w:tblCellMar>
          <w:left w:w="62" w:type="dxa"/>
          <w:right w:w="62" w:type="dxa"/>
        </w:tblCellMar>
        <w:tblLook w:val="0000"/>
      </w:tblPr>
      <w:tblGrid>
        <w:gridCol w:w="4500"/>
        <w:gridCol w:w="4500"/>
      </w:tblGrid>
      <w:tr w:rsidTr="00C145D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4920">
            <w:pPr>
              <w:pStyle w:val="BodyText"/>
              <w:rPr>
                <w:lang w:val="en-NZ"/>
              </w:rPr>
            </w:pPr>
          </w:p>
        </w:tc>
      </w:tr>
      <w:tr w:rsidTr="00C145D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The range statement relates to the unit of competency as a whole. It allows for different work environments and situations that will affect performance.</w:t>
            </w:r>
          </w:p>
          <w:p w:rsidR="00000000" w:rsidP="00C24920">
            <w:pPr>
              <w:pStyle w:val="BodyText"/>
              <w:rPr>
                <w:lang w:val="en-NZ"/>
              </w:rPr>
            </w:pPr>
            <w:r w:rsidRPr="00C24920">
              <w:t>The following variables may be present with training and assessment depending on the work situation, ne</w:t>
            </w:r>
            <w:r w:rsidRPr="00C24920">
              <w:t xml:space="preserve">eds of the candidate, accessibility of the item, and local industry and regional contexts. If </w:t>
            </w:r>
            <w:r w:rsidRPr="00C24920">
              <w:rPr>
                <w:rStyle w:val="SpecialBold"/>
              </w:rPr>
              <w:t>bold italicised</w:t>
            </w:r>
            <w:r w:rsidRPr="00C24920">
              <w:t xml:space="preserve"> text is shown in Performance Criteria, details of the text are provided in the Range Statement. </w:t>
            </w:r>
          </w:p>
        </w:tc>
      </w:tr>
      <w:tr w:rsidTr="00C145D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Clients</w:t>
            </w:r>
            <w:r w:rsidRPr="00C2492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banks</w:t>
            </w:r>
          </w:p>
          <w:p w:rsidR="00000000" w:rsidRPr="00C24920" w:rsidP="00C24920">
            <w:pPr>
              <w:pStyle w:val="BodyText"/>
            </w:pPr>
            <w:r w:rsidRPr="00C24920">
              <w:t>building societies</w:t>
            </w:r>
          </w:p>
          <w:p w:rsidR="00000000" w:rsidRPr="00C24920" w:rsidP="00C24920">
            <w:pPr>
              <w:pStyle w:val="BodyText"/>
            </w:pPr>
            <w:r w:rsidRPr="00C24920">
              <w:t>credit unions</w:t>
            </w:r>
          </w:p>
          <w:p w:rsidR="00000000" w:rsidRPr="00C24920" w:rsidP="00C24920">
            <w:pPr>
              <w:pStyle w:val="BodyText"/>
            </w:pPr>
            <w:r w:rsidRPr="00C24920">
              <w:t>employers (managers, supervisors, team leaders)</w:t>
            </w:r>
          </w:p>
          <w:p w:rsidR="00000000" w:rsidRPr="00C24920" w:rsidP="00C24920">
            <w:pPr>
              <w:pStyle w:val="BodyText"/>
            </w:pPr>
            <w:r w:rsidRPr="00C24920">
              <w:t>finance companies</w:t>
            </w:r>
          </w:p>
          <w:p w:rsidR="00000000" w:rsidRPr="00C24920" w:rsidP="00C24920">
            <w:pPr>
              <w:pStyle w:val="BodyText"/>
            </w:pPr>
            <w:r w:rsidRPr="00C24920">
              <w:t>financiers</w:t>
            </w:r>
          </w:p>
          <w:p w:rsidR="00000000" w:rsidRPr="00C24920" w:rsidP="00C24920">
            <w:pPr>
              <w:pStyle w:val="BodyText"/>
            </w:pPr>
            <w:r w:rsidRPr="00C24920">
              <w:t>government agencies</w:t>
            </w:r>
          </w:p>
          <w:p w:rsidR="00000000" w:rsidRPr="00C24920" w:rsidP="00C24920">
            <w:pPr>
              <w:pStyle w:val="BodyText"/>
            </w:pPr>
            <w:r w:rsidRPr="00C24920">
              <w:t>private companies</w:t>
            </w:r>
          </w:p>
          <w:p w:rsidR="00000000" w:rsidRPr="00C24920" w:rsidP="00C24920">
            <w:pPr>
              <w:pStyle w:val="BodyText"/>
            </w:pPr>
            <w:r w:rsidRPr="00C24920">
              <w:t>other commercial agents</w:t>
            </w:r>
          </w:p>
          <w:p w:rsidR="00000000" w:rsidP="00C24920">
            <w:pPr>
              <w:pStyle w:val="BodyText"/>
              <w:rPr>
                <w:lang w:val="en-NZ"/>
              </w:rPr>
            </w:pPr>
            <w:r w:rsidRPr="00C24920">
              <w:t xml:space="preserve">solicitors </w:t>
            </w:r>
          </w:p>
        </w:tc>
      </w:tr>
      <w:tr w:rsidTr="00C145D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Searches</w:t>
            </w:r>
            <w:r w:rsidRPr="00C2492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public telephone directories</w:t>
            </w:r>
          </w:p>
          <w:p w:rsidR="00000000" w:rsidRPr="00C24920" w:rsidP="00C24920">
            <w:pPr>
              <w:pStyle w:val="BodyText"/>
            </w:pPr>
            <w:r w:rsidRPr="00C24920">
              <w:t>current electronic White Pages</w:t>
            </w:r>
          </w:p>
          <w:p w:rsidR="00000000" w:rsidRPr="00C24920" w:rsidP="00C24920">
            <w:pPr>
              <w:pStyle w:val="BodyText"/>
            </w:pPr>
            <w:r w:rsidRPr="00C24920">
              <w:t>reverse</w:t>
            </w:r>
            <w:r w:rsidRPr="00C24920">
              <w:t xml:space="preserve"> order computerised telephone directories</w:t>
            </w:r>
          </w:p>
          <w:p w:rsidR="00000000" w:rsidRPr="00C24920" w:rsidP="00C24920">
            <w:pPr>
              <w:pStyle w:val="BodyText"/>
            </w:pPr>
            <w:r w:rsidRPr="00C24920">
              <w:t>electoral rolls</w:t>
            </w:r>
          </w:p>
          <w:p w:rsidR="00000000" w:rsidRPr="00C24920" w:rsidP="00C24920">
            <w:pPr>
              <w:pStyle w:val="BodyText"/>
            </w:pPr>
            <w:r w:rsidRPr="00C24920">
              <w:t>titles office/council records</w:t>
            </w:r>
          </w:p>
          <w:p w:rsidR="00000000" w:rsidP="00C24920">
            <w:pPr>
              <w:pStyle w:val="BodyText"/>
              <w:rPr>
                <w:lang w:val="en-NZ"/>
              </w:rPr>
            </w:pPr>
            <w:r w:rsidRPr="00C24920">
              <w:t xml:space="preserve">motor vehicle registrations </w:t>
            </w:r>
          </w:p>
        </w:tc>
      </w:tr>
      <w:tr w:rsidTr="00C145D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Australian Securities and Investments Commission (ASIC) information</w:t>
            </w:r>
          </w:p>
          <w:p w:rsidR="00000000" w:rsidRPr="00C24920" w:rsidP="00C24920">
            <w:pPr>
              <w:pStyle w:val="BodyText"/>
            </w:pPr>
            <w:r w:rsidRPr="00C24920">
              <w:t>Freedom of Information (F.O.I) Acts - Commonwealth and State</w:t>
            </w:r>
          </w:p>
          <w:p w:rsidR="00000000" w:rsidRPr="00C24920" w:rsidP="00C24920">
            <w:pPr>
              <w:pStyle w:val="BodyText"/>
            </w:pPr>
            <w:r w:rsidRPr="00C24920">
              <w:t>credit f</w:t>
            </w:r>
            <w:r w:rsidRPr="00C24920">
              <w:t>iles (where Privacy Act allows)</w:t>
            </w:r>
          </w:p>
          <w:p w:rsidR="00000000" w:rsidRPr="00C24920" w:rsidP="00C24920">
            <w:pPr>
              <w:pStyle w:val="BodyText"/>
            </w:pPr>
            <w:r w:rsidRPr="00C24920">
              <w:t>Consumer Affairs records</w:t>
            </w:r>
          </w:p>
          <w:p w:rsidR="00000000" w:rsidRPr="00C24920" w:rsidP="00C24920">
            <w:pPr>
              <w:pStyle w:val="BodyText"/>
            </w:pPr>
            <w:r w:rsidRPr="00C24920">
              <w:t>Business Licence Centre</w:t>
            </w:r>
          </w:p>
          <w:p w:rsidR="00000000" w:rsidRPr="00C24920" w:rsidP="00C24920">
            <w:pPr>
              <w:pStyle w:val="BodyText"/>
            </w:pPr>
            <w:r w:rsidRPr="00C24920">
              <w:t>State and Supreme Courts Library</w:t>
            </w:r>
          </w:p>
          <w:p w:rsidR="00000000" w:rsidRPr="00C24920" w:rsidP="00C24920">
            <w:pPr>
              <w:pStyle w:val="BodyText"/>
            </w:pPr>
            <w:r w:rsidRPr="00C24920">
              <w:t>rates searches</w:t>
            </w:r>
          </w:p>
          <w:p w:rsidR="00000000" w:rsidP="00C24920">
            <w:pPr>
              <w:pStyle w:val="BodyText"/>
              <w:rPr>
                <w:lang w:val="en-NZ"/>
              </w:rPr>
            </w:pPr>
            <w:r w:rsidRPr="00C24920">
              <w:t xml:space="preserve">databases </w:t>
            </w:r>
          </w:p>
        </w:tc>
      </w:tr>
      <w:tr w:rsidTr="00C145D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Mercantile data</w:t>
            </w:r>
            <w:r w:rsidRPr="00C2492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agency file systems, including other commercial agencies</w:t>
            </w:r>
          </w:p>
          <w:p w:rsidR="00000000" w:rsidRPr="00C24920" w:rsidP="00C24920">
            <w:pPr>
              <w:pStyle w:val="BodyText"/>
            </w:pPr>
            <w:r w:rsidRPr="00C24920">
              <w:t>law enforcement/prosecution agencies</w:t>
            </w:r>
          </w:p>
          <w:p w:rsidR="00000000" w:rsidRPr="00C24920" w:rsidP="00C24920">
            <w:pPr>
              <w:pStyle w:val="BodyText"/>
            </w:pPr>
            <w:r w:rsidRPr="00C24920">
              <w:t>industry associations</w:t>
            </w:r>
          </w:p>
          <w:p w:rsidR="00000000" w:rsidRPr="00C24920" w:rsidP="00C24920">
            <w:pPr>
              <w:pStyle w:val="BodyText"/>
            </w:pPr>
            <w:r w:rsidRPr="00C24920">
              <w:t>standards setting organisations</w:t>
            </w:r>
          </w:p>
          <w:p w:rsidR="00000000" w:rsidRPr="00C24920" w:rsidP="00C24920">
            <w:pPr>
              <w:pStyle w:val="BodyText"/>
            </w:pPr>
            <w:r w:rsidRPr="00C24920">
              <w:t>audit records</w:t>
            </w:r>
          </w:p>
          <w:p w:rsidR="00000000" w:rsidP="00C24920">
            <w:pPr>
              <w:pStyle w:val="BodyText"/>
              <w:rPr>
                <w:lang w:val="en-NZ"/>
              </w:rPr>
            </w:pPr>
            <w:r w:rsidRPr="00C24920">
              <w:t xml:space="preserve">past investigations </w:t>
            </w:r>
          </w:p>
        </w:tc>
      </w:tr>
      <w:tr w:rsidTr="00C145D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Field calls</w:t>
            </w:r>
            <w:r w:rsidRPr="00C24920">
              <w:t xml:space="preserve"> may involve: </w:t>
            </w:r>
          </w:p>
        </w:tc>
        <w:tc>
          <w:tcPr>
            <w:tcW w:w="45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knocking on residence door within legal timeframes to establish whereabouts of people or particular ass</w:t>
            </w:r>
            <w:r w:rsidRPr="00C24920">
              <w:t>ets</w:t>
            </w:r>
          </w:p>
          <w:p w:rsidR="00000000" w:rsidRPr="00C24920" w:rsidP="00C24920">
            <w:pPr>
              <w:pStyle w:val="BodyText"/>
            </w:pPr>
            <w:r w:rsidRPr="00C24920">
              <w:t>making demand for payment</w:t>
            </w:r>
          </w:p>
          <w:p w:rsidR="00000000" w:rsidRPr="00C24920" w:rsidP="00C24920">
            <w:pPr>
              <w:pStyle w:val="BodyText"/>
            </w:pPr>
            <w:r w:rsidRPr="00C24920">
              <w:t>establishing the financial status of a subject</w:t>
            </w:r>
          </w:p>
          <w:p w:rsidR="00000000" w:rsidP="00C24920">
            <w:pPr>
              <w:pStyle w:val="BodyText"/>
              <w:rPr>
                <w:lang w:val="en-NZ"/>
              </w:rPr>
            </w:pPr>
            <w:r w:rsidRPr="00C24920">
              <w:t xml:space="preserve">making specific enquiries for the client (lawyers, financiers and other agencies) </w:t>
            </w:r>
          </w:p>
        </w:tc>
      </w:tr>
      <w:tr w:rsidTr="00C145D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4920">
            <w:pPr>
              <w:pStyle w:val="BodyText"/>
              <w:rPr>
                <w:lang w:val="en-NZ"/>
              </w:rPr>
            </w:pPr>
            <w:r w:rsidRPr="00C24920">
              <w:rPr>
                <w:rStyle w:val="SpecialBold"/>
              </w:rPr>
              <w:t>Subjects</w:t>
            </w:r>
            <w:r w:rsidRPr="00C2492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24920" w:rsidP="00C24920">
            <w:pPr>
              <w:pStyle w:val="BodyText"/>
            </w:pPr>
            <w:r w:rsidRPr="00C24920">
              <w:t>debtors</w:t>
            </w:r>
          </w:p>
          <w:p w:rsidR="00000000" w:rsidRPr="00C24920" w:rsidP="00C24920">
            <w:pPr>
              <w:pStyle w:val="BodyText"/>
            </w:pPr>
            <w:r w:rsidRPr="00C24920">
              <w:t xml:space="preserve">persons subject to legal process </w:t>
            </w:r>
          </w:p>
        </w:tc>
      </w:tr>
    </w:tbl>
    <w:p w:rsidR="00000000" w:rsidRPr="00C24920" w:rsidP="00C24920">
      <w:pPr>
        <w:pStyle w:val="BodyText"/>
      </w:pPr>
    </w:p>
    <w:p w:rsidR="00000000" w:rsidRPr="00C24920" w:rsidP="00C24920">
      <w:pPr>
        <w:pStyle w:val="AllowPageBreak"/>
      </w:pPr>
    </w:p>
    <w:p w:rsidR="00000000" w:rsidRPr="00C24920" w:rsidP="00C24920">
      <w:pPr>
        <w:pStyle w:val="Heading1"/>
      </w:pPr>
      <w:bookmarkStart w:id="12" w:name="O_318603"/>
      <w:bookmarkEnd w:id="12"/>
      <w:r w:rsidRPr="00C24920">
        <w:t>Unit Sector(s)</w:t>
      </w:r>
    </w:p>
    <w:p w:rsidR="00000000" w:rsidRPr="00C24920" w:rsidP="00C24920">
      <w:pPr>
        <w:pStyle w:val="BodyText"/>
      </w:pPr>
      <w:r w:rsidRPr="00C24920">
        <w:t>Not applicable.</w:t>
      </w:r>
    </w:p>
    <w:p w:rsidR="00000000" w:rsidRPr="00C24920" w:rsidP="00C24920">
      <w:pPr>
        <w:pStyle w:val="AllowPageBreak"/>
      </w:pPr>
    </w:p>
    <w:p w:rsidR="00000000" w:rsidRPr="00C24920" w:rsidP="00C24920">
      <w:pPr>
        <w:pStyle w:val="Heading1"/>
      </w:pPr>
      <w:bookmarkStart w:id="13" w:name="O_318597"/>
      <w:bookmarkEnd w:id="13"/>
      <w:r w:rsidRPr="00C24920">
        <w:t>Relationship to other units</w:t>
      </w:r>
    </w:p>
    <w:p w:rsidR="00000000" w:rsidRPr="00C24920" w:rsidP="00C24920">
      <w:pPr>
        <w:pStyle w:val="BodyText"/>
      </w:pPr>
      <w:r w:rsidRPr="00C24920">
        <w:t>This unit replaces FNSMERC304A.</w:t>
      </w:r>
    </w:p>
    <w:p w:rsidR="00000000" w:rsidRPr="00C24920" w:rsidP="00C24920">
      <w:pPr>
        <w:pStyle w:val="BodyText"/>
      </w:pPr>
      <w:r w:rsidRPr="00C24920">
        <w:t>This unit replaces FNSMERC304A.</w:t>
      </w:r>
    </w:p>
    <w:p w:rsidR="00000000" w:rsidRPr="00C24920" w:rsidP="00C24920"/>
    <w:sectPr w:rsidSect="00C249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5D1" w:rsidP="00C14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D1" w:rsidP="00C24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45D1" w:rsidP="00C249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145D1" w:rsidP="00C249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5D1" w:rsidP="00C145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D1" w:rsidP="00C24920">
    <w:pPr>
      <w:pStyle w:val="Header"/>
      <w:framePr w:wrap="around"/>
    </w:pPr>
    <w:r>
      <w:fldChar w:fldCharType="begin"/>
    </w:r>
    <w:r>
      <w:instrText xml:space="preserve"> TITLE   \* MERGEFORMAT </w:instrText>
    </w:r>
    <w:r>
      <w:fldChar w:fldCharType="separate"/>
    </w:r>
    <w:r>
      <w:t>FNSMERC304B Locate subjects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45D1" w:rsidP="00C249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9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4920"/>
    <w:pPr>
      <w:spacing w:before="360" w:after="60"/>
      <w:outlineLvl w:val="0"/>
    </w:pPr>
    <w:rPr>
      <w:sz w:val="32"/>
    </w:rPr>
  </w:style>
  <w:style w:type="paragraph" w:styleId="Heading2">
    <w:name w:val="heading 2"/>
    <w:basedOn w:val="HeadingBase"/>
    <w:next w:val="BodyText"/>
    <w:link w:val="Heading2Char"/>
    <w:qFormat/>
    <w:rsid w:val="00C24920"/>
    <w:pPr>
      <w:keepLines/>
      <w:spacing w:before="240" w:after="120"/>
      <w:outlineLvl w:val="1"/>
    </w:pPr>
    <w:rPr>
      <w:sz w:val="28"/>
      <w:szCs w:val="40"/>
    </w:rPr>
  </w:style>
  <w:style w:type="paragraph" w:styleId="Heading3">
    <w:name w:val="heading 3"/>
    <w:basedOn w:val="HeadingBase"/>
    <w:next w:val="BodyText"/>
    <w:link w:val="Heading3Char"/>
    <w:qFormat/>
    <w:rsid w:val="00C24920"/>
    <w:pPr>
      <w:spacing w:before="180" w:after="120"/>
      <w:outlineLvl w:val="2"/>
    </w:pPr>
    <w:rPr>
      <w:spacing w:val="-10"/>
      <w:kern w:val="32"/>
    </w:rPr>
  </w:style>
  <w:style w:type="paragraph" w:styleId="Heading4">
    <w:name w:val="heading 4"/>
    <w:basedOn w:val="HeadingBase"/>
    <w:next w:val="BodyText"/>
    <w:link w:val="Heading4Char"/>
    <w:qFormat/>
    <w:rsid w:val="00C24920"/>
    <w:pPr>
      <w:spacing w:before="160" w:after="120"/>
      <w:outlineLvl w:val="3"/>
    </w:pPr>
    <w:rPr>
      <w:sz w:val="22"/>
    </w:rPr>
  </w:style>
  <w:style w:type="paragraph" w:styleId="Heading5">
    <w:name w:val="heading 5"/>
    <w:basedOn w:val="HeadingBase"/>
    <w:next w:val="Normal"/>
    <w:link w:val="Heading5Char"/>
    <w:qFormat/>
    <w:rsid w:val="00C24920"/>
    <w:pPr>
      <w:spacing w:before="80"/>
      <w:outlineLvl w:val="4"/>
    </w:pPr>
    <w:rPr>
      <w:color w:val="918585"/>
      <w:sz w:val="20"/>
    </w:rPr>
  </w:style>
  <w:style w:type="paragraph" w:styleId="Heading6">
    <w:name w:val="heading 6"/>
    <w:basedOn w:val="HeadingBase"/>
    <w:next w:val="Normal"/>
    <w:link w:val="Heading6Char"/>
    <w:qFormat/>
    <w:rsid w:val="00C24920"/>
    <w:pPr>
      <w:spacing w:before="60"/>
      <w:outlineLvl w:val="5"/>
    </w:pPr>
    <w:rPr>
      <w:color w:val="918585"/>
      <w:sz w:val="20"/>
    </w:rPr>
  </w:style>
  <w:style w:type="paragraph" w:styleId="Heading7">
    <w:name w:val="heading 7"/>
    <w:basedOn w:val="Normal"/>
    <w:next w:val="Normal"/>
    <w:link w:val="Heading7Char"/>
    <w:qFormat/>
    <w:rsid w:val="00C24920"/>
    <w:pPr>
      <w:ind w:left="720"/>
      <w:outlineLvl w:val="6"/>
    </w:pPr>
    <w:rPr>
      <w:i/>
    </w:rPr>
  </w:style>
  <w:style w:type="paragraph" w:styleId="Heading8">
    <w:name w:val="heading 8"/>
    <w:basedOn w:val="Normal"/>
    <w:next w:val="Normal"/>
    <w:link w:val="Heading8Char"/>
    <w:qFormat/>
    <w:rsid w:val="00C24920"/>
    <w:pPr>
      <w:ind w:left="720"/>
      <w:outlineLvl w:val="7"/>
    </w:pPr>
    <w:rPr>
      <w:i/>
    </w:rPr>
  </w:style>
  <w:style w:type="paragraph" w:styleId="Heading9">
    <w:name w:val="heading 9"/>
    <w:basedOn w:val="Normal"/>
    <w:next w:val="Normal"/>
    <w:link w:val="Heading9Char"/>
    <w:qFormat/>
    <w:rsid w:val="00C24920"/>
    <w:pPr>
      <w:ind w:left="720"/>
      <w:outlineLvl w:val="8"/>
    </w:pPr>
    <w:rPr>
      <w:i/>
    </w:rPr>
  </w:style>
  <w:style w:type="character" w:default="1" w:styleId="DefaultParagraphFont">
    <w:name w:val="Default Paragraph Font"/>
    <w:uiPriority w:val="1"/>
    <w:unhideWhenUsed/>
    <w:rsid w:val="00C24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920"/>
  </w:style>
  <w:style w:type="character" w:customStyle="1" w:styleId="Heading1Char">
    <w:name w:val="Heading 1 Char"/>
    <w:basedOn w:val="DefaultParagraphFont"/>
    <w:link w:val="Heading1"/>
    <w:rsid w:val="00C24920"/>
    <w:rPr>
      <w:rFonts w:ascii="Times New Roman" w:eastAsia="Times New Roman" w:hAnsi="Times New Roman" w:cs="Times New Roman"/>
      <w:b/>
      <w:sz w:val="32"/>
      <w:szCs w:val="20"/>
      <w:lang w:eastAsia="en-US"/>
    </w:rPr>
  </w:style>
  <w:style w:type="paragraph" w:styleId="BodyText">
    <w:name w:val="Body Text"/>
    <w:basedOn w:val="Normal"/>
    <w:link w:val="BodyTextChar"/>
    <w:rsid w:val="00C249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4920"/>
    <w:rPr>
      <w:rFonts w:ascii="Times New Roman" w:eastAsia="Times New Roman" w:hAnsi="Times New Roman" w:cs="Times New Roman"/>
      <w:sz w:val="24"/>
      <w:lang w:val="en-US" w:eastAsia="en-US"/>
    </w:rPr>
  </w:style>
  <w:style w:type="paragraph" w:styleId="Footer">
    <w:name w:val="footer"/>
    <w:basedOn w:val="Normal"/>
    <w:link w:val="FooterChar"/>
    <w:rsid w:val="00C24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92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24920"/>
    <w:rPr>
      <w:b/>
      <w:spacing w:val="0"/>
    </w:rPr>
  </w:style>
  <w:style w:type="paragraph" w:styleId="Header">
    <w:name w:val="header"/>
    <w:basedOn w:val="Normal"/>
    <w:link w:val="HeaderChar"/>
    <w:rsid w:val="00C24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9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4920"/>
    <w:pPr>
      <w:spacing w:before="240" w:after="120"/>
      <w:outlineLvl w:val="0"/>
    </w:pPr>
    <w:rPr>
      <w:rFonts w:ascii="Times New Roman" w:hAnsi="Times New Roman"/>
      <w:b/>
      <w:sz w:val="28"/>
    </w:rPr>
  </w:style>
  <w:style w:type="paragraph" w:customStyle="1" w:styleId="AllowPageBreak">
    <w:name w:val="AllowPageBreak"/>
    <w:rsid w:val="00C249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9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49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4920"/>
    <w:rPr>
      <w:rFonts w:ascii="Courier New" w:eastAsia="Times New Roman" w:hAnsi="Courier New" w:cs="Times New Roman"/>
      <w:i/>
      <w:szCs w:val="20"/>
      <w:lang w:val="en-US" w:eastAsia="en-US"/>
    </w:rPr>
  </w:style>
  <w:style w:type="paragraph" w:customStyle="1" w:styleId="HeadingBase">
    <w:name w:val="Heading Base"/>
    <w:rsid w:val="00C24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920"/>
    <w:pPr>
      <w:tabs>
        <w:tab w:val="right" w:leader="dot" w:pos="9072"/>
      </w:tabs>
      <w:ind w:left="567"/>
    </w:pPr>
    <w:rPr>
      <w:szCs w:val="22"/>
    </w:rPr>
  </w:style>
  <w:style w:type="paragraph" w:customStyle="1" w:styleId="TOCBase">
    <w:name w:val="TOC Base"/>
    <w:rsid w:val="00C24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920"/>
    <w:pPr>
      <w:tabs>
        <w:tab w:val="right" w:leader="dot" w:pos="9072"/>
      </w:tabs>
      <w:spacing w:before="40" w:after="40"/>
      <w:ind w:left="284"/>
    </w:pPr>
    <w:rPr>
      <w:rFonts w:ascii="Times New Roman" w:hAnsi="Times New Roman"/>
    </w:rPr>
  </w:style>
  <w:style w:type="paragraph" w:styleId="TOC1">
    <w:name w:val="toc 1"/>
    <w:basedOn w:val="TOCBase"/>
    <w:next w:val="Normal"/>
    <w:rsid w:val="00C249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4920"/>
    <w:pPr>
      <w:spacing w:before="5040"/>
      <w:jc w:val="center"/>
    </w:pPr>
    <w:rPr>
      <w:sz w:val="48"/>
      <w:szCs w:val="72"/>
      <w:lang w:val="en-US"/>
    </w:rPr>
  </w:style>
  <w:style w:type="character" w:customStyle="1" w:styleId="TitleChar">
    <w:name w:val="Title Char"/>
    <w:basedOn w:val="DefaultParagraphFont"/>
    <w:link w:val="Title"/>
    <w:rsid w:val="00C24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920"/>
    <w:pPr>
      <w:tabs>
        <w:tab w:val="left" w:pos="3600"/>
        <w:tab w:val="left" w:pos="3958"/>
      </w:tabs>
    </w:pPr>
  </w:style>
  <w:style w:type="paragraph" w:styleId="List">
    <w:name w:val="List"/>
    <w:basedOn w:val="BodyText"/>
    <w:next w:val="BodyText"/>
    <w:rsid w:val="00C24920"/>
    <w:pPr>
      <w:tabs>
        <w:tab w:val="left" w:pos="340"/>
      </w:tabs>
      <w:spacing w:before="60" w:after="60"/>
      <w:ind w:left="340" w:hanging="340"/>
    </w:pPr>
  </w:style>
  <w:style w:type="paragraph" w:styleId="ListBullet">
    <w:name w:val="List Bullet"/>
    <w:basedOn w:val="List"/>
    <w:rsid w:val="00C24920"/>
    <w:pPr>
      <w:numPr>
        <w:numId w:val="11"/>
      </w:numPr>
      <w:tabs>
        <w:tab w:val="clear" w:pos="340"/>
      </w:tabs>
      <w:spacing w:before="40" w:after="40"/>
    </w:pPr>
  </w:style>
  <w:style w:type="paragraph" w:customStyle="1" w:styleId="Note">
    <w:name w:val="Note"/>
    <w:basedOn w:val="BodyText"/>
    <w:rsid w:val="00C24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920"/>
    <w:pPr>
      <w:framePr w:wrap="auto" w:hAnchor="text" w:y="6049"/>
    </w:pPr>
    <w:rPr>
      <w:color w:val="000000"/>
      <w:sz w:val="40"/>
    </w:rPr>
  </w:style>
  <w:style w:type="paragraph" w:customStyle="1" w:styleId="TOCTitle">
    <w:name w:val="TOCTitle"/>
    <w:basedOn w:val="Heading1"/>
    <w:rsid w:val="00C24920"/>
    <w:pPr>
      <w:spacing w:after="240"/>
      <w:jc w:val="center"/>
      <w:outlineLvl w:val="9"/>
    </w:pPr>
    <w:rPr>
      <w:caps/>
    </w:rPr>
  </w:style>
  <w:style w:type="paragraph" w:customStyle="1" w:styleId="Version">
    <w:name w:val="Version"/>
    <w:rsid w:val="00C249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920"/>
    <w:pPr>
      <w:numPr>
        <w:numId w:val="12"/>
      </w:numPr>
      <w:tabs>
        <w:tab w:val="clear" w:pos="680"/>
      </w:tabs>
    </w:pPr>
  </w:style>
  <w:style w:type="paragraph" w:styleId="Index1">
    <w:name w:val="index 1"/>
    <w:basedOn w:val="Normal"/>
    <w:next w:val="Normal"/>
    <w:semiHidden/>
    <w:rsid w:val="00C24920"/>
    <w:pPr>
      <w:keepNext w:val="0"/>
      <w:tabs>
        <w:tab w:val="right" w:pos="4176"/>
      </w:tabs>
      <w:ind w:left="198" w:hanging="198"/>
    </w:pPr>
    <w:rPr>
      <w:rFonts w:ascii="Garamond" w:hAnsi="Garamond"/>
    </w:rPr>
  </w:style>
  <w:style w:type="paragraph" w:styleId="IndexHeading">
    <w:name w:val="index heading"/>
    <w:basedOn w:val="Normal"/>
    <w:next w:val="Index1"/>
    <w:semiHidden/>
    <w:rsid w:val="00C24920"/>
    <w:pPr>
      <w:spacing w:before="120" w:after="120"/>
    </w:pPr>
    <w:rPr>
      <w:rFonts w:ascii="Arial" w:hAnsi="Arial"/>
      <w:b/>
      <w:color w:val="918585"/>
      <w:sz w:val="24"/>
    </w:rPr>
  </w:style>
  <w:style w:type="paragraph" w:customStyle="1" w:styleId="Chapter">
    <w:name w:val="Chapter"/>
    <w:basedOn w:val="Normal"/>
    <w:rsid w:val="00C24920"/>
    <w:pPr>
      <w:spacing w:before="240"/>
    </w:pPr>
    <w:rPr>
      <w:rFonts w:ascii="Times New Roman" w:hAnsi="Times New Roman"/>
      <w:smallCaps/>
      <w:spacing w:val="80"/>
      <w:sz w:val="28"/>
    </w:rPr>
  </w:style>
  <w:style w:type="paragraph" w:customStyle="1" w:styleId="InChapter">
    <w:name w:val="InChapter"/>
    <w:basedOn w:val="Heading3"/>
    <w:rsid w:val="00C24920"/>
    <w:pPr>
      <w:spacing w:after="240"/>
      <w:outlineLvl w:val="9"/>
    </w:pPr>
    <w:rPr>
      <w:noProof/>
    </w:rPr>
  </w:style>
  <w:style w:type="paragraph" w:styleId="Index2">
    <w:name w:val="index 2"/>
    <w:basedOn w:val="Normal"/>
    <w:next w:val="Normal"/>
    <w:semiHidden/>
    <w:rsid w:val="00C24920"/>
    <w:pPr>
      <w:tabs>
        <w:tab w:val="right" w:pos="4176"/>
      </w:tabs>
      <w:ind w:left="568" w:hanging="284"/>
    </w:pPr>
    <w:rPr>
      <w:rFonts w:ascii="Garamond" w:hAnsi="Garamond"/>
    </w:rPr>
  </w:style>
  <w:style w:type="paragraph" w:customStyle="1" w:styleId="Byline">
    <w:name w:val="Byline"/>
    <w:rsid w:val="00C24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920"/>
    <w:pPr>
      <w:tabs>
        <w:tab w:val="clear" w:pos="3600"/>
        <w:tab w:val="clear" w:pos="3958"/>
      </w:tabs>
      <w:jc w:val="right"/>
    </w:pPr>
  </w:style>
  <w:style w:type="character" w:styleId="Emphasis">
    <w:name w:val="Emphasis"/>
    <w:basedOn w:val="DefaultParagraphFont"/>
    <w:qFormat/>
    <w:rsid w:val="00C24920"/>
    <w:rPr>
      <w:i/>
    </w:rPr>
  </w:style>
  <w:style w:type="paragraph" w:styleId="Caption">
    <w:name w:val="caption"/>
    <w:basedOn w:val="BodyText"/>
    <w:next w:val="Normal"/>
    <w:qFormat/>
    <w:rsid w:val="00C24920"/>
    <w:pPr>
      <w:framePr w:w="2268" w:hSpace="181" w:vSpace="181" w:wrap="around" w:vAnchor="text" w:hAnchor="page" w:x="1135" w:y="285" w:anchorLock="1"/>
    </w:pPr>
    <w:rPr>
      <w:i/>
    </w:rPr>
  </w:style>
  <w:style w:type="paragraph" w:customStyle="1" w:styleId="MiniTOCTitle">
    <w:name w:val="MiniTOCTitle"/>
    <w:basedOn w:val="Heading4"/>
    <w:rsid w:val="00C24920"/>
    <w:pPr>
      <w:spacing w:before="240"/>
      <w:outlineLvl w:val="9"/>
    </w:pPr>
    <w:rPr>
      <w:noProof/>
      <w:sz w:val="24"/>
    </w:rPr>
  </w:style>
  <w:style w:type="paragraph" w:customStyle="1" w:styleId="MiniTOCItem">
    <w:name w:val="MiniTOCItem"/>
    <w:basedOn w:val="ListBullet"/>
    <w:rsid w:val="00C24920"/>
    <w:pPr>
      <w:numPr>
        <w:numId w:val="0"/>
      </w:numPr>
      <w:tabs>
        <w:tab w:val="right" w:leader="dot" w:pos="6521"/>
      </w:tabs>
      <w:spacing w:before="0" w:after="0"/>
    </w:pPr>
  </w:style>
  <w:style w:type="paragraph" w:customStyle="1" w:styleId="TOFTitle">
    <w:name w:val="TOFTitle"/>
    <w:basedOn w:val="TOCTitle"/>
    <w:rsid w:val="00C24920"/>
  </w:style>
  <w:style w:type="paragraph" w:styleId="TableofFigures">
    <w:name w:val="table of figures"/>
    <w:basedOn w:val="Normal"/>
    <w:next w:val="Normal"/>
    <w:semiHidden/>
    <w:rsid w:val="00C24920"/>
    <w:pPr>
      <w:tabs>
        <w:tab w:val="right" w:leader="dot" w:pos="9072"/>
      </w:tabs>
      <w:ind w:left="970" w:hanging="403"/>
    </w:pPr>
    <w:rPr>
      <w:rFonts w:ascii="Times New Roman" w:hAnsi="Times New Roman"/>
      <w:b/>
    </w:rPr>
  </w:style>
  <w:style w:type="paragraph" w:styleId="ListNumber">
    <w:name w:val="List Number"/>
    <w:basedOn w:val="List"/>
    <w:rsid w:val="00C24920"/>
    <w:pPr>
      <w:numPr>
        <w:numId w:val="9"/>
      </w:numPr>
    </w:pPr>
  </w:style>
  <w:style w:type="character" w:customStyle="1" w:styleId="WingdingSymbols">
    <w:name w:val="Wingding Symbols"/>
    <w:rsid w:val="00C24920"/>
    <w:rPr>
      <w:rFonts w:ascii="Wingdings" w:hAnsi="Wingdings"/>
    </w:rPr>
  </w:style>
  <w:style w:type="paragraph" w:customStyle="1" w:styleId="TableHeading">
    <w:name w:val="Table Heading"/>
    <w:basedOn w:val="HeadingBase"/>
    <w:rsid w:val="00C24920"/>
    <w:pPr>
      <w:keepLines/>
      <w:pBdr>
        <w:bottom w:val="single" w:sz="6" w:space="1" w:color="918585"/>
      </w:pBdr>
      <w:spacing w:before="240"/>
    </w:pPr>
  </w:style>
  <w:style w:type="character" w:customStyle="1" w:styleId="HotSpot">
    <w:name w:val="HotSpot"/>
    <w:rsid w:val="00C24920"/>
    <w:rPr>
      <w:color w:val="0033CC"/>
      <w:u w:val="none"/>
    </w:rPr>
  </w:style>
  <w:style w:type="paragraph" w:customStyle="1" w:styleId="BodyTextRight">
    <w:name w:val="Body Text Right"/>
    <w:basedOn w:val="BodyText"/>
    <w:rsid w:val="00C24920"/>
    <w:pPr>
      <w:spacing w:before="0" w:after="0"/>
      <w:jc w:val="right"/>
    </w:pPr>
  </w:style>
  <w:style w:type="paragraph" w:styleId="Index3">
    <w:name w:val="index 3"/>
    <w:basedOn w:val="ListNumber2"/>
    <w:next w:val="Normal"/>
    <w:semiHidden/>
    <w:rsid w:val="00C24920"/>
    <w:pPr>
      <w:numPr>
        <w:numId w:val="0"/>
      </w:numPr>
      <w:tabs>
        <w:tab w:val="right" w:leader="dot" w:pos="4176"/>
      </w:tabs>
    </w:pPr>
  </w:style>
  <w:style w:type="paragraph" w:styleId="ListNumber2">
    <w:name w:val="List Number 2"/>
    <w:basedOn w:val="List2"/>
    <w:rsid w:val="00C24920"/>
    <w:pPr>
      <w:numPr>
        <w:numId w:val="8"/>
      </w:numPr>
      <w:tabs>
        <w:tab w:val="clear" w:pos="1060"/>
      </w:tabs>
    </w:pPr>
  </w:style>
  <w:style w:type="paragraph" w:customStyle="1" w:styleId="MarginNote">
    <w:name w:val="Margin Note"/>
    <w:basedOn w:val="BodyText"/>
    <w:rsid w:val="00C24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9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4920"/>
    <w:rPr>
      <w:sz w:val="32"/>
    </w:rPr>
  </w:style>
  <w:style w:type="paragraph" w:customStyle="1" w:styleId="HeadingProcedure">
    <w:name w:val="Heading Procedure"/>
    <w:basedOn w:val="HeadingBase"/>
    <w:next w:val="Normal"/>
    <w:rsid w:val="00C24920"/>
    <w:pPr>
      <w:tabs>
        <w:tab w:val="left" w:pos="0"/>
      </w:tabs>
      <w:spacing w:before="120" w:after="60"/>
    </w:pPr>
    <w:rPr>
      <w:i/>
      <w:color w:val="918585"/>
      <w:sz w:val="22"/>
    </w:rPr>
  </w:style>
  <w:style w:type="paragraph" w:customStyle="1" w:styleId="TableBodyText">
    <w:name w:val="Table Body Text"/>
    <w:basedOn w:val="BodyText"/>
    <w:rsid w:val="00C24920"/>
    <w:pPr>
      <w:spacing w:before="60" w:after="60"/>
    </w:pPr>
  </w:style>
  <w:style w:type="paragraph" w:styleId="ListContinue">
    <w:name w:val="List Continue"/>
    <w:basedOn w:val="List"/>
    <w:rsid w:val="00C24920"/>
    <w:pPr>
      <w:ind w:firstLine="0"/>
    </w:pPr>
  </w:style>
  <w:style w:type="paragraph" w:customStyle="1" w:styleId="ListNote">
    <w:name w:val="List Note"/>
    <w:basedOn w:val="List"/>
    <w:rsid w:val="00C24920"/>
    <w:pPr>
      <w:pBdr>
        <w:top w:val="single" w:sz="6" w:space="2" w:color="918585"/>
        <w:bottom w:val="single" w:sz="6" w:space="2" w:color="918585"/>
      </w:pBdr>
      <w:tabs>
        <w:tab w:val="left" w:pos="1021"/>
      </w:tabs>
      <w:ind w:firstLine="0"/>
    </w:pPr>
  </w:style>
  <w:style w:type="paragraph" w:customStyle="1" w:styleId="Warning">
    <w:name w:val="Warning"/>
    <w:basedOn w:val="BodyText"/>
    <w:rsid w:val="00C24920"/>
    <w:pPr>
      <w:shd w:val="clear" w:color="auto" w:fill="D9D9D9"/>
      <w:tabs>
        <w:tab w:val="left" w:pos="992"/>
      </w:tabs>
      <w:ind w:left="119" w:right="119"/>
    </w:pPr>
    <w:rPr>
      <w:sz w:val="20"/>
    </w:rPr>
  </w:style>
  <w:style w:type="paragraph" w:customStyle="1" w:styleId="MarginIcons">
    <w:name w:val="Margin Icons"/>
    <w:basedOn w:val="BodyText"/>
    <w:rsid w:val="00C24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920"/>
    <w:rPr>
      <w:rFonts w:ascii="Courier New" w:hAnsi="Courier New"/>
    </w:rPr>
  </w:style>
  <w:style w:type="paragraph" w:customStyle="1" w:styleId="NoteBullet">
    <w:name w:val="Note Bullet"/>
    <w:basedOn w:val="Note"/>
    <w:rsid w:val="00C24920"/>
    <w:pPr>
      <w:tabs>
        <w:tab w:val="clear" w:pos="680"/>
      </w:tabs>
      <w:spacing w:before="60" w:after="60"/>
    </w:pPr>
  </w:style>
  <w:style w:type="paragraph" w:customStyle="1" w:styleId="SubHeading2">
    <w:name w:val="SubHeading2"/>
    <w:basedOn w:val="HeadingBase"/>
    <w:rsid w:val="00C24920"/>
    <w:pPr>
      <w:spacing w:before="240" w:after="60"/>
    </w:pPr>
    <w:rPr>
      <w:sz w:val="20"/>
    </w:rPr>
  </w:style>
  <w:style w:type="paragraph" w:customStyle="1" w:styleId="SubHeading1">
    <w:name w:val="SubHeading1"/>
    <w:basedOn w:val="HeadingBase"/>
    <w:rsid w:val="00C24920"/>
    <w:pPr>
      <w:spacing w:before="240" w:after="60"/>
    </w:pPr>
    <w:rPr>
      <w:color w:val="918585"/>
      <w:sz w:val="22"/>
    </w:rPr>
  </w:style>
  <w:style w:type="paragraph" w:customStyle="1" w:styleId="SideHeading">
    <w:name w:val="Side Heading"/>
    <w:basedOn w:val="HeadingBase"/>
    <w:rsid w:val="00C24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920"/>
    <w:pPr>
      <w:numPr>
        <w:numId w:val="10"/>
      </w:numPr>
    </w:pPr>
  </w:style>
  <w:style w:type="paragraph" w:styleId="PlainText">
    <w:name w:val="Plain Text"/>
    <w:basedOn w:val="Normal"/>
    <w:link w:val="PlainTextChar"/>
    <w:rsid w:val="00C24920"/>
    <w:rPr>
      <w:sz w:val="20"/>
    </w:rPr>
  </w:style>
  <w:style w:type="character" w:customStyle="1" w:styleId="PlainTextChar">
    <w:name w:val="Plain Text Char"/>
    <w:basedOn w:val="DefaultParagraphFont"/>
    <w:link w:val="PlainText"/>
    <w:rsid w:val="00C249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4920"/>
    <w:rPr>
      <w:b/>
      <w:smallCaps/>
    </w:rPr>
  </w:style>
  <w:style w:type="paragraph" w:customStyle="1" w:styleId="TableListNumber">
    <w:name w:val="Table List Number"/>
    <w:basedOn w:val="ListNumber"/>
    <w:rsid w:val="00C24920"/>
    <w:pPr>
      <w:numPr>
        <w:numId w:val="0"/>
      </w:numPr>
    </w:pPr>
  </w:style>
  <w:style w:type="paragraph" w:styleId="TOC4">
    <w:name w:val="toc 4"/>
    <w:basedOn w:val="TOCBase"/>
    <w:next w:val="Normal"/>
    <w:semiHidden/>
    <w:rsid w:val="00C24920"/>
    <w:pPr>
      <w:tabs>
        <w:tab w:val="right" w:leader="dot" w:pos="9071"/>
      </w:tabs>
      <w:ind w:left="1701"/>
    </w:pPr>
  </w:style>
  <w:style w:type="paragraph" w:customStyle="1" w:styleId="ListAlpha">
    <w:name w:val="List Alpha"/>
    <w:basedOn w:val="List"/>
    <w:rsid w:val="00C24920"/>
    <w:pPr>
      <w:numPr>
        <w:numId w:val="7"/>
      </w:numPr>
    </w:pPr>
  </w:style>
  <w:style w:type="paragraph" w:customStyle="1" w:styleId="ListAlpha2">
    <w:name w:val="List Alpha 2"/>
    <w:basedOn w:val="List2"/>
    <w:rsid w:val="00C24920"/>
    <w:pPr>
      <w:numPr>
        <w:numId w:val="6"/>
      </w:numPr>
    </w:pPr>
  </w:style>
  <w:style w:type="paragraph" w:styleId="List2">
    <w:name w:val="List 2"/>
    <w:basedOn w:val="BodyText"/>
    <w:rsid w:val="00C24920"/>
    <w:pPr>
      <w:tabs>
        <w:tab w:val="left" w:pos="680"/>
      </w:tabs>
      <w:spacing w:before="60" w:after="60"/>
      <w:ind w:left="680" w:hanging="340"/>
    </w:pPr>
  </w:style>
  <w:style w:type="paragraph" w:styleId="List3">
    <w:name w:val="List 3"/>
    <w:basedOn w:val="BodyText"/>
    <w:rsid w:val="00C24920"/>
    <w:pPr>
      <w:tabs>
        <w:tab w:val="left" w:pos="1021"/>
      </w:tabs>
      <w:spacing w:before="60" w:after="60"/>
      <w:ind w:left="1020" w:hanging="340"/>
    </w:pPr>
  </w:style>
  <w:style w:type="paragraph" w:styleId="List4">
    <w:name w:val="List 4"/>
    <w:basedOn w:val="BodyText"/>
    <w:rsid w:val="00C24920"/>
    <w:pPr>
      <w:tabs>
        <w:tab w:val="left" w:pos="1361"/>
      </w:tabs>
      <w:spacing w:before="60" w:after="60"/>
      <w:ind w:left="1361" w:hanging="340"/>
    </w:pPr>
  </w:style>
  <w:style w:type="paragraph" w:styleId="List5">
    <w:name w:val="List 5"/>
    <w:basedOn w:val="BodyText"/>
    <w:rsid w:val="00C24920"/>
    <w:pPr>
      <w:tabs>
        <w:tab w:val="left" w:pos="1701"/>
      </w:tabs>
      <w:spacing w:before="60" w:after="60"/>
      <w:ind w:left="1701" w:hanging="340"/>
    </w:pPr>
  </w:style>
  <w:style w:type="paragraph" w:styleId="ListBullet3">
    <w:name w:val="List Bullet 3"/>
    <w:basedOn w:val="List3"/>
    <w:rsid w:val="00C24920"/>
    <w:pPr>
      <w:numPr>
        <w:numId w:val="13"/>
      </w:numPr>
      <w:tabs>
        <w:tab w:val="clear" w:pos="1021"/>
      </w:tabs>
      <w:ind w:left="1037" w:hanging="357"/>
    </w:pPr>
  </w:style>
  <w:style w:type="paragraph" w:styleId="ListBullet4">
    <w:name w:val="List Bullet 4"/>
    <w:basedOn w:val="List4"/>
    <w:rsid w:val="00C24920"/>
    <w:pPr>
      <w:numPr>
        <w:numId w:val="1"/>
      </w:numPr>
    </w:pPr>
  </w:style>
  <w:style w:type="paragraph" w:styleId="ListBullet5">
    <w:name w:val="List Bullet 5"/>
    <w:basedOn w:val="List5"/>
    <w:rsid w:val="00C24920"/>
    <w:pPr>
      <w:numPr>
        <w:numId w:val="2"/>
      </w:numPr>
    </w:pPr>
  </w:style>
  <w:style w:type="paragraph" w:styleId="ListContinue2">
    <w:name w:val="List Continue 2"/>
    <w:basedOn w:val="List2"/>
    <w:rsid w:val="00C24920"/>
    <w:pPr>
      <w:ind w:firstLine="0"/>
    </w:pPr>
  </w:style>
  <w:style w:type="paragraph" w:styleId="ListContinue3">
    <w:name w:val="List Continue 3"/>
    <w:basedOn w:val="List3"/>
    <w:rsid w:val="00C24920"/>
    <w:pPr>
      <w:ind w:left="1021" w:firstLine="0"/>
    </w:pPr>
  </w:style>
  <w:style w:type="paragraph" w:styleId="ListContinue4">
    <w:name w:val="List Continue 4"/>
    <w:basedOn w:val="List4"/>
    <w:rsid w:val="00C24920"/>
    <w:pPr>
      <w:ind w:firstLine="0"/>
    </w:pPr>
  </w:style>
  <w:style w:type="paragraph" w:styleId="ListContinue5">
    <w:name w:val="List Continue 5"/>
    <w:basedOn w:val="List5"/>
    <w:rsid w:val="00C24920"/>
    <w:pPr>
      <w:ind w:firstLine="0"/>
    </w:pPr>
  </w:style>
  <w:style w:type="paragraph" w:styleId="ListNumber3">
    <w:name w:val="List Number 3"/>
    <w:basedOn w:val="List3"/>
    <w:rsid w:val="00C24920"/>
    <w:pPr>
      <w:numPr>
        <w:numId w:val="3"/>
      </w:numPr>
    </w:pPr>
  </w:style>
  <w:style w:type="paragraph" w:styleId="ListNumber4">
    <w:name w:val="List Number 4"/>
    <w:basedOn w:val="List4"/>
    <w:rsid w:val="00C24920"/>
    <w:pPr>
      <w:numPr>
        <w:numId w:val="4"/>
      </w:numPr>
    </w:pPr>
  </w:style>
  <w:style w:type="paragraph" w:styleId="ListNumber5">
    <w:name w:val="List Number 5"/>
    <w:basedOn w:val="List5"/>
    <w:rsid w:val="00C24920"/>
    <w:pPr>
      <w:numPr>
        <w:numId w:val="5"/>
      </w:numPr>
    </w:pPr>
  </w:style>
  <w:style w:type="paragraph" w:styleId="BlockText">
    <w:name w:val="Block Text"/>
    <w:basedOn w:val="Normal"/>
    <w:rsid w:val="00C24920"/>
    <w:pPr>
      <w:spacing w:after="120"/>
      <w:ind w:left="1440" w:right="1440"/>
    </w:pPr>
  </w:style>
  <w:style w:type="character" w:customStyle="1" w:styleId="Subscript">
    <w:name w:val="Subscript"/>
    <w:basedOn w:val="DefaultParagraphFont"/>
    <w:rsid w:val="00C24920"/>
    <w:rPr>
      <w:sz w:val="16"/>
      <w:vertAlign w:val="subscript"/>
    </w:rPr>
  </w:style>
  <w:style w:type="character" w:customStyle="1" w:styleId="Superscript">
    <w:name w:val="Superscript"/>
    <w:basedOn w:val="DefaultParagraphFont"/>
    <w:rsid w:val="00C24920"/>
    <w:rPr>
      <w:sz w:val="16"/>
      <w:vertAlign w:val="superscript"/>
    </w:rPr>
  </w:style>
  <w:style w:type="character" w:customStyle="1" w:styleId="Symbols">
    <w:name w:val="Symbols"/>
    <w:basedOn w:val="DefaultParagraphFont"/>
    <w:rsid w:val="00C24920"/>
    <w:rPr>
      <w:rFonts w:ascii="Symbol" w:hAnsi="Symbol"/>
    </w:rPr>
  </w:style>
  <w:style w:type="character" w:customStyle="1" w:styleId="MenuOptions">
    <w:name w:val="Menu Options"/>
    <w:basedOn w:val="DefaultParagraphFont"/>
    <w:rsid w:val="00C24920"/>
    <w:rPr>
      <w:rFonts w:ascii="Arial Narrow" w:hAnsi="Arial Narrow"/>
      <w:smallCaps/>
    </w:rPr>
  </w:style>
  <w:style w:type="character" w:customStyle="1" w:styleId="Buttons">
    <w:name w:val="Buttons"/>
    <w:basedOn w:val="DefaultParagraphFont"/>
    <w:rsid w:val="00C24920"/>
    <w:rPr>
      <w:b/>
    </w:rPr>
  </w:style>
  <w:style w:type="character" w:customStyle="1" w:styleId="Underlined">
    <w:name w:val="Underlined"/>
    <w:basedOn w:val="DefaultParagraphFont"/>
    <w:rsid w:val="00C24920"/>
    <w:rPr>
      <w:u w:val="single"/>
    </w:rPr>
  </w:style>
  <w:style w:type="paragraph" w:customStyle="1" w:styleId="TableBodyTextRight">
    <w:name w:val="Table Body Text Right"/>
    <w:basedOn w:val="TableBodyText"/>
    <w:rsid w:val="00C24920"/>
    <w:pPr>
      <w:widowControl w:val="0"/>
      <w:autoSpaceDE w:val="0"/>
      <w:autoSpaceDN w:val="0"/>
      <w:adjustRightInd w:val="0"/>
      <w:jc w:val="right"/>
    </w:pPr>
    <w:rPr>
      <w:rFonts w:cs="Arial"/>
      <w:szCs w:val="18"/>
    </w:rPr>
  </w:style>
  <w:style w:type="paragraph" w:customStyle="1" w:styleId="CopyrightText">
    <w:name w:val="Copyright Text"/>
    <w:basedOn w:val="BodyText"/>
    <w:rsid w:val="00C24920"/>
    <w:rPr>
      <w:sz w:val="18"/>
    </w:rPr>
  </w:style>
  <w:style w:type="paragraph" w:customStyle="1" w:styleId="BodySmallRight">
    <w:name w:val="Body Small Right"/>
    <w:basedOn w:val="BodyTextRight"/>
    <w:rsid w:val="00C24920"/>
    <w:rPr>
      <w:sz w:val="18"/>
      <w:szCs w:val="18"/>
    </w:rPr>
  </w:style>
  <w:style w:type="paragraph" w:customStyle="1" w:styleId="MarginEdition">
    <w:name w:val="Margin Edition"/>
    <w:basedOn w:val="MarginNote"/>
    <w:rsid w:val="00C24920"/>
    <w:pPr>
      <w:spacing w:before="0" w:after="0"/>
    </w:pPr>
    <w:rPr>
      <w:rFonts w:ascii="Times New Roman" w:hAnsi="Times New Roman"/>
      <w:color w:val="999999"/>
    </w:rPr>
  </w:style>
  <w:style w:type="paragraph" w:customStyle="1" w:styleId="Spacer">
    <w:name w:val="Spacer"/>
    <w:basedOn w:val="Normal"/>
    <w:rsid w:val="00C24920"/>
    <w:rPr>
      <w:sz w:val="2"/>
      <w:szCs w:val="2"/>
    </w:rPr>
  </w:style>
  <w:style w:type="character" w:customStyle="1" w:styleId="Small">
    <w:name w:val="Small"/>
    <w:basedOn w:val="DefaultParagraphFont"/>
    <w:rsid w:val="00C24920"/>
    <w:rPr>
      <w:sz w:val="16"/>
    </w:rPr>
  </w:style>
  <w:style w:type="paragraph" w:customStyle="1" w:styleId="WideTable">
    <w:name w:val="Wide Table"/>
    <w:basedOn w:val="Normal"/>
    <w:rsid w:val="00C24920"/>
    <w:pPr>
      <w:ind w:left="-1418"/>
    </w:pPr>
    <w:rPr>
      <w:sz w:val="2"/>
      <w:szCs w:val="2"/>
    </w:rPr>
  </w:style>
  <w:style w:type="character" w:styleId="PageNumber">
    <w:name w:val="page number"/>
    <w:basedOn w:val="DefaultParagraphFont"/>
    <w:rsid w:val="00C24920"/>
  </w:style>
  <w:style w:type="paragraph" w:styleId="Quote">
    <w:name w:val="Quote"/>
    <w:basedOn w:val="Heading1"/>
    <w:link w:val="QuoteChar"/>
    <w:qFormat/>
    <w:rsid w:val="00C24920"/>
    <w:rPr>
      <w:b w:val="0"/>
      <w:sz w:val="72"/>
      <w:szCs w:val="72"/>
      <w:lang w:val="en-NZ"/>
    </w:rPr>
  </w:style>
  <w:style w:type="character" w:customStyle="1" w:styleId="QuoteChar">
    <w:name w:val="Quote Char"/>
    <w:basedOn w:val="DefaultParagraphFont"/>
    <w:link w:val="Quote"/>
    <w:rsid w:val="00C24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920"/>
    <w:pPr>
      <w:pageBreakBefore/>
    </w:pPr>
  </w:style>
  <w:style w:type="paragraph" w:customStyle="1" w:styleId="Border">
    <w:name w:val="Border"/>
    <w:basedOn w:val="Normal"/>
    <w:qFormat/>
    <w:rsid w:val="00C24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920"/>
    <w:rPr>
      <w:b/>
      <w:bCs/>
      <w:i/>
      <w:iCs/>
      <w:color w:val="auto"/>
    </w:rPr>
  </w:style>
  <w:style w:type="paragraph" w:styleId="IntenseQuote">
    <w:name w:val="Intense Quote"/>
    <w:basedOn w:val="Normal"/>
    <w:next w:val="Normal"/>
    <w:link w:val="IntenseQuoteChar"/>
    <w:uiPriority w:val="30"/>
    <w:qFormat/>
    <w:rsid w:val="00C24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9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4920"/>
    <w:rPr>
      <w:smallCaps/>
      <w:color w:val="auto"/>
      <w:u w:val="single"/>
    </w:rPr>
  </w:style>
  <w:style w:type="character" w:styleId="IntenseReference">
    <w:name w:val="Intense Reference"/>
    <w:basedOn w:val="DefaultParagraphFont"/>
    <w:uiPriority w:val="32"/>
    <w:qFormat/>
    <w:rsid w:val="00C24920"/>
    <w:rPr>
      <w:b/>
      <w:bCs/>
      <w:smallCaps/>
      <w:color w:val="auto"/>
      <w:spacing w:val="5"/>
      <w:u w:val="single"/>
    </w:rPr>
  </w:style>
  <w:style w:type="paragraph" w:customStyle="1" w:styleId="2ColumnHeading">
    <w:name w:val="2Column Heading"/>
    <w:basedOn w:val="BodyText"/>
    <w:qFormat/>
    <w:rsid w:val="00C24920"/>
    <w:pPr>
      <w:spacing w:after="60"/>
      <w:ind w:left="-2268"/>
    </w:pPr>
    <w:rPr>
      <w:b/>
    </w:rPr>
  </w:style>
  <w:style w:type="paragraph" w:customStyle="1" w:styleId="Heading1TOC">
    <w:name w:val="Heading1 TOC"/>
    <w:basedOn w:val="Normal"/>
    <w:qFormat/>
    <w:rsid w:val="00C24920"/>
    <w:pPr>
      <w:spacing w:before="240" w:after="120"/>
    </w:pPr>
    <w:rPr>
      <w:rFonts w:ascii="Times New Roman" w:hAnsi="Times New Roman"/>
      <w:b/>
      <w:sz w:val="32"/>
    </w:rPr>
  </w:style>
  <w:style w:type="paragraph" w:customStyle="1" w:styleId="Heading2TOC">
    <w:name w:val="Heading2 TOC"/>
    <w:basedOn w:val="Normal"/>
    <w:qFormat/>
    <w:rsid w:val="00C24920"/>
    <w:pPr>
      <w:spacing w:before="240" w:after="60"/>
    </w:pPr>
    <w:rPr>
      <w:rFonts w:ascii="Times New Roman" w:hAnsi="Times New Roman"/>
      <w:b/>
      <w:sz w:val="28"/>
    </w:rPr>
  </w:style>
  <w:style w:type="character" w:customStyle="1" w:styleId="Underline">
    <w:name w:val="Underline"/>
    <w:basedOn w:val="DefaultParagraphFont"/>
    <w:qFormat/>
    <w:rsid w:val="00C24920"/>
    <w:rPr>
      <w:u w:val="single"/>
    </w:rPr>
  </w:style>
  <w:style w:type="character" w:customStyle="1" w:styleId="BoldandItalics">
    <w:name w:val="Bold and Italics"/>
    <w:qFormat/>
    <w:rsid w:val="00C24920"/>
    <w:rPr>
      <w:b/>
      <w:i/>
      <w:u w:val="none"/>
    </w:rPr>
  </w:style>
  <w:style w:type="paragraph" w:styleId="BalloonText">
    <w:name w:val="Balloon Text"/>
    <w:basedOn w:val="Normal"/>
    <w:link w:val="BalloonTextChar"/>
    <w:rsid w:val="00C24920"/>
    <w:rPr>
      <w:rFonts w:ascii="Tahoma" w:hAnsi="Tahoma" w:cs="Tahoma"/>
      <w:sz w:val="16"/>
      <w:szCs w:val="16"/>
    </w:rPr>
  </w:style>
  <w:style w:type="character" w:customStyle="1" w:styleId="BalloonTextChar">
    <w:name w:val="Balloon Text Char"/>
    <w:basedOn w:val="DefaultParagraphFont"/>
    <w:link w:val="BalloonText"/>
    <w:rsid w:val="00C249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49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49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7214</Characters>
  <Application>Microsoft Office Word</Application>
  <DocSecurity>0</DocSecurity>
  <Lines>258</Lines>
  <Paragraphs>147</Paragraphs>
  <ScaleCrop>false</ScaleCrop>
  <Company>Author-it Software Corporation Ltd.</Company>
  <LinksUpToDate>false</LinksUpToDate>
  <CharactersWithSpaces>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FNSMERC304B Locate subjects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2012-05-26T07:00:00Z</dcterms:created>
  <dcterms:modified xsi:type="dcterms:W3CDTF">2012-05-26T07:00:00Z</dcterms:modified>
</cp:coreProperties>
</file>