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9B6" w:rsidP="00BB79B6">
      <w:pPr>
        <w:pStyle w:val="Title"/>
      </w:pPr>
      <w:r>
        <w:fldChar w:fldCharType="begin"/>
      </w:r>
      <w:r>
        <w:instrText xml:space="preserve"> TITLE   \* MERGEFORMAT </w:instrText>
      </w:r>
      <w:r>
        <w:fldChar w:fldCharType="separate"/>
      </w:r>
      <w:r>
        <w:t>FNSLOSS502B Evaluate collected information</w:t>
      </w:r>
      <w:r>
        <w:fldChar w:fldCharType="end"/>
      </w:r>
    </w:p>
    <w:p w:rsidR="00BB79B6" w:rsidP="00BB79B6">
      <w:pPr>
        <w:pStyle w:val="Version"/>
        <w:sectPr w:rsidSect="00BB6D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D3D" w:rsidP="00BB6D3D">
      <w:pPr>
        <w:pStyle w:val="SuperHeading"/>
      </w:pPr>
      <w:r w:rsidRPr="00BB6D3D">
        <w:t>FNSLOSS502B Evaluate collected information</w:t>
      </w:r>
    </w:p>
    <w:p w:rsidR="00000000" w:rsidRPr="00BB6D3D" w:rsidP="00BB6D3D">
      <w:pPr>
        <w:pStyle w:val="Heading1"/>
      </w:pPr>
      <w:bookmarkStart w:id="1" w:name="O_318411"/>
      <w:bookmarkEnd w:id="1"/>
      <w:r w:rsidRPr="00BB6D3D">
        <w:t>Modification History</w:t>
      </w:r>
    </w:p>
    <w:p w:rsidR="00000000" w:rsidRPr="00BB6D3D" w:rsidP="00BB6D3D">
      <w:pPr>
        <w:pStyle w:val="BodyText"/>
      </w:pPr>
      <w:r w:rsidRPr="00BB6D3D">
        <w:t>Not applicable.</w:t>
      </w:r>
    </w:p>
    <w:p w:rsidR="00000000" w:rsidRPr="00BB6D3D" w:rsidP="00BB6D3D">
      <w:pPr>
        <w:pStyle w:val="AllowPageBreak"/>
      </w:pPr>
    </w:p>
    <w:p w:rsidR="00000000" w:rsidRPr="00BB6D3D" w:rsidP="00BB6D3D">
      <w:pPr>
        <w:pStyle w:val="Heading1"/>
      </w:pPr>
      <w:bookmarkStart w:id="2" w:name="O_318415"/>
      <w:bookmarkEnd w:id="2"/>
      <w:r w:rsidRPr="00BB6D3D">
        <w:t>Unit Descriptor</w:t>
      </w:r>
    </w:p>
    <w:p w:rsidR="00000000" w:rsidRPr="00BB6D3D" w:rsidP="00BB6D3D">
      <w:pPr>
        <w:pStyle w:val="BodyText"/>
      </w:pPr>
      <w:r w:rsidRPr="00BB6D3D">
        <w:t>This unit describes the functions involved in assessing and analysing evidence and data relating to a loss situation, and d</w:t>
      </w:r>
      <w:r w:rsidRPr="00BB6D3D">
        <w:t>etermining the extent of loss, damage or injury.</w:t>
      </w:r>
    </w:p>
    <w:p w:rsidR="00000000" w:rsidRPr="00BB6D3D" w:rsidP="00BB6D3D">
      <w:pPr>
        <w:pStyle w:val="BodyText"/>
      </w:pPr>
      <w:r w:rsidRPr="00BB6D3D">
        <w:t>This unit describes the functions involved in assessing and analysing evidence and data relating to a loss situation, and determining the extent of loss, damage or injury.</w:t>
      </w:r>
    </w:p>
    <w:p w:rsidR="00000000" w:rsidRPr="00BB6D3D" w:rsidP="00BB6D3D">
      <w:pPr>
        <w:pStyle w:val="AllowPageBreak"/>
      </w:pPr>
    </w:p>
    <w:p w:rsidR="00000000" w:rsidRPr="00BB6D3D" w:rsidP="00BB6D3D">
      <w:pPr>
        <w:pStyle w:val="Heading1"/>
      </w:pPr>
      <w:bookmarkStart w:id="3" w:name="O_318416"/>
      <w:bookmarkEnd w:id="3"/>
      <w:r w:rsidRPr="00BB6D3D">
        <w:t>Application of the</w:t>
      </w:r>
      <w:r w:rsidRPr="00BB6D3D">
        <w:t xml:space="preserve"> Unit</w:t>
      </w:r>
    </w:p>
    <w:p w:rsidR="00000000" w:rsidRPr="00BB6D3D" w:rsidP="00BB6D3D">
      <w:pPr>
        <w:pStyle w:val="BodyText"/>
      </w:pPr>
      <w:r w:rsidRPr="00BB6D3D">
        <w:t>This unit requires the application of diagnostic and mathematical skills to determine liability and extent of loss. It relates to the analysis of information obtained through loss investigation and includes evaluation of recovery rights and success.</w:t>
      </w:r>
    </w:p>
    <w:p w:rsidR="00000000" w:rsidRPr="00BB6D3D" w:rsidP="00BB6D3D">
      <w:pPr>
        <w:pStyle w:val="BodyText"/>
      </w:pPr>
      <w:r w:rsidRPr="00BB6D3D">
        <w:t>This unit requires the application of diagnostic and mathematical skills to determine liability and extent of loss. It relates to the analysis of information obtained through loss investigation and includes evaluation of recovery rights and success.</w:t>
      </w:r>
    </w:p>
    <w:p w:rsidR="00000000" w:rsidRPr="00BB6D3D" w:rsidP="00BB6D3D">
      <w:pPr>
        <w:pStyle w:val="AllowPageBreak"/>
      </w:pPr>
    </w:p>
    <w:p w:rsidR="00000000" w:rsidRPr="00BB6D3D" w:rsidP="00BB6D3D">
      <w:pPr>
        <w:pStyle w:val="Heading1"/>
      </w:pPr>
      <w:bookmarkStart w:id="4" w:name="O_318412"/>
      <w:bookmarkEnd w:id="4"/>
      <w:r w:rsidRPr="00BB6D3D">
        <w:t>Licensing/Regulatory Information</w:t>
      </w:r>
    </w:p>
    <w:p w:rsidR="00000000" w:rsidRPr="00BB6D3D" w:rsidP="00BB6D3D">
      <w:pPr>
        <w:pStyle w:val="BodyText"/>
      </w:pPr>
      <w:r w:rsidRPr="00BB6D3D">
        <w:t>Not applicable.</w:t>
      </w:r>
    </w:p>
    <w:p w:rsidR="00000000" w:rsidRPr="00BB6D3D" w:rsidP="00BB6D3D">
      <w:pPr>
        <w:pStyle w:val="AllowPageBreak"/>
      </w:pPr>
    </w:p>
    <w:p w:rsidR="00000000" w:rsidRPr="00BB6D3D" w:rsidP="00BB6D3D">
      <w:pPr>
        <w:pStyle w:val="Heading1"/>
      </w:pPr>
      <w:bookmarkStart w:id="5" w:name="O_318413"/>
      <w:bookmarkEnd w:id="5"/>
      <w:r w:rsidRPr="00BB6D3D">
        <w:t>Pre-Requisites</w:t>
      </w:r>
    </w:p>
    <w:p w:rsidR="00000000" w:rsidRPr="00BB6D3D" w:rsidP="00BB6D3D">
      <w:pPr>
        <w:pStyle w:val="BodyText"/>
      </w:pPr>
      <w:r w:rsidRPr="00BB6D3D">
        <w:t>Not applicable.</w:t>
      </w:r>
    </w:p>
    <w:p w:rsidR="00000000" w:rsidRPr="00BB6D3D" w:rsidP="00BB6D3D">
      <w:pPr>
        <w:pStyle w:val="AllowPageBreak"/>
      </w:pPr>
    </w:p>
    <w:p w:rsidR="00000000" w:rsidRPr="00BB6D3D" w:rsidP="00BB6D3D">
      <w:pPr>
        <w:pStyle w:val="Heading1"/>
      </w:pPr>
      <w:bookmarkStart w:id="6" w:name="O_318414"/>
      <w:bookmarkEnd w:id="6"/>
      <w:r w:rsidRPr="00BB6D3D">
        <w:t>Employability Skills Information</w:t>
      </w:r>
    </w:p>
    <w:p w:rsidR="00000000" w:rsidRPr="00BB6D3D" w:rsidP="00BB6D3D">
      <w:pPr>
        <w:pStyle w:val="BodyText"/>
      </w:pPr>
      <w:r w:rsidRPr="00BB6D3D">
        <w:t>The required outcomes described in this unit of competency contain applicable facets of emplo</w:t>
      </w:r>
      <w:r w:rsidRPr="00BB6D3D">
        <w:t>yability skills. The Employability Skills Summary for the qualification in which this unit of competency is packaged, will assist in identifying employability skills requirements.</w:t>
      </w:r>
    </w:p>
    <w:p w:rsidR="00000000" w:rsidRPr="00BB6D3D" w:rsidP="00BB6D3D">
      <w:pPr>
        <w:pStyle w:val="BodyText"/>
      </w:pPr>
      <w:r w:rsidRPr="00BB6D3D">
        <w:t>The required outcomes described in this unit of competency contain applicabl</w:t>
      </w:r>
      <w:r w:rsidRPr="00BB6D3D">
        <w:t>e facets of employability skills. The Employability Skills Summary for the qualification in which this unit of competency is packaged, will assist in identifying employability skills requirements.</w:t>
      </w:r>
    </w:p>
    <w:p w:rsidR="00000000" w:rsidRPr="00BB6D3D" w:rsidP="00BB6D3D">
      <w:pPr>
        <w:pStyle w:val="AllowPageBreak"/>
      </w:pPr>
    </w:p>
    <w:p w:rsidR="00000000" w:rsidRPr="00BB6D3D" w:rsidP="00BB6D3D">
      <w:pPr>
        <w:pStyle w:val="Heading1"/>
      </w:pPr>
      <w:bookmarkStart w:id="7" w:name="O_318422"/>
      <w:bookmarkEnd w:id="7"/>
      <w:r w:rsidRPr="00BB6D3D">
        <w:t>Elements and Performance Criteria Pre-Content</w:t>
      </w:r>
    </w:p>
    <w:p w:rsidR="00000000" w:rsidRPr="00BB6D3D" w:rsidP="00BB6D3D">
      <w:pPr>
        <w:pStyle w:val="BodyText"/>
      </w:pPr>
      <w:r w:rsidRPr="00BB6D3D">
        <w:t>Elements define the essential outcomes of a unit of competency.</w:t>
      </w:r>
    </w:p>
    <w:p w:rsidR="00000000" w:rsidRPr="00BB6D3D" w:rsidP="00BB6D3D">
      <w:pPr>
        <w:pStyle w:val="BodyText"/>
      </w:pPr>
      <w:r w:rsidRPr="00BB6D3D">
        <w:t xml:space="preserve">Performance Criteria describe the required performance needed to demonstrate achievement of the Element. </w:t>
      </w:r>
      <w:r w:rsidRPr="00BB6D3D">
        <w:rPr>
          <w:rStyle w:val="SpecialBold"/>
        </w:rPr>
        <w:t xml:space="preserve">Bold, italicised </w:t>
      </w:r>
      <w:r w:rsidRPr="00BB6D3D">
        <w:t xml:space="preserve">terms are elaborated in </w:t>
      </w:r>
      <w:r w:rsidRPr="00BB6D3D">
        <w:t>the Range Statement. Assessment of performance is to be consistent with the Evidence Guide.</w:t>
      </w:r>
    </w:p>
    <w:p w:rsidR="00000000" w:rsidRPr="00BB6D3D" w:rsidP="00BB6D3D">
      <w:pPr>
        <w:pStyle w:val="BodyText"/>
      </w:pPr>
      <w:r w:rsidRPr="00BB6D3D">
        <w:t>Elements define the essential outcomes of a unit of competency.</w:t>
      </w:r>
    </w:p>
    <w:p w:rsidR="00000000" w:rsidRPr="00BB6D3D" w:rsidP="00BB6D3D">
      <w:pPr>
        <w:pStyle w:val="BodyText"/>
      </w:pPr>
      <w:r w:rsidRPr="00BB6D3D">
        <w:t>Performance Criteria describe the required performance needed to demonstrate achievement of the Elem</w:t>
      </w:r>
      <w:r w:rsidRPr="00BB6D3D">
        <w:t xml:space="preserve">ent. </w:t>
      </w:r>
      <w:r w:rsidRPr="00BB6D3D">
        <w:rPr>
          <w:rStyle w:val="SpecialBold"/>
        </w:rPr>
        <w:t xml:space="preserve">Bold, italicised </w:t>
      </w:r>
      <w:r w:rsidRPr="00BB6D3D">
        <w:t>terms are elaborated in the Range Statement. Assessment of performance is to be consistent with the Evidence Guide.</w:t>
      </w:r>
    </w:p>
    <w:p w:rsidR="00000000" w:rsidRPr="00BB6D3D" w:rsidP="00BB6D3D">
      <w:pPr>
        <w:pStyle w:val="AllowPageBreak"/>
      </w:pPr>
    </w:p>
    <w:p w:rsidR="00000000" w:rsidRPr="00BB6D3D" w:rsidP="00BB6D3D">
      <w:pPr>
        <w:pStyle w:val="Heading1"/>
      </w:pPr>
      <w:bookmarkStart w:id="8" w:name="O_318410"/>
      <w:bookmarkEnd w:id="8"/>
      <w:r w:rsidRPr="00BB6D3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B79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Elements and Performance Criteria</w:t>
            </w:r>
          </w:p>
        </w:tc>
      </w:tr>
      <w:tr w:rsidTr="00BB79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Performance Criteria</w:t>
            </w:r>
          </w:p>
        </w:tc>
      </w:tr>
      <w:tr w:rsidTr="00BB79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1</w:t>
            </w:r>
          </w:p>
        </w:tc>
        <w:tc>
          <w:tcPr>
            <w:tcW w:w="30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Determine whether loss is covered by insurance or other criteria</w:t>
            </w: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1.1</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Relevant evidence, facts and information are collected accurately and thoroughly</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1.2</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 xml:space="preserve">Insurance policy/policies </w:t>
            </w:r>
            <w:r w:rsidRPr="00BB6D3D">
              <w:t>conditions are reviewed to determine whether loss falls within policy coverage</w:t>
            </w:r>
          </w:p>
        </w:tc>
      </w:tr>
      <w:tr w:rsidTr="00BB79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2</w:t>
            </w:r>
          </w:p>
        </w:tc>
        <w:tc>
          <w:tcPr>
            <w:tcW w:w="30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Apply and analyse established facts</w:t>
            </w: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2.1</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Validity of claim is assessed against reported circumstances and policy specifications</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2.2</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Fraud indicators are identified accurate</w:t>
            </w:r>
            <w:r w:rsidRPr="00BB6D3D">
              <w:t>ly and consistently</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2.3</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Appropriate analysis techniques are applied and data is prioritised and assessed thoroughly</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2.4</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Data analysis techniques and procedures are </w:t>
            </w:r>
            <w:r w:rsidRPr="00BB6D3D">
              <w:rPr>
                <w:rStyle w:val="SpecialBold"/>
              </w:rPr>
              <w:t xml:space="preserve">documented </w:t>
            </w:r>
            <w:r w:rsidRPr="00BB6D3D">
              <w:t>and recorded promptly and accurately</w:t>
            </w:r>
          </w:p>
        </w:tc>
      </w:tr>
      <w:tr w:rsidTr="00BB79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3</w:t>
            </w:r>
          </w:p>
        </w:tc>
        <w:tc>
          <w:tcPr>
            <w:tcW w:w="30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Determine extent of loss/damage/injury</w:t>
            </w: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3.1</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Extent of </w:t>
            </w:r>
            <w:r w:rsidRPr="00BB6D3D">
              <w:rPr>
                <w:rStyle w:val="SpecialBold"/>
              </w:rPr>
              <w:t xml:space="preserve">liability </w:t>
            </w:r>
            <w:r w:rsidRPr="00BB6D3D">
              <w:t xml:space="preserve">and loss is determined against available evidence and facts and in accordance with </w:t>
            </w:r>
            <w:r w:rsidRPr="00BB6D3D">
              <w:rPr>
                <w:rStyle w:val="SpecialBold"/>
              </w:rPr>
              <w:t xml:space="preserve">legislative </w:t>
            </w:r>
            <w:r w:rsidRPr="00BB6D3D">
              <w:t xml:space="preserve">and/or insurers, or client, or </w:t>
            </w:r>
            <w:r w:rsidRPr="00BB6D3D">
              <w:rPr>
                <w:rStyle w:val="SpecialBold"/>
              </w:rPr>
              <w:t>company policy and guidelines</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3.2</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Extent of loss/damage determined is consistent with the assessment of and nature of claim and is within legislative, insurers, client or company constraints</w:t>
            </w:r>
          </w:p>
        </w:tc>
      </w:tr>
      <w:tr w:rsidTr="00BB79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4</w:t>
            </w:r>
          </w:p>
        </w:tc>
        <w:tc>
          <w:tcPr>
            <w:tcW w:w="3000" w:type="dxa"/>
            <w:vMerge w:val="restart"/>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Establish recovery rights</w:t>
            </w: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4.1</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All other contributory insurances are identified</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4.2</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All cases </w:t>
            </w:r>
            <w:r w:rsidRPr="00BB6D3D">
              <w:t xml:space="preserve">for potential subrogation action are </w:t>
            </w:r>
            <w:r w:rsidRPr="00BB6D3D">
              <w:t>identified and assessed</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4.3</w:t>
            </w:r>
          </w:p>
        </w:tc>
        <w:tc>
          <w:tcPr>
            <w:tcW w:w="51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 xml:space="preserve">Sources </w:t>
            </w:r>
            <w:r w:rsidRPr="00BB6D3D">
              <w:t xml:space="preserve">and </w:t>
            </w:r>
            <w:r w:rsidRPr="00BB6D3D">
              <w:rPr>
                <w:rStyle w:val="SpecialBold"/>
              </w:rPr>
              <w:t xml:space="preserve">rights of recovery </w:t>
            </w:r>
            <w:r w:rsidRPr="00BB6D3D">
              <w:t>are identified and likelihood of recovery success is evaluated</w:t>
            </w:r>
          </w:p>
        </w:tc>
      </w:tr>
      <w:tr w:rsidTr="00BB79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4.4</w:t>
            </w:r>
          </w:p>
        </w:tc>
        <w:tc>
          <w:tcPr>
            <w:tcW w:w="51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Recovery demands are correctly issued where necessary</w:t>
            </w:r>
          </w:p>
        </w:tc>
      </w:tr>
    </w:tbl>
    <w:p w:rsidR="00000000" w:rsidRPr="00BB6D3D" w:rsidP="00BB6D3D">
      <w:pPr>
        <w:pStyle w:val="BodyText"/>
      </w:pPr>
    </w:p>
    <w:p w:rsidR="00000000" w:rsidRPr="00BB6D3D" w:rsidP="00BB6D3D">
      <w:pPr>
        <w:pStyle w:val="AllowPageBreak"/>
      </w:pPr>
    </w:p>
    <w:p w:rsidR="00000000" w:rsidRPr="00BB6D3D" w:rsidP="00BB6D3D">
      <w:pPr>
        <w:pStyle w:val="Heading1"/>
      </w:pPr>
      <w:bookmarkStart w:id="9" w:name="O_318417"/>
      <w:bookmarkEnd w:id="9"/>
      <w:r w:rsidRPr="00BB6D3D">
        <w:t>Required Skills and Knowledge</w:t>
      </w:r>
    </w:p>
    <w:tbl>
      <w:tblPr>
        <w:tblW w:w="0" w:type="auto"/>
        <w:tblLayout w:type="fixed"/>
        <w:tblCellMar>
          <w:left w:w="62" w:type="dxa"/>
          <w:right w:w="62" w:type="dxa"/>
        </w:tblCellMar>
        <w:tblLook w:val="0000"/>
      </w:tblPr>
      <w:tblGrid>
        <w:gridCol w:w="9000"/>
      </w:tblGrid>
      <w:tr w:rsidTr="00BB79B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REQUIRED KNOWLEDGE</w:t>
            </w:r>
            <w:r w:rsidRPr="00BB6D3D">
              <w:t>&amp;</w:t>
            </w:r>
            <w:r w:rsidRPr="00BB6D3D">
              <w:rPr>
                <w:rStyle w:val="SpecialBold"/>
              </w:rPr>
              <w:t>SKILLS</w:t>
            </w:r>
          </w:p>
        </w:tc>
      </w:tr>
      <w:tr w:rsidTr="00BB79B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rPr>
                <w:rStyle w:val="SpecialBold"/>
              </w:rPr>
              <w:t>Knowledge requirements include</w:t>
            </w:r>
            <w:r w:rsidRPr="00BB6D3D">
              <w:t xml:space="preserve">: </w:t>
            </w:r>
          </w:p>
          <w:p w:rsidR="00000000" w:rsidRPr="00BB6D3D" w:rsidP="00BB6D3D">
            <w:pPr>
              <w:pStyle w:val="BodyText"/>
            </w:pPr>
            <w:r w:rsidRPr="00BB6D3D">
              <w:t>knowledge of the insurance industry</w:t>
            </w:r>
          </w:p>
          <w:p w:rsidR="00000000" w:rsidRPr="00BB6D3D" w:rsidP="00BB6D3D">
            <w:pPr>
              <w:pStyle w:val="BodyText"/>
            </w:pPr>
            <w:r w:rsidRPr="00BB6D3D">
              <w:t>contract and commercial law principles</w:t>
            </w:r>
          </w:p>
          <w:p w:rsidR="00000000" w:rsidRPr="00BB6D3D" w:rsidP="00BB6D3D">
            <w:pPr>
              <w:pStyle w:val="BodyText"/>
            </w:pPr>
            <w:r w:rsidRPr="00BB6D3D">
              <w:t>insurance law relevant legislation and industry codes of practice</w:t>
            </w:r>
          </w:p>
          <w:p w:rsidR="00000000" w:rsidRPr="00BB6D3D" w:rsidP="00BB6D3D">
            <w:pPr>
              <w:pStyle w:val="BodyText"/>
            </w:pPr>
            <w:r w:rsidRPr="00BB6D3D">
              <w:t>types/categories of insurance policies</w:t>
            </w:r>
          </w:p>
          <w:p w:rsidR="00000000" w:rsidRPr="00BB6D3D" w:rsidP="00BB6D3D">
            <w:pPr>
              <w:pStyle w:val="BodyText"/>
            </w:pPr>
            <w:r w:rsidRPr="00BB6D3D">
              <w:t>policy coverage/requirements</w:t>
            </w:r>
          </w:p>
          <w:p w:rsidR="00000000" w:rsidRPr="00BB6D3D" w:rsidP="00BB6D3D">
            <w:pPr>
              <w:pStyle w:val="BodyText"/>
            </w:pPr>
            <w:r w:rsidRPr="00BB6D3D">
              <w:t>loss adjusting principles and practice</w:t>
            </w:r>
          </w:p>
          <w:p w:rsidR="00000000" w:rsidRPr="00BB6D3D" w:rsidP="00BB6D3D">
            <w:pPr>
              <w:pStyle w:val="BodyText"/>
            </w:pPr>
            <w:r w:rsidRPr="00BB6D3D">
              <w:t>claims management</w:t>
            </w:r>
          </w:p>
          <w:p w:rsidR="00000000" w:rsidRPr="00BB6D3D" w:rsidP="00BB6D3D">
            <w:pPr>
              <w:pStyle w:val="BodyText"/>
            </w:pPr>
            <w:r w:rsidRPr="00BB6D3D">
              <w:t>principles of cost estimating</w:t>
            </w:r>
          </w:p>
          <w:p w:rsidR="00000000" w:rsidRPr="00BB6D3D" w:rsidP="00BB6D3D">
            <w:pPr>
              <w:pStyle w:val="BodyText"/>
            </w:pPr>
            <w:r w:rsidRPr="00BB6D3D">
              <w:t>salvage methods</w:t>
            </w:r>
          </w:p>
          <w:p w:rsidR="00000000" w:rsidRPr="00BB6D3D" w:rsidP="00BB6D3D">
            <w:pPr>
              <w:pStyle w:val="BodyText"/>
            </w:pPr>
            <w:r w:rsidRPr="00BB6D3D">
              <w:t>recovery</w:t>
            </w:r>
          </w:p>
          <w:p w:rsidR="00000000" w:rsidRPr="00BB6D3D" w:rsidP="00BB6D3D">
            <w:pPr>
              <w:pStyle w:val="BodyText"/>
            </w:pPr>
            <w:r w:rsidRPr="00BB6D3D">
              <w:t>subrogation</w:t>
            </w:r>
          </w:p>
          <w:p w:rsidR="00000000" w:rsidRPr="00BB6D3D" w:rsidP="00BB6D3D">
            <w:pPr>
              <w:pStyle w:val="BodyText"/>
            </w:pPr>
            <w:r w:rsidRPr="00BB6D3D">
              <w:t>insurable interest</w:t>
            </w:r>
          </w:p>
          <w:p w:rsidR="00000000" w:rsidRPr="00BB6D3D" w:rsidP="00BB6D3D">
            <w:pPr>
              <w:pStyle w:val="BodyText"/>
            </w:pPr>
            <w:r w:rsidRPr="00BB6D3D">
              <w:t>contribution</w:t>
            </w:r>
          </w:p>
          <w:p w:rsidR="00000000" w:rsidRPr="00BB6D3D" w:rsidP="00BB6D3D">
            <w:pPr>
              <w:pStyle w:val="BodyText"/>
            </w:pPr>
            <w:r w:rsidRPr="00BB6D3D">
              <w:t>data analysis techniques/procedu</w:t>
            </w:r>
            <w:r w:rsidRPr="00BB6D3D">
              <w:t>res</w:t>
            </w:r>
          </w:p>
          <w:p w:rsidR="00000000" w:rsidP="00BB6D3D">
            <w:pPr>
              <w:pStyle w:val="BodyText"/>
              <w:rPr>
                <w:lang w:val="en-NZ"/>
              </w:rPr>
            </w:pPr>
            <w:r w:rsidRPr="00BB6D3D">
              <w:t xml:space="preserve">business mathematics and statistics </w:t>
            </w:r>
          </w:p>
        </w:tc>
      </w:tr>
      <w:tr w:rsidTr="00BB79B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rPr>
                <w:rStyle w:val="SpecialBold"/>
              </w:rPr>
              <w:t>Skills requirements include</w:t>
            </w:r>
            <w:r w:rsidRPr="00BB6D3D">
              <w:t xml:space="preserve">: </w:t>
            </w:r>
          </w:p>
          <w:p w:rsidR="00000000" w:rsidRPr="00BB6D3D" w:rsidP="00BB6D3D">
            <w:pPr>
              <w:pStyle w:val="BodyText"/>
            </w:pPr>
            <w:r w:rsidRPr="00BB6D3D">
              <w:t>analytical, evaluative and deductive reasoning</w:t>
            </w:r>
          </w:p>
          <w:p w:rsidR="00000000" w:rsidRPr="00BB6D3D" w:rsidP="00BB6D3D">
            <w:pPr>
              <w:pStyle w:val="BodyText"/>
            </w:pPr>
            <w:r w:rsidRPr="00BB6D3D">
              <w:t>problem solving</w:t>
            </w:r>
          </w:p>
          <w:p w:rsidR="00000000" w:rsidRPr="00BB6D3D" w:rsidP="00BB6D3D">
            <w:pPr>
              <w:pStyle w:val="BodyText"/>
            </w:pPr>
            <w:r w:rsidRPr="00BB6D3D">
              <w:t>calculation and estimating</w:t>
            </w:r>
          </w:p>
          <w:p w:rsidR="00000000" w:rsidRPr="00BB6D3D" w:rsidP="00BB6D3D">
            <w:pPr>
              <w:pStyle w:val="BodyText"/>
            </w:pPr>
            <w:r w:rsidRPr="00BB6D3D">
              <w:t>data analysis techniques/procedures</w:t>
            </w:r>
          </w:p>
          <w:p w:rsidR="00000000" w:rsidRPr="00BB6D3D" w:rsidP="00BB6D3D">
            <w:pPr>
              <w:pStyle w:val="BodyText"/>
            </w:pPr>
            <w:r w:rsidRPr="00BB6D3D">
              <w:t>record keeping</w:t>
            </w:r>
          </w:p>
          <w:p w:rsidR="00000000" w:rsidRPr="00BB6D3D" w:rsidP="00BB6D3D">
            <w:pPr>
              <w:pStyle w:val="BodyText"/>
            </w:pPr>
            <w:r w:rsidRPr="00BB6D3D">
              <w:t>communication and listening skills</w:t>
            </w:r>
          </w:p>
          <w:p w:rsidR="00000000" w:rsidRPr="00BB6D3D" w:rsidP="00BB6D3D">
            <w:pPr>
              <w:pStyle w:val="BodyText"/>
            </w:pPr>
            <w:r w:rsidRPr="00BB6D3D">
              <w:t>time management</w:t>
            </w:r>
          </w:p>
          <w:p w:rsidR="00000000" w:rsidRPr="00BB6D3D" w:rsidP="00BB6D3D">
            <w:pPr>
              <w:pStyle w:val="BodyText"/>
            </w:pPr>
            <w:r w:rsidRPr="00BB6D3D">
              <w:t>using computer databases, member/client databases and telecommunication devices</w:t>
            </w:r>
          </w:p>
          <w:p w:rsidR="00000000" w:rsidRPr="00BB6D3D" w:rsidP="00BB6D3D">
            <w:pPr>
              <w:pStyle w:val="BodyText"/>
            </w:pPr>
            <w:r w:rsidRPr="00BB6D3D">
              <w:t xml:space="preserve">maintaining currency of industry products and services knowledge </w:t>
            </w:r>
          </w:p>
        </w:tc>
      </w:tr>
    </w:tbl>
    <w:p w:rsidR="00000000" w:rsidRPr="00BB6D3D" w:rsidP="00BB6D3D">
      <w:pPr>
        <w:pStyle w:val="BodyText"/>
      </w:pPr>
    </w:p>
    <w:p w:rsidR="00000000" w:rsidRPr="00BB6D3D" w:rsidP="00BB6D3D">
      <w:pPr>
        <w:pStyle w:val="AllowPageBreak"/>
      </w:pPr>
    </w:p>
    <w:p w:rsidR="00000000" w:rsidRPr="00BB6D3D" w:rsidP="00BB6D3D">
      <w:pPr>
        <w:pStyle w:val="Heading1"/>
      </w:pPr>
      <w:bookmarkStart w:id="10" w:name="O_318418"/>
      <w:bookmarkEnd w:id="10"/>
      <w:r w:rsidRPr="00BB6D3D">
        <w:t>Evidence Guide</w:t>
      </w:r>
    </w:p>
    <w:tbl>
      <w:tblPr>
        <w:tblW w:w="0" w:type="auto"/>
        <w:tblLayout w:type="fixed"/>
        <w:tblCellMar>
          <w:left w:w="62" w:type="dxa"/>
          <w:right w:w="62" w:type="dxa"/>
        </w:tblCellMar>
        <w:tblLook w:val="0000"/>
      </w:tblPr>
      <w:tblGrid>
        <w:gridCol w:w="4500"/>
        <w:gridCol w:w="4500"/>
      </w:tblGrid>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 xml:space="preserve"> EVIDENCE GUIDE</w:t>
            </w: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Assessment of performance requirements in </w:t>
            </w:r>
            <w:r w:rsidRPr="00BB6D3D">
              <w:t>the unit should be undertaken in an industry context. The Evidence Guide identifies the critical aspects, knowledge and skills to be demonstrated to confirm competency for the unit. Competency is demonstrated by performance of all stated criteria including</w:t>
            </w:r>
            <w:r w:rsidRPr="00BB6D3D">
              <w:t xml:space="preserve"> the Range Statement applicable to the workplace. </w:t>
            </w: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Overview of assessment requirements</w:t>
            </w: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 xml:space="preserve">To achieve competency in this unit, a person must be able to demonstrate: </w:t>
            </w:r>
          </w:p>
          <w:p w:rsidR="00000000" w:rsidRPr="00BB6D3D" w:rsidP="00BB6D3D">
            <w:pPr>
              <w:pStyle w:val="BodyText"/>
            </w:pPr>
            <w:r w:rsidRPr="00BB6D3D">
              <w:t>thorough knowledge of types and categories of insurance policies, industry codes of practice and relevant legislation</w:t>
            </w:r>
          </w:p>
          <w:p w:rsidR="00000000" w:rsidRPr="00BB6D3D" w:rsidP="00BB6D3D">
            <w:pPr>
              <w:pStyle w:val="BodyText"/>
            </w:pPr>
            <w:r w:rsidRPr="00BB6D3D">
              <w:t>loss adjusting principles and practice</w:t>
            </w:r>
          </w:p>
          <w:p w:rsidR="00000000" w:rsidP="00BB6D3D">
            <w:pPr>
              <w:pStyle w:val="BodyText"/>
              <w:rPr>
                <w:lang w:val="en-NZ"/>
              </w:rPr>
            </w:pPr>
            <w:r w:rsidRPr="00BB6D3D">
              <w:t xml:space="preserve">data analysis and evaluation techniques </w:t>
            </w: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Critical aspects of evidence</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Evidence required for dem</w:t>
            </w:r>
            <w:r w:rsidRPr="00BB6D3D">
              <w:rPr>
                <w:rStyle w:val="SpecialBold"/>
              </w:rPr>
              <w:t>onstration of consistent performance</w:t>
            </w:r>
            <w:r w:rsidRPr="00BB6D3D">
              <w:t xml:space="preserve">: </w:t>
            </w:r>
          </w:p>
        </w:tc>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Competency is demonstrated by performance of all stated criteria including the Range Statement applicable to the particular workplace environment and should cover all necessary knowledge and skills requirements.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Del</w:t>
            </w:r>
            <w:r w:rsidRPr="00BB6D3D">
              <w:rPr>
                <w:rStyle w:val="SpecialBold"/>
              </w:rPr>
              <w:t>ivery</w:t>
            </w:r>
            <w:r w:rsidRPr="00BB6D3D">
              <w:t>/</w:t>
            </w:r>
            <w:r w:rsidRPr="00BB6D3D">
              <w:rPr>
                <w:rStyle w:val="SpecialBold"/>
              </w:rPr>
              <w:t>assessment relationship to other units</w:t>
            </w:r>
            <w:r w:rsidRPr="00BB6D3D">
              <w:t xml:space="preserve">: </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 xml:space="preserve">This unit may be assessed independently, however demonstration of competency in the following unit is a prerequisite:   </w:t>
            </w:r>
          </w:p>
          <w:p w:rsidR="00000000" w:rsidP="00BB6D3D">
            <w:pPr>
              <w:pStyle w:val="BodyText"/>
              <w:rPr>
                <w:lang w:val="en-NZ"/>
              </w:rPr>
            </w:pPr>
            <w:r w:rsidRPr="00BB6D3D">
              <w:t xml:space="preserve">FNSLOSS501B Plan and implement loss investigation. </w:t>
            </w: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Assessment requirements</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Method of assessment</w:t>
            </w:r>
            <w:r w:rsidRPr="00BB6D3D">
              <w:t xml:space="preserve">: </w:t>
            </w:r>
          </w:p>
        </w:tc>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 xml:space="preserve">For valid and reliable assessment of this unit, evidence should be gathered through a range of methods to indicate consistent performance.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t>Assessment of this unit of competence will usually include observation of processes and pro</w:t>
            </w:r>
            <w:r w:rsidRPr="00BB6D3D">
              <w:t xml:space="preserve">cedures, oral and/or written questioning on required knowledge and skills and other methods as required.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Context of assessment</w:t>
            </w:r>
            <w:r w:rsidRPr="00BB6D3D">
              <w:t xml:space="preserve">: </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Assessment of performance requirements in this unit should be undertaken within the financial services industry context and s</w:t>
            </w:r>
            <w:r w:rsidRPr="00BB6D3D">
              <w:t xml:space="preserve">hould cover aspects of personal/financial responsibility and accountability. </w:t>
            </w:r>
          </w:p>
          <w:p w:rsidR="00000000" w:rsidP="00BB6D3D">
            <w:pPr>
              <w:pStyle w:val="BodyText"/>
              <w:rPr>
                <w:lang w:val="en-NZ"/>
              </w:rPr>
            </w:pPr>
            <w:r w:rsidRPr="00BB6D3D">
              <w:t>Aspects of competency, including the attainment of relevant knowledge and skills, may be assessed in a relevant workplace, a closely simulated work environment, or other appropri</w:t>
            </w:r>
            <w:r w:rsidRPr="00BB6D3D">
              <w:t xml:space="preserve">ate means that clearly meet industry competency requirements.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Resources required for assessment</w:t>
            </w:r>
            <w:r w:rsidRPr="00BB6D3D">
              <w:t xml:space="preserve">: </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 xml:space="preserve">This unit may involve simulation equipment, facilities for workplace or simulated environment assessment, availability of qualified assessors. </w:t>
            </w:r>
          </w:p>
        </w:tc>
      </w:tr>
    </w:tbl>
    <w:p w:rsidR="00000000" w:rsidRPr="00BB6D3D" w:rsidP="00BB6D3D">
      <w:pPr>
        <w:pStyle w:val="BodyText"/>
      </w:pPr>
    </w:p>
    <w:p w:rsidR="00000000" w:rsidRPr="00BB6D3D" w:rsidP="00BB6D3D">
      <w:pPr>
        <w:pStyle w:val="AllowPageBreak"/>
      </w:pPr>
    </w:p>
    <w:p w:rsidR="00000000" w:rsidRPr="00BB6D3D" w:rsidP="00BB6D3D">
      <w:pPr>
        <w:pStyle w:val="Heading1"/>
      </w:pPr>
      <w:bookmarkStart w:id="11" w:name="O_318419"/>
      <w:bookmarkEnd w:id="11"/>
      <w:r w:rsidRPr="00BB6D3D">
        <w:t>Range Statement</w:t>
      </w:r>
    </w:p>
    <w:tbl>
      <w:tblPr>
        <w:tblW w:w="0" w:type="auto"/>
        <w:tblLayout w:type="fixed"/>
        <w:tblCellMar>
          <w:left w:w="62" w:type="dxa"/>
          <w:right w:w="62" w:type="dxa"/>
        </w:tblCellMar>
        <w:tblLook w:val="0000"/>
      </w:tblPr>
      <w:tblGrid>
        <w:gridCol w:w="4500"/>
        <w:gridCol w:w="4500"/>
      </w:tblGrid>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B6D3D">
            <w:pPr>
              <w:pStyle w:val="BodyText"/>
              <w:rPr>
                <w:lang w:val="en-NZ"/>
              </w:rPr>
            </w:pPr>
          </w:p>
        </w:tc>
      </w:tr>
      <w:tr w:rsidTr="00BB79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The range statement relates to the unit of competency as a whole. It allows for different work environments and situations that will affect performance.</w:t>
            </w:r>
          </w:p>
          <w:p w:rsidR="00000000" w:rsidP="00BB6D3D">
            <w:pPr>
              <w:pStyle w:val="BodyText"/>
              <w:rPr>
                <w:lang w:val="en-NZ"/>
              </w:rPr>
            </w:pPr>
            <w:r w:rsidRPr="00BB6D3D">
              <w:t>The following variables may be present with training and assessment dependin</w:t>
            </w:r>
            <w:r w:rsidRPr="00BB6D3D">
              <w:t xml:space="preserve">g on the work situation, needs of the candidate, accessibility of the item, and local industry and regional contexts. If </w:t>
            </w:r>
            <w:r w:rsidRPr="00BB6D3D">
              <w:rPr>
                <w:rStyle w:val="SpecialBold"/>
              </w:rPr>
              <w:t>bold italicised</w:t>
            </w:r>
            <w:r w:rsidRPr="00BB6D3D">
              <w:t xml:space="preserve"> text is shown in Performance Criteria, details of the text are provided in the Range Statement.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Types and categories of insurance policies</w:t>
            </w:r>
            <w:r w:rsidRPr="00BB6D3D">
              <w:t xml:space="preserve"> include: </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domestic</w:t>
            </w:r>
          </w:p>
          <w:p w:rsidR="00000000" w:rsidRPr="00BB6D3D" w:rsidP="00BB6D3D">
            <w:pPr>
              <w:pStyle w:val="BodyText"/>
            </w:pPr>
            <w:r w:rsidRPr="00BB6D3D">
              <w:t>multi risk</w:t>
            </w:r>
          </w:p>
          <w:p w:rsidR="00000000" w:rsidRPr="00BB6D3D" w:rsidP="00BB6D3D">
            <w:pPr>
              <w:pStyle w:val="BodyText"/>
            </w:pPr>
            <w:r w:rsidRPr="00BB6D3D">
              <w:t>defined events</w:t>
            </w:r>
          </w:p>
          <w:p w:rsidR="00000000" w:rsidP="00BB6D3D">
            <w:pPr>
              <w:pStyle w:val="BodyText"/>
              <w:rPr>
                <w:lang w:val="en-NZ"/>
              </w:rPr>
            </w:pPr>
            <w:r w:rsidRPr="00BB6D3D">
              <w:t xml:space="preserve">accidental damage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liability</w:t>
            </w:r>
          </w:p>
          <w:p w:rsidR="00000000" w:rsidRPr="00BB6D3D" w:rsidP="00BB6D3D">
            <w:pPr>
              <w:pStyle w:val="BodyText"/>
            </w:pPr>
            <w:r w:rsidRPr="00BB6D3D">
              <w:t>additional benefits</w:t>
            </w:r>
          </w:p>
          <w:p w:rsidR="00000000" w:rsidRPr="00BB6D3D" w:rsidP="00BB6D3D">
            <w:pPr>
              <w:pStyle w:val="BodyText"/>
            </w:pPr>
            <w:r w:rsidRPr="00BB6D3D">
              <w:t>travel</w:t>
            </w:r>
          </w:p>
          <w:p w:rsidR="00000000" w:rsidRPr="00BB6D3D" w:rsidP="00BB6D3D">
            <w:pPr>
              <w:pStyle w:val="BodyText"/>
            </w:pPr>
            <w:r w:rsidRPr="00BB6D3D">
              <w:t>other personal lines</w:t>
            </w:r>
          </w:p>
          <w:p w:rsidR="00000000" w:rsidRPr="00BB6D3D" w:rsidP="00BB6D3D">
            <w:pPr>
              <w:pStyle w:val="BodyText"/>
            </w:pPr>
            <w:r w:rsidRPr="00BB6D3D">
              <w:t>commercial</w:t>
            </w:r>
          </w:p>
          <w:p w:rsidR="00000000" w:rsidRPr="00BB6D3D" w:rsidP="00BB6D3D">
            <w:pPr>
              <w:pStyle w:val="BodyText"/>
            </w:pPr>
            <w:r w:rsidRPr="00BB6D3D">
              <w:t>fire and perils</w:t>
            </w:r>
          </w:p>
          <w:p w:rsidR="00000000" w:rsidRPr="00BB6D3D" w:rsidP="00BB6D3D">
            <w:pPr>
              <w:pStyle w:val="BodyText"/>
            </w:pPr>
            <w:r w:rsidRPr="00BB6D3D">
              <w:t>business interruption</w:t>
            </w:r>
          </w:p>
          <w:p w:rsidR="00000000" w:rsidRPr="00BB6D3D" w:rsidP="00BB6D3D">
            <w:pPr>
              <w:pStyle w:val="BodyText"/>
            </w:pPr>
            <w:r w:rsidRPr="00BB6D3D">
              <w:t>package contracts</w:t>
            </w:r>
          </w:p>
          <w:p w:rsidR="00000000" w:rsidRPr="00BB6D3D" w:rsidP="00BB6D3D">
            <w:pPr>
              <w:pStyle w:val="BodyText"/>
            </w:pPr>
            <w:r w:rsidRPr="00BB6D3D">
              <w:t>Industrial Special Risks (ISR)</w:t>
            </w:r>
          </w:p>
          <w:p w:rsidR="00000000" w:rsidRPr="00BB6D3D" w:rsidP="00BB6D3D">
            <w:pPr>
              <w:pStyle w:val="BodyText"/>
            </w:pPr>
            <w:r w:rsidRPr="00BB6D3D">
              <w:t>construction risks</w:t>
            </w:r>
          </w:p>
          <w:p w:rsidR="00000000" w:rsidRPr="00BB6D3D" w:rsidP="00BB6D3D">
            <w:pPr>
              <w:pStyle w:val="BodyText"/>
            </w:pPr>
            <w:r w:rsidRPr="00BB6D3D">
              <w:t>machinery breakdown</w:t>
            </w:r>
          </w:p>
          <w:p w:rsidR="00000000" w:rsidRPr="00BB6D3D" w:rsidP="00BB6D3D">
            <w:pPr>
              <w:pStyle w:val="BodyText"/>
            </w:pPr>
            <w:r w:rsidRPr="00BB6D3D">
              <w:t>boiler explosion</w:t>
            </w:r>
          </w:p>
          <w:p w:rsidR="00000000" w:rsidRPr="00BB6D3D" w:rsidP="00BB6D3D">
            <w:pPr>
              <w:pStyle w:val="BodyText"/>
            </w:pPr>
            <w:r w:rsidRPr="00BB6D3D">
              <w:t>transit</w:t>
            </w:r>
          </w:p>
          <w:p w:rsidR="00000000" w:rsidRPr="00BB6D3D" w:rsidP="00BB6D3D">
            <w:pPr>
              <w:pStyle w:val="BodyText"/>
            </w:pPr>
            <w:r w:rsidRPr="00BB6D3D">
              <w:t>sprinkler leakage</w:t>
            </w:r>
          </w:p>
          <w:p w:rsidR="00000000" w:rsidRPr="00BB6D3D" w:rsidP="00BB6D3D">
            <w:pPr>
              <w:pStyle w:val="BodyText"/>
            </w:pPr>
            <w:r w:rsidRPr="00BB6D3D">
              <w:t>burglary/theft</w:t>
            </w:r>
          </w:p>
          <w:p w:rsidR="00000000" w:rsidRPr="00BB6D3D" w:rsidP="00BB6D3D">
            <w:pPr>
              <w:pStyle w:val="BodyText"/>
            </w:pPr>
            <w:r w:rsidRPr="00BB6D3D">
              <w:t>money</w:t>
            </w:r>
          </w:p>
          <w:p w:rsidR="00000000" w:rsidRPr="00BB6D3D" w:rsidP="00BB6D3D">
            <w:pPr>
              <w:pStyle w:val="BodyText"/>
            </w:pPr>
            <w:r w:rsidRPr="00BB6D3D">
              <w:t>fidelity</w:t>
            </w:r>
          </w:p>
          <w:p w:rsidR="00000000" w:rsidRPr="00BB6D3D" w:rsidP="00BB6D3D">
            <w:pPr>
              <w:pStyle w:val="BodyText"/>
            </w:pPr>
            <w:r w:rsidRPr="00BB6D3D">
              <w:t>livestock</w:t>
            </w:r>
          </w:p>
          <w:p w:rsidR="00000000" w:rsidP="00BB6D3D">
            <w:pPr>
              <w:pStyle w:val="BodyText"/>
              <w:rPr>
                <w:lang w:val="en-NZ"/>
              </w:rPr>
            </w:pPr>
            <w:r w:rsidRPr="00BB6D3D">
              <w:t xml:space="preserve">crop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Liability</w:t>
            </w:r>
            <w:r w:rsidRPr="00BB6D3D">
              <w:t xml:space="preserve"> includes:</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public</w:t>
            </w:r>
          </w:p>
          <w:p w:rsidR="00000000" w:rsidRPr="00BB6D3D" w:rsidP="00BB6D3D">
            <w:pPr>
              <w:pStyle w:val="BodyText"/>
            </w:pPr>
            <w:r w:rsidRPr="00BB6D3D">
              <w:t>products professional indemnity</w:t>
            </w:r>
          </w:p>
          <w:p w:rsidR="00000000" w:rsidRPr="00BB6D3D" w:rsidP="00BB6D3D">
            <w:pPr>
              <w:pStyle w:val="BodyText"/>
            </w:pPr>
            <w:r w:rsidRPr="00BB6D3D">
              <w:t>directors and officers</w:t>
            </w:r>
          </w:p>
          <w:p w:rsidR="00000000" w:rsidRPr="00BB6D3D" w:rsidP="00BB6D3D">
            <w:pPr>
              <w:pStyle w:val="BodyText"/>
            </w:pPr>
            <w:r w:rsidRPr="00BB6D3D">
              <w:t>construction</w:t>
            </w:r>
          </w:p>
          <w:p w:rsidR="00000000" w:rsidRPr="00BB6D3D" w:rsidP="00BB6D3D">
            <w:pPr>
              <w:pStyle w:val="BodyText"/>
            </w:pPr>
            <w:r w:rsidRPr="00BB6D3D">
              <w:t>environment</w:t>
            </w:r>
          </w:p>
          <w:p w:rsidR="00000000" w:rsidRPr="00BB6D3D" w:rsidP="00BB6D3D">
            <w:pPr>
              <w:pStyle w:val="BodyText"/>
            </w:pPr>
            <w:r w:rsidRPr="00BB6D3D">
              <w:t>pollution</w:t>
            </w:r>
          </w:p>
          <w:p w:rsidR="00000000" w:rsidP="00BB6D3D">
            <w:pPr>
              <w:pStyle w:val="BodyText"/>
              <w:rPr>
                <w:lang w:val="en-NZ"/>
              </w:rPr>
            </w:pPr>
            <w:r w:rsidRPr="00BB6D3D">
              <w:t xml:space="preserve">broadform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Relevant legislation</w:t>
            </w:r>
            <w:r w:rsidRPr="00BB6D3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Insurance Contracts Act</w:t>
            </w:r>
          </w:p>
          <w:p w:rsidR="00000000" w:rsidRPr="00BB6D3D" w:rsidP="00BB6D3D">
            <w:pPr>
              <w:pStyle w:val="BodyText"/>
            </w:pPr>
            <w:r w:rsidRPr="00BB6D3D">
              <w:t>Insurance Agents and Brokers Act</w:t>
            </w:r>
          </w:p>
          <w:p w:rsidR="00000000" w:rsidRPr="00BB6D3D" w:rsidP="00BB6D3D">
            <w:pPr>
              <w:pStyle w:val="BodyText"/>
            </w:pPr>
            <w:r w:rsidRPr="00BB6D3D">
              <w:t>Consumer Credit Code</w:t>
            </w:r>
          </w:p>
          <w:p w:rsidR="00000000" w:rsidRPr="00BB6D3D" w:rsidP="00BB6D3D">
            <w:pPr>
              <w:pStyle w:val="BodyText"/>
            </w:pPr>
            <w:r w:rsidRPr="00BB6D3D">
              <w:t>Privacy Act</w:t>
            </w:r>
          </w:p>
          <w:p w:rsidR="00000000" w:rsidRPr="00BB6D3D" w:rsidP="00BB6D3D">
            <w:pPr>
              <w:pStyle w:val="BodyText"/>
            </w:pPr>
            <w:r w:rsidRPr="00BB6D3D">
              <w:t>Contracts Law</w:t>
            </w:r>
          </w:p>
          <w:p w:rsidR="00000000" w:rsidRPr="00BB6D3D" w:rsidP="00BB6D3D">
            <w:pPr>
              <w:pStyle w:val="BodyText"/>
            </w:pPr>
            <w:r w:rsidRPr="00BB6D3D">
              <w:t>Trade Practices Act</w:t>
            </w:r>
          </w:p>
          <w:p w:rsidR="00000000" w:rsidP="00BB6D3D">
            <w:pPr>
              <w:pStyle w:val="BodyText"/>
              <w:rPr>
                <w:lang w:val="en-NZ"/>
              </w:rPr>
            </w:pPr>
            <w:r w:rsidRPr="00BB6D3D">
              <w:t xml:space="preserve">secrecy laws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industry codes of practice</w:t>
            </w:r>
          </w:p>
          <w:p w:rsidR="00000000" w:rsidRPr="00BB6D3D" w:rsidP="00BB6D3D">
            <w:pPr>
              <w:pStyle w:val="BodyText"/>
            </w:pPr>
            <w:r w:rsidRPr="00BB6D3D">
              <w:t>occupational health a</w:t>
            </w:r>
            <w:r w:rsidRPr="00BB6D3D">
              <w:t>nd safety (OH&amp;S)</w:t>
            </w:r>
          </w:p>
          <w:p w:rsidR="00000000" w:rsidRPr="00BB6D3D" w:rsidP="00BB6D3D">
            <w:pPr>
              <w:pStyle w:val="BodyText"/>
            </w:pPr>
            <w:r w:rsidRPr="00BB6D3D">
              <w:t>environmental</w:t>
            </w:r>
          </w:p>
          <w:p w:rsidR="00000000" w:rsidRPr="00BB6D3D" w:rsidP="00BB6D3D">
            <w:pPr>
              <w:pStyle w:val="BodyText"/>
            </w:pPr>
            <w:r w:rsidRPr="00BB6D3D">
              <w:t>building or construction</w:t>
            </w:r>
          </w:p>
          <w:p w:rsidR="00000000" w:rsidRPr="00BB6D3D" w:rsidP="00BB6D3D">
            <w:pPr>
              <w:pStyle w:val="BodyText"/>
            </w:pPr>
            <w:r w:rsidRPr="00BB6D3D">
              <w:t>hazardous materials</w:t>
            </w:r>
          </w:p>
          <w:p w:rsidR="00000000" w:rsidP="00BB6D3D">
            <w:pPr>
              <w:pStyle w:val="BodyText"/>
              <w:rPr>
                <w:lang w:val="en-NZ"/>
              </w:rPr>
            </w:pPr>
            <w:r w:rsidRPr="00BB6D3D">
              <w:t xml:space="preserve">motor vehicle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Client or company policy and guidelines</w:t>
            </w:r>
            <w:r w:rsidRPr="00BB6D3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policies and procedures in relation to risks</w:t>
            </w:r>
          </w:p>
          <w:p w:rsidR="00000000" w:rsidRPr="00BB6D3D" w:rsidP="00BB6D3D">
            <w:pPr>
              <w:pStyle w:val="BodyText"/>
            </w:pPr>
            <w:r w:rsidRPr="00BB6D3D">
              <w:t>claims</w:t>
            </w:r>
          </w:p>
          <w:p w:rsidR="00000000" w:rsidRPr="00BB6D3D" w:rsidP="00BB6D3D">
            <w:pPr>
              <w:pStyle w:val="BodyText"/>
            </w:pPr>
            <w:r w:rsidRPr="00BB6D3D">
              <w:t>loss</w:t>
            </w:r>
          </w:p>
          <w:p w:rsidR="00000000" w:rsidRPr="00BB6D3D" w:rsidP="00BB6D3D">
            <w:pPr>
              <w:pStyle w:val="BodyText"/>
            </w:pPr>
            <w:r w:rsidRPr="00BB6D3D">
              <w:t>loss recovery</w:t>
            </w:r>
          </w:p>
          <w:p w:rsidR="00000000" w:rsidRPr="00BB6D3D" w:rsidP="00BB6D3D">
            <w:pPr>
              <w:pStyle w:val="BodyText"/>
            </w:pPr>
            <w:r w:rsidRPr="00BB6D3D">
              <w:t>codes of practice</w:t>
            </w:r>
          </w:p>
          <w:p w:rsidR="00000000" w:rsidRPr="00BB6D3D" w:rsidP="00BB6D3D">
            <w:pPr>
              <w:pStyle w:val="BodyText"/>
            </w:pPr>
            <w:r w:rsidRPr="00BB6D3D">
              <w:t>clerical</w:t>
            </w:r>
          </w:p>
          <w:p w:rsidR="00000000" w:rsidRPr="00BB6D3D" w:rsidP="00BB6D3D">
            <w:pPr>
              <w:pStyle w:val="BodyText"/>
            </w:pPr>
            <w:r w:rsidRPr="00BB6D3D">
              <w:t>information technology and administrative systems</w:t>
            </w:r>
          </w:p>
          <w:p w:rsidR="00000000" w:rsidRPr="00BB6D3D" w:rsidP="00BB6D3D">
            <w:pPr>
              <w:pStyle w:val="BodyText"/>
            </w:pPr>
            <w:r w:rsidRPr="00BB6D3D">
              <w:t>complaints and dispute resolution procedures</w:t>
            </w:r>
          </w:p>
          <w:p w:rsidR="00000000" w:rsidP="00BB6D3D">
            <w:pPr>
              <w:pStyle w:val="BodyText"/>
              <w:rPr>
                <w:lang w:val="en-NZ"/>
              </w:rPr>
            </w:pPr>
            <w:r w:rsidRPr="00BB6D3D">
              <w:t xml:space="preserve">Australian Institute of Chartered Loss Adjusters (AICLA) Charter of Objects and Professional Conduct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Sources of recovery</w:t>
            </w:r>
            <w:r w:rsidRPr="00BB6D3D">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liable parties</w:t>
            </w:r>
          </w:p>
          <w:p w:rsidR="00000000" w:rsidRPr="00BB6D3D" w:rsidP="00BB6D3D">
            <w:pPr>
              <w:pStyle w:val="BodyText"/>
            </w:pPr>
            <w:r w:rsidRPr="00BB6D3D">
              <w:t>sale of g</w:t>
            </w:r>
            <w:r w:rsidRPr="00BB6D3D">
              <w:t>oods</w:t>
            </w:r>
          </w:p>
          <w:p w:rsidR="00000000" w:rsidRPr="00BB6D3D" w:rsidP="00BB6D3D">
            <w:pPr>
              <w:pStyle w:val="BodyText"/>
            </w:pPr>
            <w:r w:rsidRPr="00BB6D3D">
              <w:t>salvage and disposal</w:t>
            </w:r>
          </w:p>
          <w:p w:rsidR="00000000" w:rsidP="00BB6D3D">
            <w:pPr>
              <w:pStyle w:val="BodyText"/>
              <w:rPr>
                <w:lang w:val="en-NZ"/>
              </w:rPr>
            </w:pPr>
            <w:r w:rsidRPr="00BB6D3D">
              <w:t xml:space="preserve">other insurers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Rights of recovery</w:t>
            </w:r>
            <w:r w:rsidRPr="00BB6D3D">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subrogation</w:t>
            </w:r>
          </w:p>
          <w:p w:rsidR="00000000" w:rsidRPr="00BB6D3D" w:rsidP="00BB6D3D">
            <w:pPr>
              <w:pStyle w:val="BodyText"/>
            </w:pPr>
            <w:r w:rsidRPr="00BB6D3D">
              <w:t>salvage</w:t>
            </w:r>
          </w:p>
          <w:p w:rsidR="00000000" w:rsidRPr="00BB6D3D" w:rsidP="00BB6D3D">
            <w:pPr>
              <w:pStyle w:val="BodyText"/>
            </w:pPr>
            <w:r w:rsidRPr="00BB6D3D">
              <w:t>reinsurance</w:t>
            </w:r>
          </w:p>
          <w:p w:rsidR="00000000" w:rsidRPr="00BB6D3D" w:rsidP="00BB6D3D">
            <w:pPr>
              <w:pStyle w:val="BodyText"/>
            </w:pPr>
            <w:r w:rsidRPr="00BB6D3D">
              <w:t>contribution</w:t>
            </w:r>
          </w:p>
          <w:p w:rsidR="00000000" w:rsidP="00BB6D3D">
            <w:pPr>
              <w:pStyle w:val="BodyText"/>
              <w:rPr>
                <w:lang w:val="en-NZ"/>
              </w:rPr>
            </w:pPr>
            <w:r w:rsidRPr="00BB6D3D">
              <w:t xml:space="preserve">industry agreements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B6D3D">
            <w:pPr>
              <w:pStyle w:val="BodyText"/>
              <w:rPr>
                <w:lang w:val="en-NZ"/>
              </w:rPr>
            </w:pPr>
            <w:r w:rsidRPr="00BB6D3D">
              <w:rPr>
                <w:rStyle w:val="SpecialBold"/>
              </w:rPr>
              <w:t>Documentation may</w:t>
            </w:r>
            <w:r w:rsidRPr="00BB6D3D">
              <w:t xml:space="preserve"> include:</w:t>
            </w: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reference to all evidence/information considered</w:t>
            </w:r>
          </w:p>
          <w:p w:rsidR="00000000" w:rsidRPr="00BB6D3D" w:rsidP="00BB6D3D">
            <w:pPr>
              <w:pStyle w:val="BodyText"/>
            </w:pPr>
            <w:r w:rsidRPr="00BB6D3D">
              <w:t>reasons for adopting/incorporating ce</w:t>
            </w:r>
            <w:r w:rsidRPr="00BB6D3D">
              <w:t>rtain evidence/ information preferred over other evidence/information</w:t>
            </w:r>
          </w:p>
          <w:p w:rsidR="00000000" w:rsidP="00BB6D3D">
            <w:pPr>
              <w:pStyle w:val="BodyText"/>
              <w:rPr>
                <w:lang w:val="en-NZ"/>
              </w:rPr>
            </w:pPr>
            <w:r w:rsidRPr="00BB6D3D">
              <w:t xml:space="preserve">the basis on which the decision was determined </w:t>
            </w:r>
          </w:p>
        </w:tc>
      </w:tr>
      <w:tr w:rsidTr="00BB79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BB6D3D" w:rsidP="00BB6D3D">
            <w:pPr>
              <w:pStyle w:val="BodyText"/>
            </w:pPr>
            <w:r w:rsidRPr="00BB6D3D">
              <w:t>The insurance industry should adopt a range of improved consumer protection policies and practices with respect to its use of genetic in</w:t>
            </w:r>
            <w:r w:rsidRPr="00BB6D3D">
              <w:t>formation (including family history) for underwriting purposes. New laws and practices should ensure that: genetic information is only used in a scientifically reliable and actuarially sound manner; reasons are provided for any unfavourable underwriting de</w:t>
            </w:r>
            <w:r w:rsidRPr="00BB6D3D">
              <w:t xml:space="preserve">cision; industry complaints handling processes are strengthened and extended to cover underwriting decisions; and industry education and training about genetics are improved. </w:t>
            </w:r>
          </w:p>
        </w:tc>
      </w:tr>
    </w:tbl>
    <w:p w:rsidR="00000000" w:rsidRPr="00BB6D3D" w:rsidP="00BB6D3D">
      <w:pPr>
        <w:pStyle w:val="BodyText"/>
      </w:pPr>
    </w:p>
    <w:p w:rsidR="00000000" w:rsidRPr="00BB6D3D" w:rsidP="00BB6D3D">
      <w:pPr>
        <w:pStyle w:val="AllowPageBreak"/>
      </w:pPr>
    </w:p>
    <w:p w:rsidR="00000000" w:rsidRPr="00BB6D3D" w:rsidP="00BB6D3D">
      <w:pPr>
        <w:pStyle w:val="Heading1"/>
      </w:pPr>
      <w:bookmarkStart w:id="12" w:name="O_318420"/>
      <w:bookmarkEnd w:id="12"/>
      <w:r w:rsidRPr="00BB6D3D">
        <w:t>Unit Sector(s)</w:t>
      </w:r>
    </w:p>
    <w:p w:rsidR="00000000" w:rsidRPr="00BB6D3D" w:rsidP="00BB6D3D">
      <w:pPr>
        <w:pStyle w:val="BodyText"/>
      </w:pPr>
      <w:r w:rsidRPr="00BB6D3D">
        <w:t>Not applicable.</w:t>
      </w:r>
    </w:p>
    <w:p w:rsidR="00000000" w:rsidRPr="00BB6D3D" w:rsidP="00BB6D3D">
      <w:pPr>
        <w:pStyle w:val="AllowPageBreak"/>
      </w:pPr>
    </w:p>
    <w:p w:rsidR="00000000" w:rsidRPr="00BB6D3D" w:rsidP="00BB6D3D">
      <w:pPr>
        <w:pStyle w:val="Heading1"/>
      </w:pPr>
      <w:bookmarkStart w:id="13" w:name="O_318421"/>
      <w:bookmarkEnd w:id="13"/>
      <w:r w:rsidRPr="00BB6D3D">
        <w:t xml:space="preserve">Relationship </w:t>
      </w:r>
      <w:r w:rsidRPr="00BB6D3D">
        <w:t>to other units</w:t>
      </w:r>
    </w:p>
    <w:p w:rsidR="00000000" w:rsidRPr="00BB6D3D" w:rsidP="00BB6D3D">
      <w:pPr>
        <w:pStyle w:val="BodyText"/>
      </w:pPr>
      <w:r w:rsidRPr="00BB6D3D">
        <w:t>This unit replaces FNSLOSS502A.</w:t>
      </w:r>
    </w:p>
    <w:p w:rsidR="00000000" w:rsidRPr="00BB6D3D" w:rsidP="00BB6D3D">
      <w:pPr>
        <w:pStyle w:val="BodyText"/>
      </w:pPr>
      <w:r w:rsidRPr="00BB6D3D">
        <w:t>This unit replaces FNSLOSS502A.</w:t>
      </w:r>
    </w:p>
    <w:p w:rsidR="00000000" w:rsidRPr="00BB6D3D" w:rsidP="00BB6D3D"/>
    <w:sectPr w:rsidSect="00BB6D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9B6" w:rsidP="00BB7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B6" w:rsidP="00BB6D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79B6" w:rsidP="00BB6D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79B6" w:rsidP="00BB6D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79B6" w:rsidP="00BB79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D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9B6" w:rsidP="00BB6D3D">
    <w:pPr>
      <w:pStyle w:val="Header"/>
      <w:framePr w:wrap="around"/>
    </w:pPr>
    <w:r>
      <w:fldChar w:fldCharType="begin"/>
    </w:r>
    <w:r>
      <w:instrText xml:space="preserve"> TITLE   \* MERGEFORMAT </w:instrText>
    </w:r>
    <w:r>
      <w:fldChar w:fldCharType="separate"/>
    </w:r>
    <w:r>
      <w:t>FNSLOSS502B Evaluate collected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B79B6" w:rsidP="00BB6D3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D3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D3D"/>
    <w:pPr>
      <w:spacing w:before="360" w:after="60"/>
      <w:outlineLvl w:val="0"/>
    </w:pPr>
    <w:rPr>
      <w:sz w:val="32"/>
    </w:rPr>
  </w:style>
  <w:style w:type="paragraph" w:styleId="Heading2">
    <w:name w:val="heading 2"/>
    <w:basedOn w:val="HeadingBase"/>
    <w:next w:val="BodyText"/>
    <w:link w:val="Heading2Char"/>
    <w:qFormat/>
    <w:rsid w:val="00BB6D3D"/>
    <w:pPr>
      <w:keepLines/>
      <w:spacing w:before="240" w:after="120"/>
      <w:outlineLvl w:val="1"/>
    </w:pPr>
    <w:rPr>
      <w:sz w:val="28"/>
      <w:szCs w:val="40"/>
    </w:rPr>
  </w:style>
  <w:style w:type="paragraph" w:styleId="Heading3">
    <w:name w:val="heading 3"/>
    <w:basedOn w:val="HeadingBase"/>
    <w:next w:val="BodyText"/>
    <w:link w:val="Heading3Char"/>
    <w:qFormat/>
    <w:rsid w:val="00BB6D3D"/>
    <w:pPr>
      <w:spacing w:before="180" w:after="120"/>
      <w:outlineLvl w:val="2"/>
    </w:pPr>
    <w:rPr>
      <w:spacing w:val="-10"/>
      <w:kern w:val="32"/>
    </w:rPr>
  </w:style>
  <w:style w:type="paragraph" w:styleId="Heading4">
    <w:name w:val="heading 4"/>
    <w:basedOn w:val="HeadingBase"/>
    <w:next w:val="BodyText"/>
    <w:link w:val="Heading4Char"/>
    <w:qFormat/>
    <w:rsid w:val="00BB6D3D"/>
    <w:pPr>
      <w:spacing w:before="160" w:after="120"/>
      <w:outlineLvl w:val="3"/>
    </w:pPr>
    <w:rPr>
      <w:sz w:val="22"/>
    </w:rPr>
  </w:style>
  <w:style w:type="paragraph" w:styleId="Heading5">
    <w:name w:val="heading 5"/>
    <w:basedOn w:val="HeadingBase"/>
    <w:next w:val="Normal"/>
    <w:link w:val="Heading5Char"/>
    <w:qFormat/>
    <w:rsid w:val="00BB6D3D"/>
    <w:pPr>
      <w:spacing w:before="80"/>
      <w:outlineLvl w:val="4"/>
    </w:pPr>
    <w:rPr>
      <w:color w:val="918585"/>
      <w:sz w:val="20"/>
    </w:rPr>
  </w:style>
  <w:style w:type="paragraph" w:styleId="Heading6">
    <w:name w:val="heading 6"/>
    <w:basedOn w:val="HeadingBase"/>
    <w:next w:val="Normal"/>
    <w:link w:val="Heading6Char"/>
    <w:qFormat/>
    <w:rsid w:val="00BB6D3D"/>
    <w:pPr>
      <w:spacing w:before="60"/>
      <w:outlineLvl w:val="5"/>
    </w:pPr>
    <w:rPr>
      <w:color w:val="918585"/>
      <w:sz w:val="20"/>
    </w:rPr>
  </w:style>
  <w:style w:type="paragraph" w:styleId="Heading7">
    <w:name w:val="heading 7"/>
    <w:basedOn w:val="Normal"/>
    <w:next w:val="Normal"/>
    <w:link w:val="Heading7Char"/>
    <w:qFormat/>
    <w:rsid w:val="00BB6D3D"/>
    <w:pPr>
      <w:ind w:left="720"/>
      <w:outlineLvl w:val="6"/>
    </w:pPr>
    <w:rPr>
      <w:i/>
    </w:rPr>
  </w:style>
  <w:style w:type="paragraph" w:styleId="Heading8">
    <w:name w:val="heading 8"/>
    <w:basedOn w:val="Normal"/>
    <w:next w:val="Normal"/>
    <w:link w:val="Heading8Char"/>
    <w:qFormat/>
    <w:rsid w:val="00BB6D3D"/>
    <w:pPr>
      <w:ind w:left="720"/>
      <w:outlineLvl w:val="7"/>
    </w:pPr>
    <w:rPr>
      <w:i/>
    </w:rPr>
  </w:style>
  <w:style w:type="paragraph" w:styleId="Heading9">
    <w:name w:val="heading 9"/>
    <w:basedOn w:val="Normal"/>
    <w:next w:val="Normal"/>
    <w:link w:val="Heading9Char"/>
    <w:qFormat/>
    <w:rsid w:val="00BB6D3D"/>
    <w:pPr>
      <w:ind w:left="720"/>
      <w:outlineLvl w:val="8"/>
    </w:pPr>
    <w:rPr>
      <w:i/>
    </w:rPr>
  </w:style>
  <w:style w:type="character" w:default="1" w:styleId="DefaultParagraphFont">
    <w:name w:val="Default Paragraph Font"/>
    <w:uiPriority w:val="1"/>
    <w:unhideWhenUsed/>
    <w:rsid w:val="00BB6D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D3D"/>
  </w:style>
  <w:style w:type="character" w:customStyle="1" w:styleId="Heading1Char">
    <w:name w:val="Heading 1 Char"/>
    <w:basedOn w:val="DefaultParagraphFont"/>
    <w:link w:val="Heading1"/>
    <w:rsid w:val="00BB6D3D"/>
    <w:rPr>
      <w:rFonts w:ascii="Times New Roman" w:eastAsia="Times New Roman" w:hAnsi="Times New Roman" w:cs="Times New Roman"/>
      <w:b/>
      <w:sz w:val="32"/>
      <w:szCs w:val="20"/>
      <w:lang w:eastAsia="en-US"/>
    </w:rPr>
  </w:style>
  <w:style w:type="paragraph" w:styleId="BodyText">
    <w:name w:val="Body Text"/>
    <w:basedOn w:val="Normal"/>
    <w:link w:val="BodyTextChar"/>
    <w:rsid w:val="00BB6D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D3D"/>
    <w:rPr>
      <w:rFonts w:ascii="Times New Roman" w:eastAsia="Times New Roman" w:hAnsi="Times New Roman" w:cs="Times New Roman"/>
      <w:sz w:val="24"/>
      <w:lang w:val="en-US" w:eastAsia="en-US"/>
    </w:rPr>
  </w:style>
  <w:style w:type="paragraph" w:styleId="Footer">
    <w:name w:val="footer"/>
    <w:basedOn w:val="Normal"/>
    <w:link w:val="FooterChar"/>
    <w:rsid w:val="00BB6D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D3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B6D3D"/>
    <w:rPr>
      <w:b/>
      <w:spacing w:val="0"/>
    </w:rPr>
  </w:style>
  <w:style w:type="paragraph" w:styleId="Header">
    <w:name w:val="header"/>
    <w:basedOn w:val="Normal"/>
    <w:link w:val="HeaderChar"/>
    <w:rsid w:val="00BB6D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D3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D3D"/>
    <w:pPr>
      <w:spacing w:before="240" w:after="120"/>
      <w:outlineLvl w:val="0"/>
    </w:pPr>
    <w:rPr>
      <w:rFonts w:ascii="Times New Roman" w:hAnsi="Times New Roman"/>
      <w:b/>
      <w:sz w:val="28"/>
    </w:rPr>
  </w:style>
  <w:style w:type="paragraph" w:customStyle="1" w:styleId="AllowPageBreak">
    <w:name w:val="AllowPageBreak"/>
    <w:rsid w:val="00BB6D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D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D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D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D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D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D3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D3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D3D"/>
    <w:rPr>
      <w:rFonts w:ascii="Courier New" w:eastAsia="Times New Roman" w:hAnsi="Courier New" w:cs="Times New Roman"/>
      <w:i/>
      <w:szCs w:val="20"/>
      <w:lang w:val="en-US" w:eastAsia="en-US"/>
    </w:rPr>
  </w:style>
  <w:style w:type="paragraph" w:customStyle="1" w:styleId="HeadingBase">
    <w:name w:val="Heading Base"/>
    <w:rsid w:val="00BB6D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D3D"/>
    <w:pPr>
      <w:tabs>
        <w:tab w:val="right" w:leader="dot" w:pos="9072"/>
      </w:tabs>
      <w:ind w:left="567"/>
    </w:pPr>
    <w:rPr>
      <w:szCs w:val="22"/>
    </w:rPr>
  </w:style>
  <w:style w:type="paragraph" w:customStyle="1" w:styleId="TOCBase">
    <w:name w:val="TOC Base"/>
    <w:rsid w:val="00BB6D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D3D"/>
    <w:pPr>
      <w:tabs>
        <w:tab w:val="right" w:leader="dot" w:pos="9072"/>
      </w:tabs>
      <w:spacing w:before="40" w:after="40"/>
      <w:ind w:left="284"/>
    </w:pPr>
    <w:rPr>
      <w:rFonts w:ascii="Times New Roman" w:hAnsi="Times New Roman"/>
    </w:rPr>
  </w:style>
  <w:style w:type="paragraph" w:styleId="TOC1">
    <w:name w:val="toc 1"/>
    <w:basedOn w:val="TOCBase"/>
    <w:next w:val="Normal"/>
    <w:rsid w:val="00BB6D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D3D"/>
    <w:pPr>
      <w:spacing w:before="5040"/>
      <w:jc w:val="center"/>
    </w:pPr>
    <w:rPr>
      <w:sz w:val="48"/>
      <w:szCs w:val="72"/>
      <w:lang w:val="en-US"/>
    </w:rPr>
  </w:style>
  <w:style w:type="character" w:customStyle="1" w:styleId="TitleChar">
    <w:name w:val="Title Char"/>
    <w:basedOn w:val="DefaultParagraphFont"/>
    <w:link w:val="Title"/>
    <w:rsid w:val="00BB6D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D3D"/>
    <w:pPr>
      <w:tabs>
        <w:tab w:val="left" w:pos="3600"/>
        <w:tab w:val="left" w:pos="3958"/>
      </w:tabs>
    </w:pPr>
  </w:style>
  <w:style w:type="paragraph" w:styleId="List">
    <w:name w:val="List"/>
    <w:basedOn w:val="BodyText"/>
    <w:next w:val="BodyText"/>
    <w:rsid w:val="00BB6D3D"/>
    <w:pPr>
      <w:tabs>
        <w:tab w:val="left" w:pos="340"/>
      </w:tabs>
      <w:spacing w:before="60" w:after="60"/>
      <w:ind w:left="340" w:hanging="340"/>
    </w:pPr>
  </w:style>
  <w:style w:type="paragraph" w:styleId="ListBullet">
    <w:name w:val="List Bullet"/>
    <w:basedOn w:val="List"/>
    <w:rsid w:val="00BB6D3D"/>
    <w:pPr>
      <w:numPr>
        <w:numId w:val="11"/>
      </w:numPr>
      <w:tabs>
        <w:tab w:val="clear" w:pos="340"/>
      </w:tabs>
      <w:spacing w:before="40" w:after="40"/>
    </w:pPr>
  </w:style>
  <w:style w:type="paragraph" w:customStyle="1" w:styleId="Note">
    <w:name w:val="Note"/>
    <w:basedOn w:val="BodyText"/>
    <w:rsid w:val="00BB6D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D3D"/>
    <w:pPr>
      <w:framePr w:wrap="auto" w:hAnchor="text" w:y="6049"/>
    </w:pPr>
    <w:rPr>
      <w:color w:val="000000"/>
      <w:sz w:val="40"/>
    </w:rPr>
  </w:style>
  <w:style w:type="paragraph" w:customStyle="1" w:styleId="TOCTitle">
    <w:name w:val="TOCTitle"/>
    <w:basedOn w:val="Heading1"/>
    <w:rsid w:val="00BB6D3D"/>
    <w:pPr>
      <w:spacing w:after="240"/>
      <w:jc w:val="center"/>
      <w:outlineLvl w:val="9"/>
    </w:pPr>
    <w:rPr>
      <w:caps/>
    </w:rPr>
  </w:style>
  <w:style w:type="paragraph" w:customStyle="1" w:styleId="Version">
    <w:name w:val="Version"/>
    <w:rsid w:val="00BB6D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D3D"/>
    <w:pPr>
      <w:numPr>
        <w:numId w:val="12"/>
      </w:numPr>
      <w:tabs>
        <w:tab w:val="clear" w:pos="680"/>
      </w:tabs>
    </w:pPr>
  </w:style>
  <w:style w:type="paragraph" w:styleId="Index1">
    <w:name w:val="index 1"/>
    <w:basedOn w:val="Normal"/>
    <w:next w:val="Normal"/>
    <w:semiHidden/>
    <w:rsid w:val="00BB6D3D"/>
    <w:pPr>
      <w:keepNext w:val="0"/>
      <w:tabs>
        <w:tab w:val="right" w:pos="4176"/>
      </w:tabs>
      <w:ind w:left="198" w:hanging="198"/>
    </w:pPr>
    <w:rPr>
      <w:rFonts w:ascii="Garamond" w:hAnsi="Garamond"/>
    </w:rPr>
  </w:style>
  <w:style w:type="paragraph" w:styleId="IndexHeading">
    <w:name w:val="index heading"/>
    <w:basedOn w:val="Normal"/>
    <w:next w:val="Index1"/>
    <w:semiHidden/>
    <w:rsid w:val="00BB6D3D"/>
    <w:pPr>
      <w:spacing w:before="120" w:after="120"/>
    </w:pPr>
    <w:rPr>
      <w:rFonts w:ascii="Arial" w:hAnsi="Arial"/>
      <w:b/>
      <w:color w:val="918585"/>
      <w:sz w:val="24"/>
    </w:rPr>
  </w:style>
  <w:style w:type="paragraph" w:customStyle="1" w:styleId="Chapter">
    <w:name w:val="Chapter"/>
    <w:basedOn w:val="Normal"/>
    <w:rsid w:val="00BB6D3D"/>
    <w:pPr>
      <w:spacing w:before="240"/>
    </w:pPr>
    <w:rPr>
      <w:rFonts w:ascii="Times New Roman" w:hAnsi="Times New Roman"/>
      <w:smallCaps/>
      <w:spacing w:val="80"/>
      <w:sz w:val="28"/>
    </w:rPr>
  </w:style>
  <w:style w:type="paragraph" w:customStyle="1" w:styleId="InChapter">
    <w:name w:val="InChapter"/>
    <w:basedOn w:val="Heading3"/>
    <w:rsid w:val="00BB6D3D"/>
    <w:pPr>
      <w:spacing w:after="240"/>
      <w:outlineLvl w:val="9"/>
    </w:pPr>
    <w:rPr>
      <w:noProof/>
    </w:rPr>
  </w:style>
  <w:style w:type="paragraph" w:styleId="Index2">
    <w:name w:val="index 2"/>
    <w:basedOn w:val="Normal"/>
    <w:next w:val="Normal"/>
    <w:semiHidden/>
    <w:rsid w:val="00BB6D3D"/>
    <w:pPr>
      <w:tabs>
        <w:tab w:val="right" w:pos="4176"/>
      </w:tabs>
      <w:ind w:left="568" w:hanging="284"/>
    </w:pPr>
    <w:rPr>
      <w:rFonts w:ascii="Garamond" w:hAnsi="Garamond"/>
    </w:rPr>
  </w:style>
  <w:style w:type="paragraph" w:customStyle="1" w:styleId="Byline">
    <w:name w:val="Byline"/>
    <w:rsid w:val="00BB6D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D3D"/>
    <w:pPr>
      <w:tabs>
        <w:tab w:val="clear" w:pos="3600"/>
        <w:tab w:val="clear" w:pos="3958"/>
      </w:tabs>
      <w:jc w:val="right"/>
    </w:pPr>
  </w:style>
  <w:style w:type="character" w:styleId="Emphasis">
    <w:name w:val="Emphasis"/>
    <w:basedOn w:val="DefaultParagraphFont"/>
    <w:qFormat/>
    <w:rsid w:val="00BB6D3D"/>
    <w:rPr>
      <w:i/>
    </w:rPr>
  </w:style>
  <w:style w:type="paragraph" w:styleId="Caption">
    <w:name w:val="caption"/>
    <w:basedOn w:val="BodyText"/>
    <w:next w:val="Normal"/>
    <w:qFormat/>
    <w:rsid w:val="00BB6D3D"/>
    <w:pPr>
      <w:framePr w:w="2268" w:hSpace="181" w:vSpace="181" w:wrap="around" w:vAnchor="text" w:hAnchor="page" w:x="1135" w:y="285" w:anchorLock="1"/>
    </w:pPr>
    <w:rPr>
      <w:i/>
    </w:rPr>
  </w:style>
  <w:style w:type="paragraph" w:customStyle="1" w:styleId="MiniTOCTitle">
    <w:name w:val="MiniTOCTitle"/>
    <w:basedOn w:val="Heading4"/>
    <w:rsid w:val="00BB6D3D"/>
    <w:pPr>
      <w:spacing w:before="240"/>
      <w:outlineLvl w:val="9"/>
    </w:pPr>
    <w:rPr>
      <w:noProof/>
      <w:sz w:val="24"/>
    </w:rPr>
  </w:style>
  <w:style w:type="paragraph" w:customStyle="1" w:styleId="MiniTOCItem">
    <w:name w:val="MiniTOCItem"/>
    <w:basedOn w:val="ListBullet"/>
    <w:rsid w:val="00BB6D3D"/>
    <w:pPr>
      <w:numPr>
        <w:numId w:val="0"/>
      </w:numPr>
      <w:tabs>
        <w:tab w:val="right" w:leader="dot" w:pos="6521"/>
      </w:tabs>
      <w:spacing w:before="0" w:after="0"/>
    </w:pPr>
  </w:style>
  <w:style w:type="paragraph" w:customStyle="1" w:styleId="TOFTitle">
    <w:name w:val="TOFTitle"/>
    <w:basedOn w:val="TOCTitle"/>
    <w:rsid w:val="00BB6D3D"/>
  </w:style>
  <w:style w:type="paragraph" w:styleId="TableofFigures">
    <w:name w:val="table of figures"/>
    <w:basedOn w:val="Normal"/>
    <w:next w:val="Normal"/>
    <w:semiHidden/>
    <w:rsid w:val="00BB6D3D"/>
    <w:pPr>
      <w:tabs>
        <w:tab w:val="right" w:leader="dot" w:pos="9072"/>
      </w:tabs>
      <w:ind w:left="970" w:hanging="403"/>
    </w:pPr>
    <w:rPr>
      <w:rFonts w:ascii="Times New Roman" w:hAnsi="Times New Roman"/>
      <w:b/>
    </w:rPr>
  </w:style>
  <w:style w:type="paragraph" w:styleId="ListNumber">
    <w:name w:val="List Number"/>
    <w:basedOn w:val="List"/>
    <w:rsid w:val="00BB6D3D"/>
    <w:pPr>
      <w:numPr>
        <w:numId w:val="9"/>
      </w:numPr>
    </w:pPr>
  </w:style>
  <w:style w:type="character" w:customStyle="1" w:styleId="WingdingSymbols">
    <w:name w:val="Wingding Symbols"/>
    <w:rsid w:val="00BB6D3D"/>
    <w:rPr>
      <w:rFonts w:ascii="Wingdings" w:hAnsi="Wingdings"/>
    </w:rPr>
  </w:style>
  <w:style w:type="paragraph" w:customStyle="1" w:styleId="TableHeading">
    <w:name w:val="Table Heading"/>
    <w:basedOn w:val="HeadingBase"/>
    <w:rsid w:val="00BB6D3D"/>
    <w:pPr>
      <w:keepLines/>
      <w:pBdr>
        <w:bottom w:val="single" w:sz="6" w:space="1" w:color="918585"/>
      </w:pBdr>
      <w:spacing w:before="240"/>
    </w:pPr>
  </w:style>
  <w:style w:type="character" w:customStyle="1" w:styleId="HotSpot">
    <w:name w:val="HotSpot"/>
    <w:rsid w:val="00BB6D3D"/>
    <w:rPr>
      <w:color w:val="0033CC"/>
      <w:u w:val="none"/>
    </w:rPr>
  </w:style>
  <w:style w:type="paragraph" w:customStyle="1" w:styleId="BodyTextRight">
    <w:name w:val="Body Text Right"/>
    <w:basedOn w:val="BodyText"/>
    <w:rsid w:val="00BB6D3D"/>
    <w:pPr>
      <w:spacing w:before="0" w:after="0"/>
      <w:jc w:val="right"/>
    </w:pPr>
  </w:style>
  <w:style w:type="paragraph" w:styleId="Index3">
    <w:name w:val="index 3"/>
    <w:basedOn w:val="ListNumber2"/>
    <w:next w:val="Normal"/>
    <w:semiHidden/>
    <w:rsid w:val="00BB6D3D"/>
    <w:pPr>
      <w:numPr>
        <w:numId w:val="0"/>
      </w:numPr>
      <w:tabs>
        <w:tab w:val="right" w:leader="dot" w:pos="4176"/>
      </w:tabs>
    </w:pPr>
  </w:style>
  <w:style w:type="paragraph" w:styleId="ListNumber2">
    <w:name w:val="List Number 2"/>
    <w:basedOn w:val="List2"/>
    <w:rsid w:val="00BB6D3D"/>
    <w:pPr>
      <w:numPr>
        <w:numId w:val="8"/>
      </w:numPr>
      <w:tabs>
        <w:tab w:val="clear" w:pos="1060"/>
      </w:tabs>
    </w:pPr>
  </w:style>
  <w:style w:type="paragraph" w:customStyle="1" w:styleId="MarginNote">
    <w:name w:val="Margin Note"/>
    <w:basedOn w:val="BodyText"/>
    <w:rsid w:val="00BB6D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D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D3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D3D"/>
    <w:rPr>
      <w:sz w:val="32"/>
    </w:rPr>
  </w:style>
  <w:style w:type="paragraph" w:customStyle="1" w:styleId="HeadingProcedure">
    <w:name w:val="Heading Procedure"/>
    <w:basedOn w:val="HeadingBase"/>
    <w:next w:val="Normal"/>
    <w:rsid w:val="00BB6D3D"/>
    <w:pPr>
      <w:tabs>
        <w:tab w:val="left" w:pos="0"/>
      </w:tabs>
      <w:spacing w:before="120" w:after="60"/>
    </w:pPr>
    <w:rPr>
      <w:i/>
      <w:color w:val="918585"/>
      <w:sz w:val="22"/>
    </w:rPr>
  </w:style>
  <w:style w:type="paragraph" w:customStyle="1" w:styleId="TableBodyText">
    <w:name w:val="Table Body Text"/>
    <w:basedOn w:val="BodyText"/>
    <w:rsid w:val="00BB6D3D"/>
    <w:pPr>
      <w:spacing w:before="60" w:after="60"/>
    </w:pPr>
  </w:style>
  <w:style w:type="paragraph" w:styleId="ListContinue">
    <w:name w:val="List Continue"/>
    <w:basedOn w:val="List"/>
    <w:rsid w:val="00BB6D3D"/>
    <w:pPr>
      <w:ind w:firstLine="0"/>
    </w:pPr>
  </w:style>
  <w:style w:type="paragraph" w:customStyle="1" w:styleId="ListNote">
    <w:name w:val="List Note"/>
    <w:basedOn w:val="List"/>
    <w:rsid w:val="00BB6D3D"/>
    <w:pPr>
      <w:pBdr>
        <w:top w:val="single" w:sz="6" w:space="2" w:color="918585"/>
        <w:bottom w:val="single" w:sz="6" w:space="2" w:color="918585"/>
      </w:pBdr>
      <w:tabs>
        <w:tab w:val="left" w:pos="1021"/>
      </w:tabs>
      <w:ind w:firstLine="0"/>
    </w:pPr>
  </w:style>
  <w:style w:type="paragraph" w:customStyle="1" w:styleId="Warning">
    <w:name w:val="Warning"/>
    <w:basedOn w:val="BodyText"/>
    <w:rsid w:val="00BB6D3D"/>
    <w:pPr>
      <w:shd w:val="clear" w:color="auto" w:fill="D9D9D9"/>
      <w:tabs>
        <w:tab w:val="left" w:pos="992"/>
      </w:tabs>
      <w:ind w:left="119" w:right="119"/>
    </w:pPr>
    <w:rPr>
      <w:sz w:val="20"/>
    </w:rPr>
  </w:style>
  <w:style w:type="paragraph" w:customStyle="1" w:styleId="MarginIcons">
    <w:name w:val="Margin Icons"/>
    <w:basedOn w:val="BodyText"/>
    <w:rsid w:val="00BB6D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D3D"/>
    <w:rPr>
      <w:rFonts w:ascii="Courier New" w:hAnsi="Courier New"/>
    </w:rPr>
  </w:style>
  <w:style w:type="paragraph" w:customStyle="1" w:styleId="NoteBullet">
    <w:name w:val="Note Bullet"/>
    <w:basedOn w:val="Note"/>
    <w:rsid w:val="00BB6D3D"/>
    <w:pPr>
      <w:tabs>
        <w:tab w:val="clear" w:pos="680"/>
      </w:tabs>
      <w:spacing w:before="60" w:after="60"/>
    </w:pPr>
  </w:style>
  <w:style w:type="paragraph" w:customStyle="1" w:styleId="SubHeading2">
    <w:name w:val="SubHeading2"/>
    <w:basedOn w:val="HeadingBase"/>
    <w:rsid w:val="00BB6D3D"/>
    <w:pPr>
      <w:spacing w:before="240" w:after="60"/>
    </w:pPr>
    <w:rPr>
      <w:sz w:val="20"/>
    </w:rPr>
  </w:style>
  <w:style w:type="paragraph" w:customStyle="1" w:styleId="SubHeading1">
    <w:name w:val="SubHeading1"/>
    <w:basedOn w:val="HeadingBase"/>
    <w:rsid w:val="00BB6D3D"/>
    <w:pPr>
      <w:spacing w:before="240" w:after="60"/>
    </w:pPr>
    <w:rPr>
      <w:color w:val="918585"/>
      <w:sz w:val="22"/>
    </w:rPr>
  </w:style>
  <w:style w:type="paragraph" w:customStyle="1" w:styleId="SideHeading">
    <w:name w:val="Side Heading"/>
    <w:basedOn w:val="HeadingBase"/>
    <w:rsid w:val="00BB6D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D3D"/>
    <w:pPr>
      <w:numPr>
        <w:numId w:val="10"/>
      </w:numPr>
    </w:pPr>
  </w:style>
  <w:style w:type="paragraph" w:styleId="PlainText">
    <w:name w:val="Plain Text"/>
    <w:basedOn w:val="Normal"/>
    <w:link w:val="PlainTextChar"/>
    <w:rsid w:val="00BB6D3D"/>
    <w:rPr>
      <w:sz w:val="20"/>
    </w:rPr>
  </w:style>
  <w:style w:type="character" w:customStyle="1" w:styleId="PlainTextChar">
    <w:name w:val="Plain Text Char"/>
    <w:basedOn w:val="DefaultParagraphFont"/>
    <w:link w:val="PlainText"/>
    <w:rsid w:val="00BB6D3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D3D"/>
    <w:rPr>
      <w:b/>
      <w:smallCaps/>
    </w:rPr>
  </w:style>
  <w:style w:type="paragraph" w:customStyle="1" w:styleId="TableListNumber">
    <w:name w:val="Table List Number"/>
    <w:basedOn w:val="ListNumber"/>
    <w:rsid w:val="00BB6D3D"/>
    <w:pPr>
      <w:numPr>
        <w:numId w:val="0"/>
      </w:numPr>
    </w:pPr>
  </w:style>
  <w:style w:type="paragraph" w:styleId="TOC4">
    <w:name w:val="toc 4"/>
    <w:basedOn w:val="TOCBase"/>
    <w:next w:val="Normal"/>
    <w:semiHidden/>
    <w:rsid w:val="00BB6D3D"/>
    <w:pPr>
      <w:tabs>
        <w:tab w:val="right" w:leader="dot" w:pos="9071"/>
      </w:tabs>
      <w:ind w:left="1701"/>
    </w:pPr>
  </w:style>
  <w:style w:type="paragraph" w:customStyle="1" w:styleId="ListAlpha">
    <w:name w:val="List Alpha"/>
    <w:basedOn w:val="List"/>
    <w:rsid w:val="00BB6D3D"/>
    <w:pPr>
      <w:numPr>
        <w:numId w:val="7"/>
      </w:numPr>
    </w:pPr>
  </w:style>
  <w:style w:type="paragraph" w:customStyle="1" w:styleId="ListAlpha2">
    <w:name w:val="List Alpha 2"/>
    <w:basedOn w:val="List2"/>
    <w:rsid w:val="00BB6D3D"/>
    <w:pPr>
      <w:numPr>
        <w:numId w:val="6"/>
      </w:numPr>
    </w:pPr>
  </w:style>
  <w:style w:type="paragraph" w:styleId="List2">
    <w:name w:val="List 2"/>
    <w:basedOn w:val="BodyText"/>
    <w:rsid w:val="00BB6D3D"/>
    <w:pPr>
      <w:tabs>
        <w:tab w:val="left" w:pos="680"/>
      </w:tabs>
      <w:spacing w:before="60" w:after="60"/>
      <w:ind w:left="680" w:hanging="340"/>
    </w:pPr>
  </w:style>
  <w:style w:type="paragraph" w:styleId="List3">
    <w:name w:val="List 3"/>
    <w:basedOn w:val="BodyText"/>
    <w:rsid w:val="00BB6D3D"/>
    <w:pPr>
      <w:tabs>
        <w:tab w:val="left" w:pos="1021"/>
      </w:tabs>
      <w:spacing w:before="60" w:after="60"/>
      <w:ind w:left="1020" w:hanging="340"/>
    </w:pPr>
  </w:style>
  <w:style w:type="paragraph" w:styleId="List4">
    <w:name w:val="List 4"/>
    <w:basedOn w:val="BodyText"/>
    <w:rsid w:val="00BB6D3D"/>
    <w:pPr>
      <w:tabs>
        <w:tab w:val="left" w:pos="1361"/>
      </w:tabs>
      <w:spacing w:before="60" w:after="60"/>
      <w:ind w:left="1361" w:hanging="340"/>
    </w:pPr>
  </w:style>
  <w:style w:type="paragraph" w:styleId="List5">
    <w:name w:val="List 5"/>
    <w:basedOn w:val="BodyText"/>
    <w:rsid w:val="00BB6D3D"/>
    <w:pPr>
      <w:tabs>
        <w:tab w:val="left" w:pos="1701"/>
      </w:tabs>
      <w:spacing w:before="60" w:after="60"/>
      <w:ind w:left="1701" w:hanging="340"/>
    </w:pPr>
  </w:style>
  <w:style w:type="paragraph" w:styleId="ListBullet3">
    <w:name w:val="List Bullet 3"/>
    <w:basedOn w:val="List3"/>
    <w:rsid w:val="00BB6D3D"/>
    <w:pPr>
      <w:numPr>
        <w:numId w:val="13"/>
      </w:numPr>
      <w:tabs>
        <w:tab w:val="clear" w:pos="1021"/>
      </w:tabs>
      <w:ind w:left="1037" w:hanging="357"/>
    </w:pPr>
  </w:style>
  <w:style w:type="paragraph" w:styleId="ListBullet4">
    <w:name w:val="List Bullet 4"/>
    <w:basedOn w:val="List4"/>
    <w:rsid w:val="00BB6D3D"/>
    <w:pPr>
      <w:numPr>
        <w:numId w:val="1"/>
      </w:numPr>
    </w:pPr>
  </w:style>
  <w:style w:type="paragraph" w:styleId="ListBullet5">
    <w:name w:val="List Bullet 5"/>
    <w:basedOn w:val="List5"/>
    <w:rsid w:val="00BB6D3D"/>
    <w:pPr>
      <w:numPr>
        <w:numId w:val="2"/>
      </w:numPr>
    </w:pPr>
  </w:style>
  <w:style w:type="paragraph" w:styleId="ListContinue2">
    <w:name w:val="List Continue 2"/>
    <w:basedOn w:val="List2"/>
    <w:rsid w:val="00BB6D3D"/>
    <w:pPr>
      <w:ind w:firstLine="0"/>
    </w:pPr>
  </w:style>
  <w:style w:type="paragraph" w:styleId="ListContinue3">
    <w:name w:val="List Continue 3"/>
    <w:basedOn w:val="List3"/>
    <w:rsid w:val="00BB6D3D"/>
    <w:pPr>
      <w:ind w:left="1021" w:firstLine="0"/>
    </w:pPr>
  </w:style>
  <w:style w:type="paragraph" w:styleId="ListContinue4">
    <w:name w:val="List Continue 4"/>
    <w:basedOn w:val="List4"/>
    <w:rsid w:val="00BB6D3D"/>
    <w:pPr>
      <w:ind w:firstLine="0"/>
    </w:pPr>
  </w:style>
  <w:style w:type="paragraph" w:styleId="ListContinue5">
    <w:name w:val="List Continue 5"/>
    <w:basedOn w:val="List5"/>
    <w:rsid w:val="00BB6D3D"/>
    <w:pPr>
      <w:ind w:firstLine="0"/>
    </w:pPr>
  </w:style>
  <w:style w:type="paragraph" w:styleId="ListNumber3">
    <w:name w:val="List Number 3"/>
    <w:basedOn w:val="List3"/>
    <w:rsid w:val="00BB6D3D"/>
    <w:pPr>
      <w:numPr>
        <w:numId w:val="3"/>
      </w:numPr>
    </w:pPr>
  </w:style>
  <w:style w:type="paragraph" w:styleId="ListNumber4">
    <w:name w:val="List Number 4"/>
    <w:basedOn w:val="List4"/>
    <w:rsid w:val="00BB6D3D"/>
    <w:pPr>
      <w:numPr>
        <w:numId w:val="4"/>
      </w:numPr>
    </w:pPr>
  </w:style>
  <w:style w:type="paragraph" w:styleId="ListNumber5">
    <w:name w:val="List Number 5"/>
    <w:basedOn w:val="List5"/>
    <w:rsid w:val="00BB6D3D"/>
    <w:pPr>
      <w:numPr>
        <w:numId w:val="5"/>
      </w:numPr>
    </w:pPr>
  </w:style>
  <w:style w:type="paragraph" w:styleId="BlockText">
    <w:name w:val="Block Text"/>
    <w:basedOn w:val="Normal"/>
    <w:rsid w:val="00BB6D3D"/>
    <w:pPr>
      <w:spacing w:after="120"/>
      <w:ind w:left="1440" w:right="1440"/>
    </w:pPr>
  </w:style>
  <w:style w:type="character" w:customStyle="1" w:styleId="Subscript">
    <w:name w:val="Subscript"/>
    <w:basedOn w:val="DefaultParagraphFont"/>
    <w:rsid w:val="00BB6D3D"/>
    <w:rPr>
      <w:sz w:val="16"/>
      <w:vertAlign w:val="subscript"/>
    </w:rPr>
  </w:style>
  <w:style w:type="character" w:customStyle="1" w:styleId="Superscript">
    <w:name w:val="Superscript"/>
    <w:basedOn w:val="DefaultParagraphFont"/>
    <w:rsid w:val="00BB6D3D"/>
    <w:rPr>
      <w:sz w:val="16"/>
      <w:vertAlign w:val="superscript"/>
    </w:rPr>
  </w:style>
  <w:style w:type="character" w:customStyle="1" w:styleId="Symbols">
    <w:name w:val="Symbols"/>
    <w:basedOn w:val="DefaultParagraphFont"/>
    <w:rsid w:val="00BB6D3D"/>
    <w:rPr>
      <w:rFonts w:ascii="Symbol" w:hAnsi="Symbol"/>
    </w:rPr>
  </w:style>
  <w:style w:type="character" w:customStyle="1" w:styleId="MenuOptions">
    <w:name w:val="Menu Options"/>
    <w:basedOn w:val="DefaultParagraphFont"/>
    <w:rsid w:val="00BB6D3D"/>
    <w:rPr>
      <w:rFonts w:ascii="Arial Narrow" w:hAnsi="Arial Narrow"/>
      <w:smallCaps/>
    </w:rPr>
  </w:style>
  <w:style w:type="character" w:customStyle="1" w:styleId="Buttons">
    <w:name w:val="Buttons"/>
    <w:basedOn w:val="DefaultParagraphFont"/>
    <w:rsid w:val="00BB6D3D"/>
    <w:rPr>
      <w:b/>
    </w:rPr>
  </w:style>
  <w:style w:type="character" w:customStyle="1" w:styleId="Underlined">
    <w:name w:val="Underlined"/>
    <w:basedOn w:val="DefaultParagraphFont"/>
    <w:rsid w:val="00BB6D3D"/>
    <w:rPr>
      <w:u w:val="single"/>
    </w:rPr>
  </w:style>
  <w:style w:type="paragraph" w:customStyle="1" w:styleId="TableBodyTextRight">
    <w:name w:val="Table Body Text Right"/>
    <w:basedOn w:val="TableBodyText"/>
    <w:rsid w:val="00BB6D3D"/>
    <w:pPr>
      <w:widowControl w:val="0"/>
      <w:autoSpaceDE w:val="0"/>
      <w:autoSpaceDN w:val="0"/>
      <w:adjustRightInd w:val="0"/>
      <w:jc w:val="right"/>
    </w:pPr>
    <w:rPr>
      <w:rFonts w:cs="Arial"/>
      <w:szCs w:val="18"/>
    </w:rPr>
  </w:style>
  <w:style w:type="paragraph" w:customStyle="1" w:styleId="CopyrightText">
    <w:name w:val="Copyright Text"/>
    <w:basedOn w:val="BodyText"/>
    <w:rsid w:val="00BB6D3D"/>
    <w:rPr>
      <w:sz w:val="18"/>
    </w:rPr>
  </w:style>
  <w:style w:type="paragraph" w:customStyle="1" w:styleId="BodySmallRight">
    <w:name w:val="Body Small Right"/>
    <w:basedOn w:val="BodyTextRight"/>
    <w:rsid w:val="00BB6D3D"/>
    <w:rPr>
      <w:sz w:val="18"/>
      <w:szCs w:val="18"/>
    </w:rPr>
  </w:style>
  <w:style w:type="paragraph" w:customStyle="1" w:styleId="MarginEdition">
    <w:name w:val="Margin Edition"/>
    <w:basedOn w:val="MarginNote"/>
    <w:rsid w:val="00BB6D3D"/>
    <w:pPr>
      <w:spacing w:before="0" w:after="0"/>
    </w:pPr>
    <w:rPr>
      <w:rFonts w:ascii="Times New Roman" w:hAnsi="Times New Roman"/>
      <w:color w:val="999999"/>
    </w:rPr>
  </w:style>
  <w:style w:type="paragraph" w:customStyle="1" w:styleId="Spacer">
    <w:name w:val="Spacer"/>
    <w:basedOn w:val="Normal"/>
    <w:rsid w:val="00BB6D3D"/>
    <w:rPr>
      <w:sz w:val="2"/>
      <w:szCs w:val="2"/>
    </w:rPr>
  </w:style>
  <w:style w:type="character" w:customStyle="1" w:styleId="Small">
    <w:name w:val="Small"/>
    <w:basedOn w:val="DefaultParagraphFont"/>
    <w:rsid w:val="00BB6D3D"/>
    <w:rPr>
      <w:sz w:val="16"/>
    </w:rPr>
  </w:style>
  <w:style w:type="paragraph" w:customStyle="1" w:styleId="WideTable">
    <w:name w:val="Wide Table"/>
    <w:basedOn w:val="Normal"/>
    <w:rsid w:val="00BB6D3D"/>
    <w:pPr>
      <w:ind w:left="-1418"/>
    </w:pPr>
    <w:rPr>
      <w:sz w:val="2"/>
      <w:szCs w:val="2"/>
    </w:rPr>
  </w:style>
  <w:style w:type="character" w:styleId="PageNumber">
    <w:name w:val="page number"/>
    <w:basedOn w:val="DefaultParagraphFont"/>
    <w:rsid w:val="00BB6D3D"/>
  </w:style>
  <w:style w:type="paragraph" w:styleId="Quote">
    <w:name w:val="Quote"/>
    <w:basedOn w:val="Heading1"/>
    <w:link w:val="QuoteChar"/>
    <w:qFormat/>
    <w:rsid w:val="00BB6D3D"/>
    <w:rPr>
      <w:b w:val="0"/>
      <w:sz w:val="72"/>
      <w:szCs w:val="72"/>
      <w:lang w:val="en-NZ"/>
    </w:rPr>
  </w:style>
  <w:style w:type="character" w:customStyle="1" w:styleId="QuoteChar">
    <w:name w:val="Quote Char"/>
    <w:basedOn w:val="DefaultParagraphFont"/>
    <w:link w:val="Quote"/>
    <w:rsid w:val="00BB6D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D3D"/>
    <w:pPr>
      <w:pageBreakBefore/>
    </w:pPr>
  </w:style>
  <w:style w:type="paragraph" w:customStyle="1" w:styleId="Border">
    <w:name w:val="Border"/>
    <w:basedOn w:val="Normal"/>
    <w:qFormat/>
    <w:rsid w:val="00BB6D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D3D"/>
    <w:rPr>
      <w:b/>
      <w:bCs/>
      <w:i/>
      <w:iCs/>
      <w:color w:val="auto"/>
    </w:rPr>
  </w:style>
  <w:style w:type="paragraph" w:styleId="IntenseQuote">
    <w:name w:val="Intense Quote"/>
    <w:basedOn w:val="Normal"/>
    <w:next w:val="Normal"/>
    <w:link w:val="IntenseQuoteChar"/>
    <w:uiPriority w:val="30"/>
    <w:qFormat/>
    <w:rsid w:val="00BB6D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D3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D3D"/>
    <w:rPr>
      <w:smallCaps/>
      <w:color w:val="auto"/>
      <w:u w:val="single"/>
    </w:rPr>
  </w:style>
  <w:style w:type="character" w:styleId="IntenseReference">
    <w:name w:val="Intense Reference"/>
    <w:basedOn w:val="DefaultParagraphFont"/>
    <w:uiPriority w:val="32"/>
    <w:qFormat/>
    <w:rsid w:val="00BB6D3D"/>
    <w:rPr>
      <w:b/>
      <w:bCs/>
      <w:smallCaps/>
      <w:color w:val="auto"/>
      <w:spacing w:val="5"/>
      <w:u w:val="single"/>
    </w:rPr>
  </w:style>
  <w:style w:type="paragraph" w:customStyle="1" w:styleId="2ColumnHeading">
    <w:name w:val="2Column Heading"/>
    <w:basedOn w:val="BodyText"/>
    <w:qFormat/>
    <w:rsid w:val="00BB6D3D"/>
    <w:pPr>
      <w:spacing w:after="60"/>
      <w:ind w:left="-2268"/>
    </w:pPr>
    <w:rPr>
      <w:b/>
    </w:rPr>
  </w:style>
  <w:style w:type="paragraph" w:customStyle="1" w:styleId="Heading1TOC">
    <w:name w:val="Heading1 TOC"/>
    <w:basedOn w:val="Normal"/>
    <w:qFormat/>
    <w:rsid w:val="00BB6D3D"/>
    <w:pPr>
      <w:spacing w:before="240" w:after="120"/>
    </w:pPr>
    <w:rPr>
      <w:rFonts w:ascii="Times New Roman" w:hAnsi="Times New Roman"/>
      <w:b/>
      <w:sz w:val="32"/>
    </w:rPr>
  </w:style>
  <w:style w:type="paragraph" w:customStyle="1" w:styleId="Heading2TOC">
    <w:name w:val="Heading2 TOC"/>
    <w:basedOn w:val="Normal"/>
    <w:qFormat/>
    <w:rsid w:val="00BB6D3D"/>
    <w:pPr>
      <w:spacing w:before="240" w:after="60"/>
    </w:pPr>
    <w:rPr>
      <w:rFonts w:ascii="Times New Roman" w:hAnsi="Times New Roman"/>
      <w:b/>
      <w:sz w:val="28"/>
    </w:rPr>
  </w:style>
  <w:style w:type="character" w:customStyle="1" w:styleId="Underline">
    <w:name w:val="Underline"/>
    <w:basedOn w:val="DefaultParagraphFont"/>
    <w:qFormat/>
    <w:rsid w:val="00BB6D3D"/>
    <w:rPr>
      <w:u w:val="single"/>
    </w:rPr>
  </w:style>
  <w:style w:type="character" w:customStyle="1" w:styleId="BoldandItalics">
    <w:name w:val="Bold and Italics"/>
    <w:qFormat/>
    <w:rsid w:val="00BB6D3D"/>
    <w:rPr>
      <w:b/>
      <w:i/>
      <w:u w:val="none"/>
    </w:rPr>
  </w:style>
  <w:style w:type="paragraph" w:styleId="BalloonText">
    <w:name w:val="Balloon Text"/>
    <w:basedOn w:val="Normal"/>
    <w:link w:val="BalloonTextChar"/>
    <w:rsid w:val="00BB6D3D"/>
    <w:rPr>
      <w:rFonts w:ascii="Tahoma" w:hAnsi="Tahoma" w:cs="Tahoma"/>
      <w:sz w:val="16"/>
      <w:szCs w:val="16"/>
    </w:rPr>
  </w:style>
  <w:style w:type="character" w:customStyle="1" w:styleId="BalloonTextChar">
    <w:name w:val="Balloon Text Char"/>
    <w:basedOn w:val="DefaultParagraphFont"/>
    <w:link w:val="BalloonText"/>
    <w:rsid w:val="00BB6D3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D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D3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1286</Words>
  <Characters>8364</Characters>
  <Application>Microsoft Office Word</Application>
  <DocSecurity>0</DocSecurity>
  <Lines>323</Lines>
  <Paragraphs>190</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FNSLOSS502B Evaluate collected information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2012-05-26T07:00:00Z</dcterms:created>
  <dcterms:modified xsi:type="dcterms:W3CDTF">2012-05-26T07:00:00Z</dcterms:modified>
</cp:coreProperties>
</file>