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5F03" w:rsidP="00C75F03">
      <w:pPr>
        <w:pStyle w:val="Title"/>
      </w:pPr>
      <w:bookmarkStart w:id="0" w:name="_GoBack"/>
      <w:bookmarkEnd w:id="0"/>
      <w:r>
        <w:fldChar w:fldCharType="begin"/>
      </w:r>
      <w:r>
        <w:instrText xml:space="preserve"> TITLE   \* MERGEFORMAT </w:instrText>
      </w:r>
      <w:r>
        <w:fldChar w:fldCharType="separate"/>
      </w:r>
      <w:r>
        <w:t>FNSICSAM301B Identify opportunities for cross selling products and services</w:t>
      </w:r>
      <w:r>
        <w:fldChar w:fldCharType="end"/>
      </w:r>
    </w:p>
    <w:p w:rsidR="00C75F03" w:rsidP="00C75F03">
      <w:pPr>
        <w:pStyle w:val="Version"/>
        <w:sectPr w:rsidSect="00A46AB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6AB1" w:rsidP="00A46AB1">
      <w:pPr>
        <w:pStyle w:val="SuperHeading"/>
      </w:pPr>
      <w:r w:rsidRPr="00A46AB1">
        <w:t>FNSICSAM301B Identify opportunities for cross selling products and services</w:t>
      </w:r>
    </w:p>
    <w:p w:rsidR="00000000" w:rsidRPr="00A46AB1" w:rsidP="00A46AB1">
      <w:pPr>
        <w:pStyle w:val="Heading1"/>
      </w:pPr>
      <w:bookmarkStart w:id="1" w:name="O_318577"/>
      <w:bookmarkEnd w:id="1"/>
      <w:r w:rsidRPr="00A46AB1">
        <w:t>Modification History</w:t>
      </w:r>
    </w:p>
    <w:p w:rsidR="00000000" w:rsidRPr="00A46AB1" w:rsidP="00A46AB1">
      <w:pPr>
        <w:pStyle w:val="BodyText"/>
      </w:pPr>
      <w:r w:rsidRPr="00A46AB1">
        <w:t>Not applicable.</w:t>
      </w:r>
    </w:p>
    <w:p w:rsidR="00000000" w:rsidRPr="00A46AB1" w:rsidP="00A46AB1">
      <w:pPr>
        <w:pStyle w:val="AllowPageBreak"/>
      </w:pPr>
    </w:p>
    <w:p w:rsidR="00000000" w:rsidRPr="00A46AB1" w:rsidP="00A46AB1">
      <w:pPr>
        <w:pStyle w:val="Heading1"/>
      </w:pPr>
      <w:bookmarkStart w:id="2" w:name="O_318576"/>
      <w:bookmarkEnd w:id="2"/>
      <w:r w:rsidRPr="00A46AB1">
        <w:t>Unit Descriptor</w:t>
      </w:r>
    </w:p>
    <w:p w:rsidR="00000000" w:rsidRPr="00A46AB1" w:rsidP="00A46AB1">
      <w:pPr>
        <w:pStyle w:val="BodyText"/>
      </w:pPr>
      <w:r w:rsidRPr="00A46AB1">
        <w:t>This</w:t>
      </w:r>
      <w:r w:rsidRPr="00A46AB1">
        <w:t xml:space="preserve"> unit encompasses the competencies required to identify cross selling opportunities and sell the identified products or services to customers.</w:t>
      </w:r>
    </w:p>
    <w:p w:rsidR="00000000" w:rsidRPr="00A46AB1" w:rsidP="00A46AB1">
      <w:pPr>
        <w:pStyle w:val="BodyText"/>
      </w:pPr>
      <w:r w:rsidRPr="00A46AB1">
        <w:t>This unit encompasses the competencies required to identify cross selling opportunities and sell the identified p</w:t>
      </w:r>
      <w:r w:rsidRPr="00A46AB1">
        <w:t>roducts or services to customers.</w:t>
      </w:r>
    </w:p>
    <w:p w:rsidR="00000000" w:rsidRPr="00A46AB1" w:rsidP="00A46AB1">
      <w:pPr>
        <w:pStyle w:val="AllowPageBreak"/>
      </w:pPr>
    </w:p>
    <w:p w:rsidR="00000000" w:rsidRPr="00A46AB1" w:rsidP="00A46AB1">
      <w:pPr>
        <w:pStyle w:val="Heading1"/>
      </w:pPr>
      <w:bookmarkStart w:id="3" w:name="O_318575"/>
      <w:bookmarkEnd w:id="3"/>
      <w:r w:rsidRPr="00A46AB1">
        <w:t>Application of the Unit</w:t>
      </w:r>
    </w:p>
    <w:p w:rsidR="00000000" w:rsidRPr="00A46AB1" w:rsidP="00A46AB1">
      <w:pPr>
        <w:pStyle w:val="BodyText"/>
      </w:pPr>
      <w:r w:rsidRPr="00A46AB1">
        <w:t>This unit requires the application of comprehensive product knowledge and understanding of marketing trends to identification of products and services appropriate for a particular c</w:t>
      </w:r>
      <w:r w:rsidRPr="00A46AB1">
        <w:t>ustomer. The interaction is based on a sound understanding of the customers needs and the ability to find additional products and services provided by the organisation to satisfy those needs. It may be applied across all sectors of the financial services i</w:t>
      </w:r>
      <w:r w:rsidRPr="00A46AB1">
        <w:t>ndustry.</w:t>
      </w:r>
    </w:p>
    <w:p w:rsidR="00000000" w:rsidRPr="00A46AB1" w:rsidP="00A46AB1">
      <w:pPr>
        <w:pStyle w:val="BodyText"/>
      </w:pPr>
      <w:r w:rsidRPr="00A46AB1">
        <w:t xml:space="preserve">This unit requires the application of comprehensive product knowledge and understanding of marketing trends to identification of products and services appropriate for a particular customer. The interaction is based on a sound understanding of the </w:t>
      </w:r>
      <w:r w:rsidRPr="00A46AB1">
        <w:t>customers needs and the ability to find additional products and services provided by the organisation to satisfy those needs. It may be applied across all sectors of the financial services industry.</w:t>
      </w:r>
    </w:p>
    <w:p w:rsidR="00000000" w:rsidRPr="00A46AB1" w:rsidP="00A46AB1">
      <w:pPr>
        <w:pStyle w:val="AllowPageBreak"/>
      </w:pPr>
    </w:p>
    <w:p w:rsidR="00000000" w:rsidRPr="00A46AB1" w:rsidP="00A46AB1">
      <w:pPr>
        <w:pStyle w:val="Heading1"/>
      </w:pPr>
      <w:bookmarkStart w:id="4" w:name="O_318574"/>
      <w:bookmarkEnd w:id="4"/>
      <w:r w:rsidRPr="00A46AB1">
        <w:t>Licensing/Regulatory Information</w:t>
      </w:r>
    </w:p>
    <w:p w:rsidR="00000000" w:rsidRPr="00A46AB1" w:rsidP="00A46AB1">
      <w:pPr>
        <w:pStyle w:val="BodyText"/>
      </w:pPr>
      <w:r w:rsidRPr="00A46AB1">
        <w:t>Not app</w:t>
      </w:r>
      <w:r w:rsidRPr="00A46AB1">
        <w:t>licable.</w:t>
      </w:r>
    </w:p>
    <w:p w:rsidR="00000000" w:rsidRPr="00A46AB1" w:rsidP="00A46AB1">
      <w:pPr>
        <w:pStyle w:val="AllowPageBreak"/>
      </w:pPr>
    </w:p>
    <w:p w:rsidR="00000000" w:rsidRPr="00A46AB1" w:rsidP="00A46AB1">
      <w:pPr>
        <w:pStyle w:val="Heading1"/>
      </w:pPr>
      <w:bookmarkStart w:id="5" w:name="O_318573"/>
      <w:bookmarkEnd w:id="5"/>
      <w:r w:rsidRPr="00A46AB1">
        <w:t>Pre-Requisites</w:t>
      </w:r>
    </w:p>
    <w:p w:rsidR="00000000" w:rsidRPr="00A46AB1" w:rsidP="00A46AB1">
      <w:pPr>
        <w:pStyle w:val="BodyText"/>
      </w:pPr>
      <w:r w:rsidRPr="00A46AB1">
        <w:t>Not applicable.</w:t>
      </w:r>
    </w:p>
    <w:p w:rsidR="00000000" w:rsidRPr="00A46AB1" w:rsidP="00A46AB1">
      <w:pPr>
        <w:pStyle w:val="AllowPageBreak"/>
      </w:pPr>
    </w:p>
    <w:p w:rsidR="00000000" w:rsidRPr="00A46AB1" w:rsidP="00A46AB1">
      <w:pPr>
        <w:pStyle w:val="Heading1"/>
      </w:pPr>
      <w:bookmarkStart w:id="6" w:name="O_318572"/>
      <w:bookmarkEnd w:id="6"/>
      <w:r w:rsidRPr="00A46AB1">
        <w:t>Employability Skills Information</w:t>
      </w:r>
    </w:p>
    <w:p w:rsidR="00000000" w:rsidRPr="00A46AB1" w:rsidP="00A46AB1">
      <w:pPr>
        <w:pStyle w:val="BodyText"/>
      </w:pPr>
      <w:r w:rsidRPr="00A46AB1">
        <w:t xml:space="preserve">The required outcomes described in this unit of competency contain applicable facets of employability skills. The Employability Skills Summary for </w:t>
      </w:r>
      <w:r w:rsidRPr="00A46AB1">
        <w:t>the qualification in which this unit of competency is packaged, will assist in identifying employability skills requirements.</w:t>
      </w:r>
    </w:p>
    <w:p w:rsidR="00000000" w:rsidRPr="00A46AB1" w:rsidP="00A46AB1">
      <w:pPr>
        <w:pStyle w:val="BodyText"/>
      </w:pPr>
      <w:r w:rsidRPr="00A46AB1">
        <w:t>The required outcomes described in this unit of competency contain applicable facets of employability skills. The Employability Sk</w:t>
      </w:r>
      <w:r w:rsidRPr="00A46AB1">
        <w:t>ills Summary for the qualification in which this unit of competency is packaged, will assist in identifying employability skills requirements.</w:t>
      </w:r>
    </w:p>
    <w:p w:rsidR="00000000" w:rsidRPr="00A46AB1" w:rsidP="00A46AB1">
      <w:pPr>
        <w:pStyle w:val="AllowPageBreak"/>
      </w:pPr>
    </w:p>
    <w:p w:rsidR="00000000" w:rsidRPr="00A46AB1" w:rsidP="00A46AB1">
      <w:pPr>
        <w:pStyle w:val="Heading1"/>
      </w:pPr>
      <w:bookmarkStart w:id="7" w:name="O_318571"/>
      <w:bookmarkEnd w:id="7"/>
      <w:r w:rsidRPr="00A46AB1">
        <w:t>Elements and Performance Criteria Pre-Content</w:t>
      </w:r>
    </w:p>
    <w:p w:rsidR="00000000" w:rsidRPr="00A46AB1" w:rsidP="00A46AB1">
      <w:pPr>
        <w:pStyle w:val="BodyText"/>
      </w:pPr>
      <w:r w:rsidRPr="00A46AB1">
        <w:t>Elements define the essential outcomes of a unit o</w:t>
      </w:r>
      <w:r w:rsidRPr="00A46AB1">
        <w:t>f competency.</w:t>
      </w:r>
    </w:p>
    <w:p w:rsidR="00000000" w:rsidRPr="00A46AB1" w:rsidP="00A46AB1">
      <w:pPr>
        <w:pStyle w:val="BodyText"/>
      </w:pPr>
      <w:r w:rsidRPr="00A46AB1">
        <w:t xml:space="preserve">Performance Criteria describe the required performance needed to demonstrate achievement of the Element. </w:t>
      </w:r>
      <w:r w:rsidRPr="00A46AB1">
        <w:rPr>
          <w:rStyle w:val="SpecialBold"/>
        </w:rPr>
        <w:t xml:space="preserve">Bold, italicised </w:t>
      </w:r>
      <w:r w:rsidRPr="00A46AB1">
        <w:t>terms are elaborated in the Range Statement. Assessment of performance is to be consistent with the Evidence Guide.</w:t>
      </w:r>
    </w:p>
    <w:p w:rsidR="00000000" w:rsidRPr="00A46AB1" w:rsidP="00A46AB1">
      <w:pPr>
        <w:pStyle w:val="BodyText"/>
      </w:pPr>
      <w:r w:rsidRPr="00A46AB1">
        <w:t>Elem</w:t>
      </w:r>
      <w:r w:rsidRPr="00A46AB1">
        <w:t>ents define the essential outcomes of a unit of competency.</w:t>
      </w:r>
    </w:p>
    <w:p w:rsidR="00000000" w:rsidRPr="00A46AB1" w:rsidP="00A46AB1">
      <w:pPr>
        <w:pStyle w:val="BodyText"/>
      </w:pPr>
      <w:r w:rsidRPr="00A46AB1">
        <w:t xml:space="preserve">Performance Criteria describe the required performance needed to demonstrate achievement of the Element. </w:t>
      </w:r>
      <w:r w:rsidRPr="00A46AB1">
        <w:rPr>
          <w:rStyle w:val="SpecialBold"/>
        </w:rPr>
        <w:t xml:space="preserve">Bold, italicised </w:t>
      </w:r>
      <w:r w:rsidRPr="00A46AB1">
        <w:t xml:space="preserve">terms are elaborated in the Range Statement. Assessment of performance is </w:t>
      </w:r>
      <w:r w:rsidRPr="00A46AB1">
        <w:t>to be consistent with the Evidence Guide.</w:t>
      </w:r>
    </w:p>
    <w:p w:rsidR="00000000" w:rsidRPr="00A46AB1" w:rsidP="00A46AB1">
      <w:pPr>
        <w:pStyle w:val="AllowPageBreak"/>
      </w:pPr>
    </w:p>
    <w:p w:rsidR="00000000" w:rsidRPr="00A46AB1" w:rsidP="00A46AB1">
      <w:pPr>
        <w:pStyle w:val="Heading1"/>
      </w:pPr>
      <w:bookmarkStart w:id="8" w:name="O_318570"/>
      <w:bookmarkEnd w:id="8"/>
      <w:r w:rsidRPr="00A46AB1">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C75F03">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A46AB1">
            <w:pPr>
              <w:pStyle w:val="BodyText"/>
              <w:rPr>
                <w:lang w:val="en-NZ"/>
              </w:rPr>
            </w:pPr>
            <w:r w:rsidRPr="00A46AB1">
              <w:rPr>
                <w:rStyle w:val="SpecialBold"/>
              </w:rPr>
              <w:t>Elements and Performance Criteria</w:t>
            </w:r>
          </w:p>
        </w:tc>
      </w:tr>
      <w:tr w:rsidTr="00C75F03">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A46AB1" w:rsidP="00A46AB1">
            <w:pPr>
              <w:pStyle w:val="BodyText"/>
            </w:pPr>
            <w:r w:rsidRPr="00A46AB1">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A46AB1">
            <w:pPr>
              <w:pStyle w:val="BodyText"/>
              <w:rPr>
                <w:lang w:val="en-NZ"/>
              </w:rPr>
            </w:pPr>
            <w:r w:rsidRPr="00A46AB1">
              <w:rPr>
                <w:rStyle w:val="SpecialBold"/>
              </w:rPr>
              <w:t>Performance Criteria</w:t>
            </w:r>
          </w:p>
        </w:tc>
      </w:tr>
      <w:tr w:rsidTr="00C75F03">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A46AB1">
            <w:pPr>
              <w:pStyle w:val="BodyText"/>
              <w:rPr>
                <w:lang w:val="en-NZ"/>
              </w:rPr>
            </w:pPr>
            <w:r w:rsidRPr="00A46AB1">
              <w:t>1</w:t>
            </w:r>
          </w:p>
        </w:tc>
        <w:tc>
          <w:tcPr>
            <w:tcW w:w="3000" w:type="dxa"/>
            <w:vMerge w:val="restart"/>
            <w:tcBorders>
              <w:top w:val="nil"/>
              <w:left w:val="nil"/>
              <w:bottom w:val="nil"/>
              <w:right w:val="nil"/>
            </w:tcBorders>
            <w:tcMar>
              <w:top w:w="0" w:type="dxa"/>
              <w:left w:w="62" w:type="dxa"/>
              <w:bottom w:w="0" w:type="dxa"/>
              <w:right w:w="62" w:type="dxa"/>
            </w:tcMar>
          </w:tcPr>
          <w:p w:rsidR="00000000" w:rsidP="00A46AB1">
            <w:pPr>
              <w:pStyle w:val="BodyText"/>
              <w:rPr>
                <w:lang w:val="en-NZ"/>
              </w:rPr>
            </w:pPr>
            <w:r w:rsidRPr="00A46AB1">
              <w:t>Identify opportunities for cross selling of products and services</w:t>
            </w:r>
          </w:p>
        </w:tc>
        <w:tc>
          <w:tcPr>
            <w:tcW w:w="500" w:type="dxa"/>
            <w:tcBorders>
              <w:top w:val="nil"/>
              <w:left w:val="nil"/>
              <w:bottom w:val="nil"/>
              <w:right w:val="nil"/>
            </w:tcBorders>
            <w:tcMar>
              <w:top w:w="0" w:type="dxa"/>
              <w:left w:w="62" w:type="dxa"/>
              <w:bottom w:w="0" w:type="dxa"/>
              <w:right w:w="62" w:type="dxa"/>
            </w:tcMar>
          </w:tcPr>
          <w:p w:rsidR="00000000" w:rsidP="00A46AB1">
            <w:pPr>
              <w:pStyle w:val="BodyText"/>
              <w:rPr>
                <w:lang w:val="en-NZ"/>
              </w:rPr>
            </w:pPr>
            <w:r w:rsidRPr="00A46AB1">
              <w:t>1.1</w:t>
            </w:r>
          </w:p>
        </w:tc>
        <w:tc>
          <w:tcPr>
            <w:tcW w:w="5100" w:type="dxa"/>
            <w:tcBorders>
              <w:top w:val="nil"/>
              <w:left w:val="nil"/>
              <w:bottom w:val="nil"/>
              <w:right w:val="nil"/>
            </w:tcBorders>
            <w:tcMar>
              <w:top w:w="0" w:type="dxa"/>
              <w:left w:w="62" w:type="dxa"/>
              <w:bottom w:w="0" w:type="dxa"/>
              <w:right w:w="62" w:type="dxa"/>
            </w:tcMar>
          </w:tcPr>
          <w:p w:rsidR="00000000" w:rsidP="00A46AB1">
            <w:pPr>
              <w:pStyle w:val="BodyText"/>
              <w:rPr>
                <w:lang w:val="en-NZ"/>
              </w:rPr>
            </w:pPr>
            <w:r w:rsidRPr="00A46AB1">
              <w:t xml:space="preserve">A range of </w:t>
            </w:r>
            <w:r w:rsidRPr="00A46AB1">
              <w:rPr>
                <w:rStyle w:val="SpecialBold"/>
              </w:rPr>
              <w:t xml:space="preserve">communication and interpersonal skills </w:t>
            </w:r>
            <w:r w:rsidRPr="00A46AB1">
              <w:t xml:space="preserve">are used to identify </w:t>
            </w:r>
            <w:r w:rsidRPr="00A46AB1">
              <w:rPr>
                <w:rStyle w:val="SpecialBold"/>
              </w:rPr>
              <w:t xml:space="preserve">customer needs </w:t>
            </w:r>
            <w:r w:rsidRPr="00A46AB1">
              <w:t>and establish a relationship with the customer</w:t>
            </w:r>
          </w:p>
        </w:tc>
      </w:tr>
      <w:tr w:rsidTr="00C75F0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46AB1">
            <w:pPr>
              <w:pStyle w:val="BodyText"/>
              <w:rPr>
                <w:lang w:val="en-NZ"/>
              </w:rPr>
            </w:pPr>
            <w:r w:rsidRPr="00A46AB1">
              <w:t>1.2</w:t>
            </w:r>
          </w:p>
        </w:tc>
        <w:tc>
          <w:tcPr>
            <w:tcW w:w="5100" w:type="dxa"/>
            <w:tcBorders>
              <w:top w:val="nil"/>
              <w:left w:val="nil"/>
              <w:bottom w:val="nil"/>
              <w:right w:val="nil"/>
            </w:tcBorders>
            <w:tcMar>
              <w:top w:w="0" w:type="dxa"/>
              <w:left w:w="62" w:type="dxa"/>
              <w:bottom w:w="0" w:type="dxa"/>
              <w:right w:w="62" w:type="dxa"/>
            </w:tcMar>
          </w:tcPr>
          <w:p w:rsidR="00000000" w:rsidP="00A46AB1">
            <w:pPr>
              <w:pStyle w:val="BodyText"/>
              <w:rPr>
                <w:lang w:val="en-NZ"/>
              </w:rPr>
            </w:pPr>
            <w:r w:rsidRPr="00A46AB1">
              <w:t>Information is provided to the customer in response to initial enquiry</w:t>
            </w:r>
          </w:p>
        </w:tc>
      </w:tr>
      <w:tr w:rsidTr="00C75F0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46AB1">
            <w:pPr>
              <w:pStyle w:val="BodyText"/>
              <w:rPr>
                <w:lang w:val="en-NZ"/>
              </w:rPr>
            </w:pPr>
            <w:r w:rsidRPr="00A46AB1">
              <w:t>1.3</w:t>
            </w:r>
          </w:p>
        </w:tc>
        <w:tc>
          <w:tcPr>
            <w:tcW w:w="5100" w:type="dxa"/>
            <w:tcBorders>
              <w:top w:val="nil"/>
              <w:left w:val="nil"/>
              <w:bottom w:val="nil"/>
              <w:right w:val="nil"/>
            </w:tcBorders>
            <w:tcMar>
              <w:top w:w="0" w:type="dxa"/>
              <w:left w:w="62" w:type="dxa"/>
              <w:bottom w:w="0" w:type="dxa"/>
              <w:right w:w="62" w:type="dxa"/>
            </w:tcMar>
          </w:tcPr>
          <w:p w:rsidR="00000000" w:rsidP="00A46AB1">
            <w:pPr>
              <w:pStyle w:val="BodyText"/>
              <w:rPr>
                <w:lang w:val="en-NZ"/>
              </w:rPr>
            </w:pPr>
            <w:r w:rsidRPr="00A46AB1">
              <w:t>Based on understanding of customer needs, knowledge of the organisations products and services and marketing trends, further opportunities for providing the customers with additional products or services are identified</w:t>
            </w:r>
          </w:p>
        </w:tc>
      </w:tr>
      <w:tr w:rsidTr="00C75F0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46AB1">
            <w:pPr>
              <w:pStyle w:val="BodyText"/>
              <w:rPr>
                <w:lang w:val="en-NZ"/>
              </w:rPr>
            </w:pPr>
            <w:r w:rsidRPr="00A46AB1">
              <w:t>1.4</w:t>
            </w:r>
          </w:p>
        </w:tc>
        <w:tc>
          <w:tcPr>
            <w:tcW w:w="5100" w:type="dxa"/>
            <w:tcBorders>
              <w:top w:val="nil"/>
              <w:left w:val="nil"/>
              <w:bottom w:val="nil"/>
              <w:right w:val="nil"/>
            </w:tcBorders>
            <w:tcMar>
              <w:top w:w="0" w:type="dxa"/>
              <w:left w:w="62" w:type="dxa"/>
              <w:bottom w:w="0" w:type="dxa"/>
              <w:right w:w="62" w:type="dxa"/>
            </w:tcMar>
          </w:tcPr>
          <w:p w:rsidR="00000000" w:rsidP="00A46AB1">
            <w:pPr>
              <w:pStyle w:val="BodyText"/>
              <w:rPr>
                <w:lang w:val="en-NZ"/>
              </w:rPr>
            </w:pPr>
            <w:r w:rsidRPr="00A46AB1">
              <w:t xml:space="preserve">Further information about the </w:t>
            </w:r>
            <w:r w:rsidRPr="00A46AB1">
              <w:t>identified products and services is accessed, if required</w:t>
            </w:r>
          </w:p>
        </w:tc>
      </w:tr>
      <w:tr w:rsidTr="00C75F03">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A46AB1">
            <w:pPr>
              <w:pStyle w:val="BodyText"/>
              <w:rPr>
                <w:lang w:val="en-NZ"/>
              </w:rPr>
            </w:pPr>
            <w:r w:rsidRPr="00A46AB1">
              <w:t>2</w:t>
            </w:r>
          </w:p>
        </w:tc>
        <w:tc>
          <w:tcPr>
            <w:tcW w:w="3000" w:type="dxa"/>
            <w:vMerge w:val="restart"/>
            <w:tcBorders>
              <w:top w:val="nil"/>
              <w:left w:val="nil"/>
              <w:bottom w:val="nil"/>
              <w:right w:val="nil"/>
            </w:tcBorders>
            <w:tcMar>
              <w:top w:w="0" w:type="dxa"/>
              <w:left w:w="62" w:type="dxa"/>
              <w:bottom w:w="0" w:type="dxa"/>
              <w:right w:w="62" w:type="dxa"/>
            </w:tcMar>
          </w:tcPr>
          <w:p w:rsidR="00000000" w:rsidP="00A46AB1">
            <w:pPr>
              <w:pStyle w:val="BodyText"/>
              <w:rPr>
                <w:lang w:val="en-NZ"/>
              </w:rPr>
            </w:pPr>
            <w:r w:rsidRPr="00A46AB1">
              <w:t>Promote sales of products and services</w:t>
            </w:r>
          </w:p>
        </w:tc>
        <w:tc>
          <w:tcPr>
            <w:tcW w:w="500" w:type="dxa"/>
            <w:tcBorders>
              <w:top w:val="nil"/>
              <w:left w:val="nil"/>
              <w:bottom w:val="nil"/>
              <w:right w:val="nil"/>
            </w:tcBorders>
            <w:tcMar>
              <w:top w:w="0" w:type="dxa"/>
              <w:left w:w="62" w:type="dxa"/>
              <w:bottom w:w="0" w:type="dxa"/>
              <w:right w:w="62" w:type="dxa"/>
            </w:tcMar>
          </w:tcPr>
          <w:p w:rsidR="00000000" w:rsidP="00A46AB1">
            <w:pPr>
              <w:pStyle w:val="BodyText"/>
              <w:rPr>
                <w:lang w:val="en-NZ"/>
              </w:rPr>
            </w:pPr>
            <w:r w:rsidRPr="00A46AB1">
              <w:t>2.1</w:t>
            </w:r>
          </w:p>
        </w:tc>
        <w:tc>
          <w:tcPr>
            <w:tcW w:w="5100" w:type="dxa"/>
            <w:tcBorders>
              <w:top w:val="nil"/>
              <w:left w:val="nil"/>
              <w:bottom w:val="nil"/>
              <w:right w:val="nil"/>
            </w:tcBorders>
            <w:tcMar>
              <w:top w:w="0" w:type="dxa"/>
              <w:left w:w="62" w:type="dxa"/>
              <w:bottom w:w="0" w:type="dxa"/>
              <w:right w:w="62" w:type="dxa"/>
            </w:tcMar>
          </w:tcPr>
          <w:p w:rsidR="00000000" w:rsidP="00A46AB1">
            <w:pPr>
              <w:pStyle w:val="BodyText"/>
              <w:rPr>
                <w:lang w:val="en-NZ"/>
              </w:rPr>
            </w:pPr>
            <w:r w:rsidRPr="00A46AB1">
              <w:t>Benefits and features of products or services are explained to the customer</w:t>
            </w:r>
          </w:p>
        </w:tc>
      </w:tr>
      <w:tr w:rsidTr="00C75F0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46AB1">
            <w:pPr>
              <w:pStyle w:val="BodyText"/>
              <w:rPr>
                <w:lang w:val="en-NZ"/>
              </w:rPr>
            </w:pPr>
            <w:r w:rsidRPr="00A46AB1">
              <w:t>2.2</w:t>
            </w:r>
          </w:p>
        </w:tc>
        <w:tc>
          <w:tcPr>
            <w:tcW w:w="5100" w:type="dxa"/>
            <w:tcBorders>
              <w:top w:val="nil"/>
              <w:left w:val="nil"/>
              <w:bottom w:val="nil"/>
              <w:right w:val="nil"/>
            </w:tcBorders>
            <w:tcMar>
              <w:top w:w="0" w:type="dxa"/>
              <w:left w:w="62" w:type="dxa"/>
              <w:bottom w:w="0" w:type="dxa"/>
              <w:right w:w="62" w:type="dxa"/>
            </w:tcMar>
          </w:tcPr>
          <w:p w:rsidR="00000000" w:rsidP="00A46AB1">
            <w:pPr>
              <w:pStyle w:val="BodyText"/>
              <w:rPr>
                <w:lang w:val="en-NZ"/>
              </w:rPr>
            </w:pPr>
            <w:r w:rsidRPr="00A46AB1">
              <w:t>Product knowledge is used to match products or services to the customers needs</w:t>
            </w:r>
          </w:p>
        </w:tc>
      </w:tr>
      <w:tr w:rsidTr="00C75F0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46AB1">
            <w:pPr>
              <w:pStyle w:val="BodyText"/>
              <w:rPr>
                <w:lang w:val="en-NZ"/>
              </w:rPr>
            </w:pPr>
            <w:r w:rsidRPr="00A46AB1">
              <w:t>2.3</w:t>
            </w:r>
          </w:p>
        </w:tc>
        <w:tc>
          <w:tcPr>
            <w:tcW w:w="5100" w:type="dxa"/>
            <w:tcBorders>
              <w:top w:val="nil"/>
              <w:left w:val="nil"/>
              <w:bottom w:val="nil"/>
              <w:right w:val="nil"/>
            </w:tcBorders>
            <w:tcMar>
              <w:top w:w="0" w:type="dxa"/>
              <w:left w:w="62" w:type="dxa"/>
              <w:bottom w:w="0" w:type="dxa"/>
              <w:right w:w="62" w:type="dxa"/>
            </w:tcMar>
          </w:tcPr>
          <w:p w:rsidR="00000000" w:rsidP="00A46AB1">
            <w:pPr>
              <w:pStyle w:val="BodyText"/>
              <w:rPr>
                <w:lang w:val="en-NZ"/>
              </w:rPr>
            </w:pPr>
            <w:r w:rsidRPr="00A46AB1">
              <w:t>A number of options based on assessment of the customers needs are offered</w:t>
            </w:r>
          </w:p>
        </w:tc>
      </w:tr>
      <w:tr w:rsidTr="00C75F0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46AB1">
            <w:pPr>
              <w:pStyle w:val="BodyText"/>
              <w:rPr>
                <w:lang w:val="en-NZ"/>
              </w:rPr>
            </w:pPr>
            <w:r w:rsidRPr="00A46AB1">
              <w:t>2.4</w:t>
            </w:r>
          </w:p>
        </w:tc>
        <w:tc>
          <w:tcPr>
            <w:tcW w:w="5100" w:type="dxa"/>
            <w:tcBorders>
              <w:top w:val="nil"/>
              <w:left w:val="nil"/>
              <w:bottom w:val="nil"/>
              <w:right w:val="nil"/>
            </w:tcBorders>
            <w:tcMar>
              <w:top w:w="0" w:type="dxa"/>
              <w:left w:w="62" w:type="dxa"/>
              <w:bottom w:w="0" w:type="dxa"/>
              <w:right w:w="62" w:type="dxa"/>
            </w:tcMar>
          </w:tcPr>
          <w:p w:rsidR="00000000" w:rsidP="00A46AB1">
            <w:pPr>
              <w:pStyle w:val="BodyText"/>
              <w:rPr>
                <w:lang w:val="en-NZ"/>
              </w:rPr>
            </w:pPr>
            <w:r w:rsidRPr="00A46AB1">
              <w:t xml:space="preserve">Compliance with relevant legislation, regulations and industry codes of practice of all </w:t>
            </w:r>
            <w:r w:rsidRPr="00A46AB1">
              <w:t>options developed is checked</w:t>
            </w:r>
          </w:p>
        </w:tc>
      </w:tr>
      <w:tr w:rsidTr="00C75F03">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A46AB1">
            <w:pPr>
              <w:pStyle w:val="BodyText"/>
              <w:rPr>
                <w:lang w:val="en-NZ"/>
              </w:rPr>
            </w:pPr>
            <w:r w:rsidRPr="00A46AB1">
              <w:t>3</w:t>
            </w:r>
          </w:p>
        </w:tc>
        <w:tc>
          <w:tcPr>
            <w:tcW w:w="3000" w:type="dxa"/>
            <w:vMerge w:val="restart"/>
            <w:tcBorders>
              <w:top w:val="nil"/>
              <w:left w:val="nil"/>
              <w:bottom w:val="nil"/>
              <w:right w:val="nil"/>
            </w:tcBorders>
            <w:tcMar>
              <w:top w:w="0" w:type="dxa"/>
              <w:left w:w="62" w:type="dxa"/>
              <w:bottom w:w="0" w:type="dxa"/>
              <w:right w:w="62" w:type="dxa"/>
            </w:tcMar>
          </w:tcPr>
          <w:p w:rsidR="00000000" w:rsidP="00A46AB1">
            <w:pPr>
              <w:pStyle w:val="BodyText"/>
              <w:rPr>
                <w:lang w:val="en-NZ"/>
              </w:rPr>
            </w:pPr>
            <w:r w:rsidRPr="00A46AB1">
              <w:t>Refer sales/service to appropriate area</w:t>
            </w:r>
          </w:p>
        </w:tc>
        <w:tc>
          <w:tcPr>
            <w:tcW w:w="500" w:type="dxa"/>
            <w:tcBorders>
              <w:top w:val="nil"/>
              <w:left w:val="nil"/>
              <w:bottom w:val="nil"/>
              <w:right w:val="nil"/>
            </w:tcBorders>
            <w:tcMar>
              <w:top w:w="0" w:type="dxa"/>
              <w:left w:w="62" w:type="dxa"/>
              <w:bottom w:w="0" w:type="dxa"/>
              <w:right w:w="62" w:type="dxa"/>
            </w:tcMar>
          </w:tcPr>
          <w:p w:rsidR="00000000" w:rsidP="00A46AB1">
            <w:pPr>
              <w:pStyle w:val="BodyText"/>
              <w:rPr>
                <w:lang w:val="en-NZ"/>
              </w:rPr>
            </w:pPr>
            <w:r w:rsidRPr="00A46AB1">
              <w:t>3.1</w:t>
            </w:r>
          </w:p>
        </w:tc>
        <w:tc>
          <w:tcPr>
            <w:tcW w:w="5100" w:type="dxa"/>
            <w:tcBorders>
              <w:top w:val="nil"/>
              <w:left w:val="nil"/>
              <w:bottom w:val="nil"/>
              <w:right w:val="nil"/>
            </w:tcBorders>
            <w:tcMar>
              <w:top w:w="0" w:type="dxa"/>
              <w:left w:w="62" w:type="dxa"/>
              <w:bottom w:w="0" w:type="dxa"/>
              <w:right w:w="62" w:type="dxa"/>
            </w:tcMar>
          </w:tcPr>
          <w:p w:rsidR="00000000" w:rsidP="00A46AB1">
            <w:pPr>
              <w:pStyle w:val="BodyText"/>
              <w:rPr>
                <w:lang w:val="en-NZ"/>
              </w:rPr>
            </w:pPr>
            <w:r w:rsidRPr="00A46AB1">
              <w:t>When a decision has been reached on sales of the product or the service to be provided, documentation relating to the interaction is prepared for processing</w:t>
            </w:r>
          </w:p>
        </w:tc>
      </w:tr>
      <w:tr w:rsidTr="00C75F0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46AB1">
            <w:pPr>
              <w:pStyle w:val="BodyText"/>
              <w:rPr>
                <w:lang w:val="en-NZ"/>
              </w:rPr>
            </w:pPr>
            <w:r w:rsidRPr="00A46AB1">
              <w:t>3.2</w:t>
            </w:r>
          </w:p>
        </w:tc>
        <w:tc>
          <w:tcPr>
            <w:tcW w:w="5100" w:type="dxa"/>
            <w:tcBorders>
              <w:top w:val="nil"/>
              <w:left w:val="nil"/>
              <w:bottom w:val="nil"/>
              <w:right w:val="nil"/>
            </w:tcBorders>
            <w:tcMar>
              <w:top w:w="0" w:type="dxa"/>
              <w:left w:w="62" w:type="dxa"/>
              <w:bottom w:w="0" w:type="dxa"/>
              <w:right w:w="62" w:type="dxa"/>
            </w:tcMar>
          </w:tcPr>
          <w:p w:rsidR="00000000" w:rsidRPr="00A46AB1" w:rsidP="00A46AB1">
            <w:pPr>
              <w:pStyle w:val="BodyText"/>
            </w:pPr>
            <w:r w:rsidRPr="00A46AB1">
              <w:t>If referral to another section of the organisation is required, the customer is informed of the reasons why this needs to occur</w:t>
            </w:r>
          </w:p>
        </w:tc>
      </w:tr>
    </w:tbl>
    <w:p w:rsidR="00000000" w:rsidRPr="00A46AB1" w:rsidP="00A46AB1">
      <w:pPr>
        <w:pStyle w:val="BodyText"/>
      </w:pPr>
    </w:p>
    <w:p w:rsidR="00000000" w:rsidRPr="00A46AB1" w:rsidP="00A46AB1">
      <w:pPr>
        <w:pStyle w:val="AllowPageBreak"/>
      </w:pPr>
    </w:p>
    <w:p w:rsidR="00000000" w:rsidRPr="00A46AB1" w:rsidP="00A46AB1">
      <w:pPr>
        <w:pStyle w:val="Heading1"/>
      </w:pPr>
      <w:bookmarkStart w:id="9" w:name="O_318569"/>
      <w:bookmarkEnd w:id="9"/>
      <w:r w:rsidRPr="00A46AB1">
        <w:t>Required Skills and Knowledge</w:t>
      </w:r>
    </w:p>
    <w:tbl>
      <w:tblPr>
        <w:tblW w:w="0" w:type="auto"/>
        <w:tblLayout w:type="fixed"/>
        <w:tblCellMar>
          <w:left w:w="62" w:type="dxa"/>
          <w:right w:w="62" w:type="dxa"/>
        </w:tblCellMar>
        <w:tblLook w:val="0000"/>
      </w:tblPr>
      <w:tblGrid>
        <w:gridCol w:w="9000"/>
      </w:tblGrid>
      <w:tr w:rsidTr="00C75F0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46AB1">
            <w:pPr>
              <w:pStyle w:val="BodyText"/>
              <w:rPr>
                <w:lang w:val="en-NZ"/>
              </w:rPr>
            </w:pPr>
            <w:r w:rsidRPr="00A46AB1">
              <w:rPr>
                <w:rStyle w:val="SpecialBold"/>
              </w:rPr>
              <w:t>REQUIRED KNOWLEDGE</w:t>
            </w:r>
            <w:r w:rsidRPr="00A46AB1">
              <w:t>&amp;</w:t>
            </w:r>
            <w:r w:rsidRPr="00A46AB1">
              <w:rPr>
                <w:rStyle w:val="SpecialBold"/>
              </w:rPr>
              <w:t>SKILLS</w:t>
            </w:r>
          </w:p>
        </w:tc>
      </w:tr>
      <w:tr w:rsidTr="00C75F0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A46AB1" w:rsidP="00A46AB1">
            <w:pPr>
              <w:pStyle w:val="BodyText"/>
            </w:pPr>
            <w:r w:rsidRPr="00A46AB1">
              <w:rPr>
                <w:rStyle w:val="SpecialBold"/>
              </w:rPr>
              <w:t>Knowledge requirements include</w:t>
            </w:r>
            <w:r w:rsidRPr="00A46AB1">
              <w:t xml:space="preserve">: </w:t>
            </w:r>
          </w:p>
          <w:p w:rsidR="00000000" w:rsidRPr="00A46AB1" w:rsidP="00A46AB1">
            <w:pPr>
              <w:pStyle w:val="BodyText"/>
            </w:pPr>
            <w:r w:rsidRPr="00A46AB1">
              <w:t>product and service knowledge</w:t>
            </w:r>
          </w:p>
          <w:p w:rsidR="00000000" w:rsidRPr="00A46AB1" w:rsidP="00A46AB1">
            <w:pPr>
              <w:pStyle w:val="BodyText"/>
            </w:pPr>
            <w:r w:rsidRPr="00A46AB1">
              <w:t>introductory knowledge of the finance industry, business communication and business law</w:t>
            </w:r>
          </w:p>
          <w:p w:rsidR="00000000" w:rsidRPr="00A46AB1" w:rsidP="00A46AB1">
            <w:pPr>
              <w:pStyle w:val="BodyText"/>
            </w:pPr>
            <w:r w:rsidRPr="00A46AB1">
              <w:t>knowledge of customer relations</w:t>
            </w:r>
          </w:p>
          <w:p w:rsidR="00000000" w:rsidRPr="00A46AB1" w:rsidP="00A46AB1">
            <w:pPr>
              <w:pStyle w:val="BodyText"/>
            </w:pPr>
            <w:r w:rsidRPr="00A46AB1">
              <w:t>customer service</w:t>
            </w:r>
          </w:p>
          <w:p w:rsidR="00000000" w:rsidRPr="00A46AB1" w:rsidP="00A46AB1">
            <w:pPr>
              <w:pStyle w:val="BodyText"/>
            </w:pPr>
            <w:r w:rsidRPr="00A46AB1">
              <w:t>company's manner of dealing with complaints</w:t>
            </w:r>
          </w:p>
          <w:p w:rsidR="00000000" w:rsidRPr="00A46AB1" w:rsidP="00A46AB1">
            <w:pPr>
              <w:pStyle w:val="BodyText"/>
            </w:pPr>
            <w:r w:rsidRPr="00A46AB1">
              <w:t>knowledge of relevant legislation and potenti</w:t>
            </w:r>
            <w:r w:rsidRPr="00A46AB1">
              <w:t>al/actual impact on information requested or provided</w:t>
            </w:r>
          </w:p>
          <w:p w:rsidR="00000000" w:rsidRPr="00A46AB1" w:rsidP="00A46AB1">
            <w:pPr>
              <w:pStyle w:val="BodyText"/>
            </w:pPr>
            <w:r w:rsidRPr="00A46AB1">
              <w:t>sales techniques</w:t>
            </w:r>
          </w:p>
          <w:p w:rsidR="00000000" w:rsidP="00A46AB1">
            <w:pPr>
              <w:pStyle w:val="BodyText"/>
              <w:rPr>
                <w:lang w:val="en-NZ"/>
              </w:rPr>
            </w:pPr>
            <w:r w:rsidRPr="00A46AB1">
              <w:t xml:space="preserve">knowledge of organisation's policies and procedures in regard to customer service and sales </w:t>
            </w:r>
          </w:p>
        </w:tc>
      </w:tr>
      <w:tr w:rsidTr="00C75F0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A46AB1" w:rsidP="00A46AB1">
            <w:pPr>
              <w:pStyle w:val="BodyText"/>
            </w:pPr>
            <w:r w:rsidRPr="00A46AB1">
              <w:rPr>
                <w:rStyle w:val="SpecialBold"/>
              </w:rPr>
              <w:t>Skills requirements include</w:t>
            </w:r>
            <w:r w:rsidRPr="00A46AB1">
              <w:t xml:space="preserve">: </w:t>
            </w:r>
          </w:p>
          <w:p w:rsidR="00000000" w:rsidRPr="00A46AB1" w:rsidP="00A46AB1">
            <w:pPr>
              <w:pStyle w:val="BodyText"/>
            </w:pPr>
            <w:r w:rsidRPr="00A46AB1">
              <w:t>communication skills</w:t>
            </w:r>
          </w:p>
          <w:p w:rsidR="00000000" w:rsidRPr="00A46AB1" w:rsidP="00A46AB1">
            <w:pPr>
              <w:pStyle w:val="BodyText"/>
            </w:pPr>
            <w:r w:rsidRPr="00A46AB1">
              <w:t>interpersonal/relationship building skil</w:t>
            </w:r>
            <w:r w:rsidRPr="00A46AB1">
              <w:t>ls</w:t>
            </w:r>
          </w:p>
          <w:p w:rsidR="00000000" w:rsidRPr="00A46AB1" w:rsidP="00A46AB1">
            <w:pPr>
              <w:pStyle w:val="BodyText"/>
            </w:pPr>
            <w:r w:rsidRPr="00A46AB1">
              <w:t>negotiation skills</w:t>
            </w:r>
          </w:p>
          <w:p w:rsidR="00000000" w:rsidRPr="00A46AB1" w:rsidP="00A46AB1">
            <w:pPr>
              <w:pStyle w:val="BodyText"/>
            </w:pPr>
            <w:r w:rsidRPr="00A46AB1">
              <w:t>referral skills</w:t>
            </w:r>
          </w:p>
          <w:p w:rsidR="00000000" w:rsidRPr="00A46AB1" w:rsidP="00A46AB1">
            <w:pPr>
              <w:pStyle w:val="BodyText"/>
            </w:pPr>
            <w:r w:rsidRPr="00A46AB1">
              <w:t>recording skills</w:t>
            </w:r>
          </w:p>
          <w:p w:rsidR="00000000" w:rsidRPr="00A46AB1" w:rsidP="00A46AB1">
            <w:pPr>
              <w:pStyle w:val="BodyText"/>
            </w:pPr>
            <w:r w:rsidRPr="00A46AB1">
              <w:t>problem solving skills</w:t>
            </w:r>
          </w:p>
          <w:p w:rsidR="00000000" w:rsidRPr="00A46AB1" w:rsidP="00A46AB1">
            <w:pPr>
              <w:pStyle w:val="BodyText"/>
            </w:pPr>
            <w:r w:rsidRPr="00A46AB1">
              <w:t xml:space="preserve">selling skills (including listening, questioning, matching needs, confirming sale) </w:t>
            </w:r>
          </w:p>
        </w:tc>
      </w:tr>
    </w:tbl>
    <w:p w:rsidR="00000000" w:rsidRPr="00A46AB1" w:rsidP="00A46AB1">
      <w:pPr>
        <w:pStyle w:val="BodyText"/>
      </w:pPr>
    </w:p>
    <w:p w:rsidR="00000000" w:rsidRPr="00A46AB1" w:rsidP="00A46AB1">
      <w:pPr>
        <w:pStyle w:val="AllowPageBreak"/>
      </w:pPr>
    </w:p>
    <w:p w:rsidR="00000000" w:rsidRPr="00A46AB1" w:rsidP="00A46AB1">
      <w:pPr>
        <w:pStyle w:val="Heading1"/>
      </w:pPr>
      <w:bookmarkStart w:id="10" w:name="O_318568"/>
      <w:bookmarkEnd w:id="10"/>
      <w:r w:rsidRPr="00A46AB1">
        <w:t>Evidence Guide</w:t>
      </w:r>
    </w:p>
    <w:tbl>
      <w:tblPr>
        <w:tblW w:w="0" w:type="auto"/>
        <w:tblLayout w:type="fixed"/>
        <w:tblCellMar>
          <w:left w:w="62" w:type="dxa"/>
          <w:right w:w="62" w:type="dxa"/>
        </w:tblCellMar>
        <w:tblLook w:val="0000"/>
      </w:tblPr>
      <w:tblGrid>
        <w:gridCol w:w="4500"/>
        <w:gridCol w:w="4500"/>
      </w:tblGrid>
      <w:tr w:rsidTr="00C75F0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A46AB1">
            <w:pPr>
              <w:pStyle w:val="BodyText"/>
              <w:rPr>
                <w:lang w:val="en-NZ"/>
              </w:rPr>
            </w:pPr>
            <w:r w:rsidRPr="00A46AB1">
              <w:rPr>
                <w:rStyle w:val="SpecialBold"/>
              </w:rPr>
              <w:t xml:space="preserve"> EVIDENCE GUIDE</w:t>
            </w:r>
          </w:p>
        </w:tc>
      </w:tr>
      <w:tr w:rsidTr="00C75F0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A46AB1">
            <w:pPr>
              <w:pStyle w:val="BodyText"/>
              <w:rPr>
                <w:lang w:val="en-NZ"/>
              </w:rPr>
            </w:pPr>
            <w:r w:rsidRPr="00A46AB1">
              <w:t>Assessment of performance requirements in the unit should be undertaken in an industry context. The Evidence Guide identifies the critical aspects, knowledge and skills to be demonstrated to confirm competency for the unit. Competency is demonstrated by pe</w:t>
            </w:r>
            <w:r w:rsidRPr="00A46AB1">
              <w:t xml:space="preserve">rformance of all stated criteria including the Range Statement applicable to the workplace. </w:t>
            </w:r>
          </w:p>
        </w:tc>
      </w:tr>
      <w:tr w:rsidTr="00C75F0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A46AB1">
            <w:pPr>
              <w:pStyle w:val="BodyText"/>
              <w:rPr>
                <w:lang w:val="en-NZ"/>
              </w:rPr>
            </w:pPr>
            <w:r w:rsidRPr="00A46AB1">
              <w:rPr>
                <w:rStyle w:val="SpecialBold"/>
              </w:rPr>
              <w:t>Overview of assessment requirements</w:t>
            </w:r>
          </w:p>
        </w:tc>
      </w:tr>
      <w:tr w:rsidTr="00C75F0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A46AB1" w:rsidP="00A46AB1">
            <w:pPr>
              <w:pStyle w:val="BodyText"/>
            </w:pPr>
            <w:r w:rsidRPr="00A46AB1">
              <w:t xml:space="preserve">To achieve competency in this unit, a person must be able to demonstrate: </w:t>
            </w:r>
          </w:p>
          <w:p w:rsidR="00000000" w:rsidRPr="00A46AB1" w:rsidP="00A46AB1">
            <w:pPr>
              <w:pStyle w:val="BodyText"/>
            </w:pPr>
            <w:r w:rsidRPr="00A46AB1">
              <w:t xml:space="preserve">ability to interact with customers, explain the </w:t>
            </w:r>
            <w:r w:rsidRPr="00A46AB1">
              <w:t>organisation's products and services and provide options based on the customer's needs in line with relevant legislation, regulations and industry codes of practice</w:t>
            </w:r>
          </w:p>
          <w:p w:rsidR="00000000" w:rsidP="00A46AB1">
            <w:pPr>
              <w:pStyle w:val="BodyText"/>
              <w:rPr>
                <w:lang w:val="en-NZ"/>
              </w:rPr>
            </w:pPr>
            <w:r w:rsidRPr="00A46AB1">
              <w:t>ability to refer the customers to other appropriate sections of the organisation, if requir</w:t>
            </w:r>
            <w:r w:rsidRPr="00A46AB1">
              <w:t xml:space="preserve">ed </w:t>
            </w:r>
          </w:p>
        </w:tc>
      </w:tr>
      <w:tr w:rsidTr="00C75F0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A46AB1">
            <w:pPr>
              <w:pStyle w:val="BodyText"/>
              <w:rPr>
                <w:lang w:val="en-NZ"/>
              </w:rPr>
            </w:pPr>
            <w:r w:rsidRPr="00A46AB1">
              <w:rPr>
                <w:rStyle w:val="SpecialBold"/>
              </w:rPr>
              <w:t>Critical aspects of evidence</w:t>
            </w:r>
          </w:p>
        </w:tc>
      </w:tr>
      <w:tr w:rsidTr="00C75F0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46AB1">
            <w:pPr>
              <w:pStyle w:val="BodyText"/>
              <w:rPr>
                <w:lang w:val="en-NZ"/>
              </w:rPr>
            </w:pPr>
            <w:r w:rsidRPr="00A46AB1">
              <w:rPr>
                <w:rStyle w:val="SpecialBold"/>
              </w:rPr>
              <w:t>Evidence required for demonstration of consistent performance</w:t>
            </w:r>
            <w:r w:rsidRPr="00A46AB1">
              <w:t xml:space="preserve">: </w:t>
            </w:r>
          </w:p>
        </w:tc>
        <w:tc>
          <w:tcPr>
            <w:tcW w:w="4500" w:type="dxa"/>
            <w:tcBorders>
              <w:top w:val="nil"/>
              <w:left w:val="nil"/>
              <w:bottom w:val="nil"/>
              <w:right w:val="nil"/>
            </w:tcBorders>
            <w:tcMar>
              <w:top w:w="0" w:type="dxa"/>
              <w:left w:w="62" w:type="dxa"/>
              <w:bottom w:w="0" w:type="dxa"/>
              <w:right w:w="62" w:type="dxa"/>
            </w:tcMar>
          </w:tcPr>
          <w:p w:rsidR="00000000" w:rsidP="00A46AB1">
            <w:pPr>
              <w:pStyle w:val="BodyText"/>
              <w:rPr>
                <w:lang w:val="en-NZ"/>
              </w:rPr>
            </w:pPr>
            <w:r w:rsidRPr="00A46AB1">
              <w:t xml:space="preserve">Competence in this unit must be assessed over a period of time in order to ensure consistency of performance over the Range Statement and contexts </w:t>
            </w:r>
            <w:r w:rsidRPr="00A46AB1">
              <w:t xml:space="preserve">applicable to the work environment. </w:t>
            </w:r>
          </w:p>
        </w:tc>
      </w:tr>
      <w:tr w:rsidTr="00C75F0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46AB1">
            <w:pPr>
              <w:pStyle w:val="BodyText"/>
              <w:rPr>
                <w:lang w:val="en-NZ"/>
              </w:rPr>
            </w:pPr>
            <w:r w:rsidRPr="00A46AB1">
              <w:rPr>
                <w:rStyle w:val="SpecialBold"/>
              </w:rPr>
              <w:t>Delivery</w:t>
            </w:r>
            <w:r w:rsidRPr="00A46AB1">
              <w:t>/</w:t>
            </w:r>
            <w:r w:rsidRPr="00A46AB1">
              <w:rPr>
                <w:rStyle w:val="SpecialBold"/>
              </w:rPr>
              <w:t>assessment relationship to other units</w:t>
            </w:r>
            <w:r w:rsidRPr="00A46AB1">
              <w:t xml:space="preserve">: </w:t>
            </w:r>
          </w:p>
        </w:tc>
        <w:tc>
          <w:tcPr>
            <w:tcW w:w="4500" w:type="dxa"/>
            <w:tcBorders>
              <w:top w:val="nil"/>
              <w:left w:val="nil"/>
              <w:bottom w:val="nil"/>
              <w:right w:val="nil"/>
            </w:tcBorders>
            <w:tcMar>
              <w:top w:w="0" w:type="dxa"/>
              <w:left w:w="62" w:type="dxa"/>
              <w:bottom w:w="0" w:type="dxa"/>
              <w:right w:w="62" w:type="dxa"/>
            </w:tcMar>
          </w:tcPr>
          <w:p w:rsidR="00000000" w:rsidRPr="00A46AB1" w:rsidP="00A46AB1">
            <w:pPr>
              <w:pStyle w:val="BodyText"/>
            </w:pPr>
            <w:r w:rsidRPr="00A46AB1">
              <w:t>This unit may be assessed on its own or it may be assessed with other units that cover related skills and knowledge.</w:t>
            </w:r>
          </w:p>
          <w:p w:rsidR="00000000" w:rsidP="00A46AB1">
            <w:pPr>
              <w:pStyle w:val="BodyText"/>
              <w:rPr>
                <w:lang w:val="en-NZ"/>
              </w:rPr>
            </w:pPr>
            <w:r w:rsidRPr="00A46AB1">
              <w:t xml:space="preserve">Evidence is most relevant when provided through an </w:t>
            </w:r>
            <w:r w:rsidRPr="00A46AB1">
              <w:t xml:space="preserve">integrated activity which combines the elements of competency for the unit, or a cluster of units of competency. </w:t>
            </w:r>
          </w:p>
        </w:tc>
      </w:tr>
      <w:tr w:rsidTr="00C75F0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A46AB1">
            <w:pPr>
              <w:pStyle w:val="BodyText"/>
              <w:rPr>
                <w:lang w:val="en-NZ"/>
              </w:rPr>
            </w:pPr>
            <w:r w:rsidRPr="00A46AB1">
              <w:rPr>
                <w:rStyle w:val="SpecialBold"/>
              </w:rPr>
              <w:t>Assessment requirements</w:t>
            </w:r>
          </w:p>
        </w:tc>
      </w:tr>
      <w:tr w:rsidTr="00C75F0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46AB1">
            <w:pPr>
              <w:pStyle w:val="BodyText"/>
              <w:rPr>
                <w:lang w:val="en-NZ"/>
              </w:rPr>
            </w:pPr>
            <w:r w:rsidRPr="00A46AB1">
              <w:rPr>
                <w:rStyle w:val="SpecialBold"/>
              </w:rPr>
              <w:t>Method of assessment</w:t>
            </w:r>
            <w:r w:rsidRPr="00A46AB1">
              <w:t xml:space="preserve">: </w:t>
            </w:r>
          </w:p>
        </w:tc>
        <w:tc>
          <w:tcPr>
            <w:tcW w:w="4500" w:type="dxa"/>
            <w:tcBorders>
              <w:top w:val="nil"/>
              <w:left w:val="nil"/>
              <w:bottom w:val="nil"/>
              <w:right w:val="nil"/>
            </w:tcBorders>
            <w:tcMar>
              <w:top w:w="0" w:type="dxa"/>
              <w:left w:w="62" w:type="dxa"/>
              <w:bottom w:w="0" w:type="dxa"/>
              <w:right w:w="62" w:type="dxa"/>
            </w:tcMar>
          </w:tcPr>
          <w:p w:rsidR="00000000" w:rsidP="00A46AB1">
            <w:pPr>
              <w:pStyle w:val="BodyText"/>
              <w:rPr>
                <w:lang w:val="en-NZ"/>
              </w:rPr>
            </w:pPr>
            <w:r w:rsidRPr="00A46AB1">
              <w:t xml:space="preserve">For valid and reliable assessment of this unit, evidence should be gathered through a range </w:t>
            </w:r>
            <w:r w:rsidRPr="00A46AB1">
              <w:t xml:space="preserve">of methods to indicate consistent performance. </w:t>
            </w:r>
          </w:p>
        </w:tc>
      </w:tr>
      <w:tr w:rsidTr="00C75F0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A46AB1">
            <w:pPr>
              <w:pStyle w:val="BodyText"/>
              <w:rPr>
                <w:lang w:val="en-NZ"/>
              </w:rPr>
            </w:pPr>
            <w:r w:rsidRPr="00A46AB1">
              <w:t xml:space="preserve">Assessment of this unit of competence will usually include observation of processes and procedures, oral and/or written questioning on underpinning knowledge and skills and other methods as required. </w:t>
            </w:r>
          </w:p>
        </w:tc>
      </w:tr>
      <w:tr w:rsidTr="00C75F0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46AB1">
            <w:pPr>
              <w:pStyle w:val="BodyText"/>
              <w:rPr>
                <w:lang w:val="en-NZ"/>
              </w:rPr>
            </w:pPr>
            <w:r w:rsidRPr="00A46AB1">
              <w:rPr>
                <w:rStyle w:val="SpecialBold"/>
              </w:rPr>
              <w:t>Context of assessment</w:t>
            </w:r>
            <w:r w:rsidRPr="00A46AB1">
              <w:t xml:space="preserve">: </w:t>
            </w:r>
          </w:p>
        </w:tc>
        <w:tc>
          <w:tcPr>
            <w:tcW w:w="4500" w:type="dxa"/>
            <w:tcBorders>
              <w:top w:val="nil"/>
              <w:left w:val="nil"/>
              <w:bottom w:val="nil"/>
              <w:right w:val="nil"/>
            </w:tcBorders>
            <w:tcMar>
              <w:top w:w="0" w:type="dxa"/>
              <w:left w:w="62" w:type="dxa"/>
              <w:bottom w:w="0" w:type="dxa"/>
              <w:right w:w="62" w:type="dxa"/>
            </w:tcMar>
          </w:tcPr>
          <w:p w:rsidR="00000000" w:rsidP="00A46AB1">
            <w:pPr>
              <w:pStyle w:val="BodyText"/>
              <w:rPr>
                <w:lang w:val="en-NZ"/>
              </w:rPr>
            </w:pPr>
            <w:r w:rsidRPr="00A46AB1">
              <w:t xml:space="preserve">This unit may be assessed at work, in a simulated work environment or a combination of these two approaches. </w:t>
            </w:r>
          </w:p>
        </w:tc>
      </w:tr>
      <w:tr w:rsidTr="00C75F0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46AB1">
            <w:pPr>
              <w:pStyle w:val="BodyText"/>
              <w:rPr>
                <w:lang w:val="en-NZ"/>
              </w:rPr>
            </w:pPr>
            <w:r w:rsidRPr="00A46AB1">
              <w:rPr>
                <w:rStyle w:val="SpecialBold"/>
              </w:rPr>
              <w:t>Resources required for assessment</w:t>
            </w:r>
            <w:r w:rsidRPr="00A46AB1">
              <w:t xml:space="preserve">: </w:t>
            </w:r>
          </w:p>
        </w:tc>
        <w:tc>
          <w:tcPr>
            <w:tcW w:w="4500" w:type="dxa"/>
            <w:tcBorders>
              <w:top w:val="nil"/>
              <w:left w:val="nil"/>
              <w:bottom w:val="nil"/>
              <w:right w:val="nil"/>
            </w:tcBorders>
            <w:tcMar>
              <w:top w:w="0" w:type="dxa"/>
              <w:left w:w="62" w:type="dxa"/>
              <w:bottom w:w="0" w:type="dxa"/>
              <w:right w:w="62" w:type="dxa"/>
            </w:tcMar>
          </w:tcPr>
          <w:p w:rsidR="00000000" w:rsidRPr="00A46AB1" w:rsidP="00A46AB1">
            <w:pPr>
              <w:pStyle w:val="BodyText"/>
            </w:pPr>
            <w:r w:rsidRPr="00A46AB1">
              <w:t>Assessment of this unit of competence requires access to workplace document, policies</w:t>
            </w:r>
            <w:r w:rsidRPr="00A46AB1">
              <w:t xml:space="preserve"> and procedures, computers and other office equipment. </w:t>
            </w:r>
          </w:p>
        </w:tc>
      </w:tr>
    </w:tbl>
    <w:p w:rsidR="00000000" w:rsidRPr="00A46AB1" w:rsidP="00A46AB1">
      <w:pPr>
        <w:pStyle w:val="BodyText"/>
      </w:pPr>
    </w:p>
    <w:p w:rsidR="00000000" w:rsidRPr="00A46AB1" w:rsidP="00A46AB1">
      <w:pPr>
        <w:pStyle w:val="AllowPageBreak"/>
      </w:pPr>
    </w:p>
    <w:p w:rsidR="00000000" w:rsidRPr="00A46AB1" w:rsidP="00A46AB1">
      <w:pPr>
        <w:pStyle w:val="Heading1"/>
      </w:pPr>
      <w:bookmarkStart w:id="11" w:name="O_318567"/>
      <w:bookmarkEnd w:id="11"/>
      <w:r w:rsidRPr="00A46AB1">
        <w:t>Range Statement</w:t>
      </w:r>
    </w:p>
    <w:tbl>
      <w:tblPr>
        <w:tblW w:w="0" w:type="auto"/>
        <w:tblLayout w:type="fixed"/>
        <w:tblCellMar>
          <w:left w:w="62" w:type="dxa"/>
          <w:right w:w="62" w:type="dxa"/>
        </w:tblCellMar>
        <w:tblLook w:val="0000"/>
      </w:tblPr>
      <w:tblGrid>
        <w:gridCol w:w="4500"/>
        <w:gridCol w:w="4500"/>
      </w:tblGrid>
      <w:tr w:rsidTr="00C75F0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A46AB1">
            <w:pPr>
              <w:pStyle w:val="BodyText"/>
              <w:rPr>
                <w:lang w:val="en-NZ"/>
              </w:rPr>
            </w:pPr>
          </w:p>
        </w:tc>
      </w:tr>
      <w:tr w:rsidTr="00C75F0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A46AB1" w:rsidP="00A46AB1">
            <w:pPr>
              <w:pStyle w:val="BodyText"/>
            </w:pPr>
            <w:r w:rsidRPr="00A46AB1">
              <w:t>The Range Statement relates to the unit of competency as a whole. It allows for different work environments and situations that will affect performance.</w:t>
            </w:r>
          </w:p>
          <w:p w:rsidR="00000000" w:rsidP="00A46AB1">
            <w:pPr>
              <w:pStyle w:val="BodyText"/>
              <w:rPr>
                <w:lang w:val="en-NZ"/>
              </w:rPr>
            </w:pPr>
            <w:r w:rsidRPr="00A46AB1">
              <w:t xml:space="preserve">The following variables may be present with training and assessment depending on the work situation, needs of the candidate, accessibility of the item, and local industry and regional contexts. If </w:t>
            </w:r>
            <w:r w:rsidRPr="00A46AB1">
              <w:rPr>
                <w:rStyle w:val="SpecialBold"/>
              </w:rPr>
              <w:t>bold italicised</w:t>
            </w:r>
            <w:r w:rsidRPr="00A46AB1">
              <w:t xml:space="preserve"> text is shown in Performance Criteria, deta</w:t>
            </w:r>
            <w:r w:rsidRPr="00A46AB1">
              <w:t xml:space="preserve">ils of the text are provided in the Range Statement. </w:t>
            </w:r>
          </w:p>
        </w:tc>
      </w:tr>
      <w:tr w:rsidTr="00C75F0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46AB1">
            <w:pPr>
              <w:pStyle w:val="BodyText"/>
              <w:rPr>
                <w:lang w:val="en-NZ"/>
              </w:rPr>
            </w:pPr>
            <w:r w:rsidRPr="00A46AB1">
              <w:rPr>
                <w:rStyle w:val="SpecialBold"/>
              </w:rPr>
              <w:t>Communication and interpersonal skills</w:t>
            </w:r>
            <w:r w:rsidRPr="00A46AB1">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A46AB1" w:rsidP="00A46AB1">
            <w:pPr>
              <w:pStyle w:val="BodyText"/>
            </w:pPr>
            <w:r w:rsidRPr="00A46AB1">
              <w:t>listening and questioning techniques</w:t>
            </w:r>
          </w:p>
          <w:p w:rsidR="00000000" w:rsidRPr="00A46AB1" w:rsidP="00A46AB1">
            <w:pPr>
              <w:pStyle w:val="BodyText"/>
            </w:pPr>
            <w:r w:rsidRPr="00A46AB1">
              <w:t>establishing rapport</w:t>
            </w:r>
          </w:p>
          <w:p w:rsidR="00000000" w:rsidRPr="00A46AB1" w:rsidP="00A46AB1">
            <w:pPr>
              <w:pStyle w:val="BodyText"/>
            </w:pPr>
            <w:r w:rsidRPr="00A46AB1">
              <w:t>remembering customer details such as name and special interests</w:t>
            </w:r>
          </w:p>
          <w:p w:rsidR="00000000" w:rsidP="00A46AB1">
            <w:pPr>
              <w:pStyle w:val="BodyText"/>
              <w:rPr>
                <w:lang w:val="en-NZ"/>
              </w:rPr>
            </w:pPr>
            <w:r w:rsidRPr="00A46AB1">
              <w:t>empathising with customer</w:t>
            </w:r>
            <w:r w:rsidRPr="00A46AB1">
              <w:t xml:space="preserve">s needs </w:t>
            </w:r>
          </w:p>
        </w:tc>
      </w:tr>
      <w:tr w:rsidTr="00C75F0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46AB1">
            <w:pPr>
              <w:pStyle w:val="BodyText"/>
              <w:rPr>
                <w:lang w:val="en-NZ"/>
              </w:rPr>
            </w:pPr>
            <w:r w:rsidRPr="00A46AB1">
              <w:rPr>
                <w:rStyle w:val="SpecialBold"/>
              </w:rPr>
              <w:t>Customer needs</w:t>
            </w:r>
            <w:r w:rsidRPr="00A46AB1">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A46AB1" w:rsidP="00A46AB1">
            <w:pPr>
              <w:pStyle w:val="BodyText"/>
            </w:pPr>
            <w:r w:rsidRPr="00A46AB1">
              <w:t>personal details and financial, insurance, banking or other financial services or products</w:t>
            </w:r>
          </w:p>
          <w:p w:rsidR="00000000" w:rsidP="00A46AB1">
            <w:pPr>
              <w:pStyle w:val="BodyText"/>
              <w:rPr>
                <w:lang w:val="en-NZ"/>
              </w:rPr>
            </w:pPr>
            <w:r w:rsidRPr="00A46AB1">
              <w:t xml:space="preserve">customer needs also include the special needs of people from different cultural backgrounds, aged and those with a disability </w:t>
            </w:r>
          </w:p>
        </w:tc>
      </w:tr>
      <w:tr w:rsidTr="00C75F0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46AB1">
            <w:pPr>
              <w:pStyle w:val="BodyText"/>
              <w:rPr>
                <w:lang w:val="en-NZ"/>
              </w:rPr>
            </w:pPr>
            <w:r w:rsidRPr="00A46AB1">
              <w:rPr>
                <w:rStyle w:val="SpecialBold"/>
              </w:rPr>
              <w:t>Organisations products and services</w:t>
            </w:r>
            <w:r w:rsidRPr="00A46AB1">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A46AB1" w:rsidP="00A46AB1">
            <w:pPr>
              <w:pStyle w:val="BodyText"/>
            </w:pPr>
            <w:r w:rsidRPr="00A46AB1">
              <w:t>products and services includes those products and services provided by the organisation such as savings, investment, loans, travel, superannuation, insurance and other services</w:t>
            </w:r>
          </w:p>
          <w:p w:rsidR="00000000" w:rsidRPr="00A46AB1" w:rsidP="00A46AB1">
            <w:pPr>
              <w:pStyle w:val="BodyText"/>
            </w:pPr>
            <w:r w:rsidRPr="00A46AB1">
              <w:t>organisation's vision and g</w:t>
            </w:r>
            <w:r w:rsidRPr="00A46AB1">
              <w:t xml:space="preserve">oals refers to the relationship between the selling and cross-selling of products and services and the extent to which these accord with the vision and goals of the organisation. Efforts to sell/cross-sell products further short and long term goals of the </w:t>
            </w:r>
            <w:r w:rsidRPr="00A46AB1">
              <w:t>organisation</w:t>
            </w:r>
          </w:p>
          <w:p w:rsidR="00000000" w:rsidP="00A46AB1">
            <w:pPr>
              <w:pStyle w:val="BodyText"/>
              <w:rPr>
                <w:lang w:val="en-NZ"/>
              </w:rPr>
            </w:pPr>
            <w:r w:rsidRPr="00A46AB1">
              <w:t xml:space="preserve">product knowledge includes knowledge of the range of products as well as the features of each, such as interest rates, term, special packages </w:t>
            </w:r>
          </w:p>
        </w:tc>
      </w:tr>
      <w:tr w:rsidTr="00C75F0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46AB1">
            <w:pPr>
              <w:pStyle w:val="BodyText"/>
              <w:rPr>
                <w:lang w:val="en-NZ"/>
              </w:rPr>
            </w:pPr>
            <w:r w:rsidRPr="00A46AB1">
              <w:rPr>
                <w:rStyle w:val="SpecialBold"/>
              </w:rPr>
              <w:t>Legislation</w:t>
            </w:r>
            <w:r w:rsidRPr="00A46AB1">
              <w:t xml:space="preserve">, </w:t>
            </w:r>
            <w:r w:rsidRPr="00A46AB1">
              <w:rPr>
                <w:rStyle w:val="SpecialBold"/>
              </w:rPr>
              <w:t>regulations</w:t>
            </w:r>
            <w:r w:rsidRPr="00A46AB1">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A46AB1" w:rsidP="00A46AB1">
            <w:pPr>
              <w:pStyle w:val="BodyText"/>
            </w:pPr>
            <w:r w:rsidRPr="00A46AB1">
              <w:t xml:space="preserve">Consumer    </w:t>
            </w:r>
          </w:p>
          <w:p w:rsidR="00000000" w:rsidRPr="00A46AB1" w:rsidP="00A46AB1">
            <w:pPr>
              <w:pStyle w:val="BodyText"/>
            </w:pPr>
            <w:r w:rsidRPr="00A46AB1">
              <w:t>Consumer Credit Code</w:t>
            </w:r>
          </w:p>
          <w:p w:rsidR="00000000" w:rsidRPr="00A46AB1" w:rsidP="00A46AB1">
            <w:pPr>
              <w:pStyle w:val="BodyText"/>
            </w:pPr>
            <w:r w:rsidRPr="00A46AB1">
              <w:t>Privacy Act</w:t>
            </w:r>
          </w:p>
          <w:p w:rsidR="00000000" w:rsidRPr="00A46AB1" w:rsidP="00A46AB1">
            <w:pPr>
              <w:pStyle w:val="BodyText"/>
            </w:pPr>
            <w:r w:rsidRPr="00A46AB1">
              <w:t>Secrecy Laws</w:t>
            </w:r>
          </w:p>
          <w:p w:rsidR="00000000" w:rsidRPr="00A46AB1" w:rsidP="00A46AB1">
            <w:pPr>
              <w:pStyle w:val="BodyText"/>
            </w:pPr>
            <w:r w:rsidRPr="00A46AB1">
              <w:t>codes of practice</w:t>
            </w:r>
          </w:p>
          <w:p w:rsidR="00000000" w:rsidRPr="00A46AB1" w:rsidP="00A46AB1">
            <w:pPr>
              <w:pStyle w:val="BodyText"/>
            </w:pPr>
            <w:r w:rsidRPr="00A46AB1">
              <w:t>Competition</w:t>
            </w:r>
          </w:p>
          <w:p w:rsidR="00000000" w:rsidP="00A46AB1">
            <w:pPr>
              <w:pStyle w:val="BodyText"/>
              <w:rPr>
                <w:lang w:val="en-NZ"/>
              </w:rPr>
            </w:pPr>
            <w:r w:rsidRPr="00A46AB1">
              <w:t xml:space="preserve">Australian Competition and Consumer Commission (ACCC) </w:t>
            </w:r>
          </w:p>
        </w:tc>
      </w:tr>
      <w:tr w:rsidTr="00C75F0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A46AB1" w:rsidP="00A46AB1">
            <w:pPr>
              <w:pStyle w:val="BodyText"/>
            </w:pPr>
            <w:r w:rsidRPr="00A46AB1">
              <w:t xml:space="preserve">Prudential    </w:t>
            </w:r>
          </w:p>
          <w:p w:rsidR="00000000" w:rsidRPr="00A46AB1" w:rsidP="00A46AB1">
            <w:pPr>
              <w:pStyle w:val="BodyText"/>
            </w:pPr>
            <w:r w:rsidRPr="00A46AB1">
              <w:t>Financial Institutions (FI) Code</w:t>
            </w:r>
          </w:p>
          <w:p w:rsidR="00000000" w:rsidRPr="00A46AB1" w:rsidP="00A46AB1">
            <w:pPr>
              <w:pStyle w:val="BodyText"/>
            </w:pPr>
            <w:r w:rsidRPr="00A46AB1">
              <w:t>Credit Reference Association of Australia (CRAA)</w:t>
            </w:r>
          </w:p>
          <w:p w:rsidR="00000000" w:rsidP="00A46AB1">
            <w:pPr>
              <w:pStyle w:val="BodyText"/>
              <w:rPr>
                <w:lang w:val="en-NZ"/>
              </w:rPr>
            </w:pPr>
            <w:r w:rsidRPr="00A46AB1">
              <w:t xml:space="preserve">Electronic Funds Transfer (EFT) Code of Conduct </w:t>
            </w:r>
          </w:p>
        </w:tc>
      </w:tr>
      <w:tr w:rsidTr="00C75F0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A46AB1" w:rsidP="00A46AB1">
            <w:pPr>
              <w:pStyle w:val="BodyText"/>
            </w:pPr>
            <w:r w:rsidRPr="00A46AB1">
              <w:t>Financial Transaction</w:t>
            </w:r>
            <w:r w:rsidRPr="00A46AB1">
              <w:t xml:space="preserve"> Reports Act</w:t>
            </w:r>
          </w:p>
          <w:p w:rsidR="00000000" w:rsidRPr="00A46AB1" w:rsidP="00A46AB1">
            <w:pPr>
              <w:pStyle w:val="BodyText"/>
            </w:pPr>
            <w:r w:rsidRPr="00A46AB1">
              <w:t>Cheques and Payment Orders Act</w:t>
            </w:r>
          </w:p>
          <w:p w:rsidR="00000000" w:rsidP="00A46AB1">
            <w:pPr>
              <w:pStyle w:val="BodyText"/>
              <w:rPr>
                <w:lang w:val="en-NZ"/>
              </w:rPr>
            </w:pPr>
            <w:r w:rsidRPr="00A46AB1">
              <w:t xml:space="preserve">Bills of Exchange Act </w:t>
            </w:r>
          </w:p>
        </w:tc>
      </w:tr>
      <w:tr w:rsidTr="00C75F0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46AB1">
            <w:pPr>
              <w:pStyle w:val="BodyText"/>
              <w:rPr>
                <w:lang w:val="en-NZ"/>
              </w:rPr>
            </w:pPr>
            <w:r w:rsidRPr="00A46AB1">
              <w:rPr>
                <w:rStyle w:val="SpecialBold"/>
              </w:rPr>
              <w:t>Documentation</w:t>
            </w:r>
            <w:r w:rsidRPr="00A46AB1">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A46AB1" w:rsidP="00A46AB1">
            <w:pPr>
              <w:pStyle w:val="BodyText"/>
            </w:pPr>
            <w:r w:rsidRPr="00A46AB1">
              <w:t xml:space="preserve">application forms for opening of accounts for products and services </w:t>
            </w:r>
          </w:p>
        </w:tc>
      </w:tr>
    </w:tbl>
    <w:p w:rsidR="00000000" w:rsidRPr="00A46AB1" w:rsidP="00A46AB1">
      <w:pPr>
        <w:pStyle w:val="BodyText"/>
      </w:pPr>
    </w:p>
    <w:p w:rsidR="00000000" w:rsidRPr="00A46AB1" w:rsidP="00A46AB1">
      <w:pPr>
        <w:pStyle w:val="AllowPageBreak"/>
      </w:pPr>
    </w:p>
    <w:p w:rsidR="00000000" w:rsidRPr="00A46AB1" w:rsidP="00A46AB1">
      <w:pPr>
        <w:pStyle w:val="Heading1"/>
      </w:pPr>
      <w:bookmarkStart w:id="12" w:name="O_318566"/>
      <w:bookmarkEnd w:id="12"/>
      <w:r w:rsidRPr="00A46AB1">
        <w:t>Unit Sector(s)</w:t>
      </w:r>
    </w:p>
    <w:p w:rsidR="00000000" w:rsidRPr="00A46AB1" w:rsidP="00A46AB1">
      <w:pPr>
        <w:pStyle w:val="BodyText"/>
      </w:pPr>
      <w:r w:rsidRPr="00A46AB1">
        <w:t>Not applicable.</w:t>
      </w:r>
    </w:p>
    <w:p w:rsidR="00000000" w:rsidRPr="00A46AB1" w:rsidP="00A46AB1">
      <w:pPr>
        <w:pStyle w:val="AllowPageBreak"/>
      </w:pPr>
    </w:p>
    <w:p w:rsidR="00000000" w:rsidRPr="00A46AB1" w:rsidP="00A46AB1">
      <w:pPr>
        <w:pStyle w:val="Heading1"/>
      </w:pPr>
      <w:bookmarkStart w:id="13" w:name="O_318578"/>
      <w:bookmarkEnd w:id="13"/>
      <w:r w:rsidRPr="00A46AB1">
        <w:t>Relationship to other units</w:t>
      </w:r>
    </w:p>
    <w:p w:rsidR="00000000" w:rsidRPr="00A46AB1" w:rsidP="00A46AB1">
      <w:pPr>
        <w:pStyle w:val="BodyText"/>
      </w:pPr>
      <w:r w:rsidRPr="00A46AB1">
        <w:t>This unit replaces FNSICSAM301A.</w:t>
      </w:r>
    </w:p>
    <w:p w:rsidR="00000000" w:rsidRPr="00A46AB1" w:rsidP="00A46AB1">
      <w:pPr>
        <w:pStyle w:val="BodyText"/>
      </w:pPr>
      <w:r w:rsidRPr="00A46AB1">
        <w:t>This unit replaces FNSICSAM301A.</w:t>
      </w:r>
    </w:p>
    <w:p w:rsidR="00000000" w:rsidRPr="00A46AB1" w:rsidP="00A46AB1"/>
    <w:sectPr w:rsidSect="00A46AB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A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75F03" w:rsidP="00C75F0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A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F03" w:rsidP="00A46AB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75F03" w:rsidP="00A46AB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C75F03" w:rsidP="00A46AB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A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AB1" w:rsidRPr="00C75F03" w:rsidP="00C75F0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A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F03" w:rsidRPr="002D2AF8" w:rsidP="00A46AB1">
    <w:pPr>
      <w:pStyle w:val="Header"/>
      <w:framePr w:wrap="around"/>
    </w:pPr>
    <w:r>
      <w:fldChar w:fldCharType="begin"/>
    </w:r>
    <w:r>
      <w:instrText xml:space="preserve"> TITLE   \* MERGEFORMAT </w:instrText>
    </w:r>
    <w:r>
      <w:fldChar w:fldCharType="separate"/>
    </w:r>
    <w:r>
      <w:t>FNSICSAM301B Identify opportunities for cross selling products and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C75F03" w:rsidP="00A46A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6A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6AB1"/>
    <w:pPr>
      <w:spacing w:before="360" w:after="60"/>
      <w:outlineLvl w:val="0"/>
    </w:pPr>
    <w:rPr>
      <w:sz w:val="32"/>
    </w:rPr>
  </w:style>
  <w:style w:type="paragraph" w:styleId="Heading2">
    <w:name w:val="heading 2"/>
    <w:basedOn w:val="HeadingBase"/>
    <w:next w:val="BodyText"/>
    <w:link w:val="Heading2Char"/>
    <w:qFormat/>
    <w:rsid w:val="00A46AB1"/>
    <w:pPr>
      <w:keepLines/>
      <w:spacing w:before="240" w:after="120"/>
      <w:outlineLvl w:val="1"/>
    </w:pPr>
    <w:rPr>
      <w:sz w:val="28"/>
      <w:szCs w:val="40"/>
    </w:rPr>
  </w:style>
  <w:style w:type="paragraph" w:styleId="Heading3">
    <w:name w:val="heading 3"/>
    <w:basedOn w:val="HeadingBase"/>
    <w:next w:val="BodyText"/>
    <w:link w:val="Heading3Char"/>
    <w:qFormat/>
    <w:rsid w:val="00A46AB1"/>
    <w:pPr>
      <w:spacing w:before="180" w:after="120"/>
      <w:outlineLvl w:val="2"/>
    </w:pPr>
    <w:rPr>
      <w:spacing w:val="-10"/>
      <w:kern w:val="32"/>
    </w:rPr>
  </w:style>
  <w:style w:type="paragraph" w:styleId="Heading4">
    <w:name w:val="heading 4"/>
    <w:basedOn w:val="HeadingBase"/>
    <w:next w:val="BodyText"/>
    <w:link w:val="Heading4Char"/>
    <w:qFormat/>
    <w:rsid w:val="00A46AB1"/>
    <w:pPr>
      <w:spacing w:before="160" w:after="120"/>
      <w:outlineLvl w:val="3"/>
    </w:pPr>
    <w:rPr>
      <w:sz w:val="22"/>
    </w:rPr>
  </w:style>
  <w:style w:type="paragraph" w:styleId="Heading5">
    <w:name w:val="heading 5"/>
    <w:basedOn w:val="HeadingBase"/>
    <w:next w:val="Normal"/>
    <w:link w:val="Heading5Char"/>
    <w:qFormat/>
    <w:rsid w:val="00A46AB1"/>
    <w:pPr>
      <w:spacing w:before="80"/>
      <w:outlineLvl w:val="4"/>
    </w:pPr>
    <w:rPr>
      <w:color w:val="918585"/>
      <w:sz w:val="20"/>
    </w:rPr>
  </w:style>
  <w:style w:type="paragraph" w:styleId="Heading6">
    <w:name w:val="heading 6"/>
    <w:basedOn w:val="HeadingBase"/>
    <w:next w:val="Normal"/>
    <w:link w:val="Heading6Char"/>
    <w:qFormat/>
    <w:rsid w:val="00A46AB1"/>
    <w:pPr>
      <w:spacing w:before="60"/>
      <w:outlineLvl w:val="5"/>
    </w:pPr>
    <w:rPr>
      <w:color w:val="918585"/>
      <w:sz w:val="20"/>
    </w:rPr>
  </w:style>
  <w:style w:type="paragraph" w:styleId="Heading7">
    <w:name w:val="heading 7"/>
    <w:basedOn w:val="Normal"/>
    <w:next w:val="Normal"/>
    <w:link w:val="Heading7Char"/>
    <w:qFormat/>
    <w:rsid w:val="00A46AB1"/>
    <w:pPr>
      <w:ind w:left="720"/>
      <w:outlineLvl w:val="6"/>
    </w:pPr>
    <w:rPr>
      <w:i/>
    </w:rPr>
  </w:style>
  <w:style w:type="paragraph" w:styleId="Heading8">
    <w:name w:val="heading 8"/>
    <w:basedOn w:val="Normal"/>
    <w:next w:val="Normal"/>
    <w:link w:val="Heading8Char"/>
    <w:qFormat/>
    <w:rsid w:val="00A46AB1"/>
    <w:pPr>
      <w:ind w:left="720"/>
      <w:outlineLvl w:val="7"/>
    </w:pPr>
    <w:rPr>
      <w:i/>
    </w:rPr>
  </w:style>
  <w:style w:type="paragraph" w:styleId="Heading9">
    <w:name w:val="heading 9"/>
    <w:basedOn w:val="Normal"/>
    <w:next w:val="Normal"/>
    <w:link w:val="Heading9Char"/>
    <w:qFormat/>
    <w:rsid w:val="00A46AB1"/>
    <w:pPr>
      <w:ind w:left="720"/>
      <w:outlineLvl w:val="8"/>
    </w:pPr>
    <w:rPr>
      <w:i/>
    </w:rPr>
  </w:style>
  <w:style w:type="character" w:default="1" w:styleId="DefaultParagraphFont">
    <w:name w:val="Default Paragraph Font"/>
    <w:uiPriority w:val="1"/>
    <w:unhideWhenUsed/>
    <w:rsid w:val="00A46A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6AB1"/>
  </w:style>
  <w:style w:type="character" w:customStyle="1" w:styleId="Heading1Char">
    <w:name w:val="Heading 1 Char"/>
    <w:basedOn w:val="DefaultParagraphFont"/>
    <w:link w:val="Heading1"/>
    <w:rsid w:val="00A46AB1"/>
    <w:rPr>
      <w:rFonts w:ascii="Times New Roman" w:eastAsia="Times New Roman" w:hAnsi="Times New Roman" w:cs="Times New Roman"/>
      <w:b/>
      <w:sz w:val="32"/>
      <w:szCs w:val="20"/>
      <w:lang w:eastAsia="en-US"/>
    </w:rPr>
  </w:style>
  <w:style w:type="paragraph" w:styleId="BodyText">
    <w:name w:val="Body Text"/>
    <w:basedOn w:val="Normal"/>
    <w:link w:val="BodyTextChar"/>
    <w:rsid w:val="00A46AB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46AB1"/>
    <w:rPr>
      <w:rFonts w:ascii="Times New Roman" w:eastAsia="Times New Roman" w:hAnsi="Times New Roman" w:cs="Times New Roman"/>
      <w:sz w:val="24"/>
      <w:lang w:eastAsia="en-US"/>
    </w:rPr>
  </w:style>
  <w:style w:type="paragraph" w:styleId="Footer">
    <w:name w:val="footer"/>
    <w:basedOn w:val="Normal"/>
    <w:link w:val="FooterChar"/>
    <w:rsid w:val="00A46A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6AB1"/>
    <w:rPr>
      <w:rFonts w:ascii="Times New Roman" w:eastAsia="Times New Roman" w:hAnsi="Times New Roman" w:cs="Times New Roman"/>
      <w:sz w:val="16"/>
      <w:lang w:eastAsia="en-US"/>
    </w:rPr>
  </w:style>
  <w:style w:type="character" w:customStyle="1" w:styleId="SpecialBold">
    <w:name w:val="Special Bold"/>
    <w:basedOn w:val="DefaultParagraphFont"/>
    <w:rsid w:val="00A46AB1"/>
    <w:rPr>
      <w:b/>
      <w:spacing w:val="0"/>
    </w:rPr>
  </w:style>
  <w:style w:type="paragraph" w:customStyle="1" w:styleId="SuperHeading">
    <w:name w:val="SuperHeading"/>
    <w:basedOn w:val="Normal"/>
    <w:rsid w:val="00A46AB1"/>
    <w:pPr>
      <w:spacing w:before="240" w:after="120"/>
      <w:outlineLvl w:val="0"/>
    </w:pPr>
    <w:rPr>
      <w:rFonts w:ascii="Times New Roman" w:hAnsi="Times New Roman"/>
      <w:b/>
      <w:sz w:val="28"/>
    </w:rPr>
  </w:style>
  <w:style w:type="paragraph" w:customStyle="1" w:styleId="AllowPageBreak">
    <w:name w:val="AllowPageBreak"/>
    <w:rsid w:val="00A46AB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46A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6A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6A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6A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6A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6A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6A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6AB1"/>
    <w:rPr>
      <w:rFonts w:ascii="Courier New" w:eastAsia="Times New Roman" w:hAnsi="Courier New" w:cs="Times New Roman"/>
      <w:i/>
      <w:szCs w:val="20"/>
      <w:lang w:eastAsia="en-US"/>
    </w:rPr>
  </w:style>
  <w:style w:type="paragraph" w:customStyle="1" w:styleId="HeadingBase">
    <w:name w:val="Heading Base"/>
    <w:rsid w:val="00A46A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6AB1"/>
    <w:pPr>
      <w:tabs>
        <w:tab w:val="right" w:leader="dot" w:pos="9072"/>
      </w:tabs>
      <w:ind w:left="567"/>
    </w:pPr>
    <w:rPr>
      <w:szCs w:val="22"/>
    </w:rPr>
  </w:style>
  <w:style w:type="paragraph" w:customStyle="1" w:styleId="TOCBase">
    <w:name w:val="TOC Base"/>
    <w:rsid w:val="00A46A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6AB1"/>
    <w:pPr>
      <w:tabs>
        <w:tab w:val="right" w:leader="dot" w:pos="9072"/>
      </w:tabs>
      <w:spacing w:before="40" w:after="40"/>
      <w:ind w:left="284"/>
    </w:pPr>
    <w:rPr>
      <w:rFonts w:ascii="Times New Roman" w:hAnsi="Times New Roman"/>
    </w:rPr>
  </w:style>
  <w:style w:type="paragraph" w:styleId="TOC1">
    <w:name w:val="toc 1"/>
    <w:basedOn w:val="TOCBase"/>
    <w:next w:val="Normal"/>
    <w:rsid w:val="00A46AB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46AB1"/>
    <w:pPr>
      <w:spacing w:before="5040"/>
      <w:jc w:val="center"/>
    </w:pPr>
    <w:rPr>
      <w:sz w:val="48"/>
      <w:szCs w:val="72"/>
      <w:lang w:val="en-US"/>
    </w:rPr>
  </w:style>
  <w:style w:type="character" w:customStyle="1" w:styleId="TitleChar">
    <w:name w:val="Title Char"/>
    <w:basedOn w:val="DefaultParagraphFont"/>
    <w:link w:val="Title"/>
    <w:rsid w:val="00A46A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6AB1"/>
    <w:pPr>
      <w:tabs>
        <w:tab w:val="left" w:pos="3600"/>
        <w:tab w:val="left" w:pos="3958"/>
      </w:tabs>
    </w:pPr>
  </w:style>
  <w:style w:type="paragraph" w:styleId="List">
    <w:name w:val="List"/>
    <w:basedOn w:val="BodyText"/>
    <w:next w:val="BodyText"/>
    <w:rsid w:val="00A46AB1"/>
    <w:pPr>
      <w:tabs>
        <w:tab w:val="left" w:pos="340"/>
      </w:tabs>
      <w:spacing w:before="60" w:after="60"/>
      <w:ind w:left="340" w:hanging="340"/>
    </w:pPr>
  </w:style>
  <w:style w:type="paragraph" w:styleId="ListBullet">
    <w:name w:val="List Bullet"/>
    <w:basedOn w:val="List"/>
    <w:rsid w:val="00A46AB1"/>
    <w:pPr>
      <w:numPr>
        <w:numId w:val="11"/>
      </w:numPr>
      <w:tabs>
        <w:tab w:val="clear" w:pos="340"/>
      </w:tabs>
      <w:spacing w:before="40" w:after="40"/>
    </w:pPr>
  </w:style>
  <w:style w:type="paragraph" w:customStyle="1" w:styleId="Note">
    <w:name w:val="Note"/>
    <w:basedOn w:val="BodyText"/>
    <w:rsid w:val="00A46A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6AB1"/>
    <w:pPr>
      <w:framePr w:wrap="auto" w:hAnchor="text" w:y="6049"/>
    </w:pPr>
    <w:rPr>
      <w:color w:val="000000"/>
      <w:sz w:val="40"/>
    </w:rPr>
  </w:style>
  <w:style w:type="paragraph" w:customStyle="1" w:styleId="TOCTitle">
    <w:name w:val="TOCTitle"/>
    <w:basedOn w:val="Heading1"/>
    <w:rsid w:val="00A46AB1"/>
    <w:pPr>
      <w:spacing w:after="240"/>
      <w:jc w:val="center"/>
      <w:outlineLvl w:val="9"/>
    </w:pPr>
    <w:rPr>
      <w:caps/>
    </w:rPr>
  </w:style>
  <w:style w:type="paragraph" w:customStyle="1" w:styleId="Version">
    <w:name w:val="Version"/>
    <w:rsid w:val="00A46AB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46AB1"/>
    <w:pPr>
      <w:numPr>
        <w:numId w:val="12"/>
      </w:numPr>
      <w:tabs>
        <w:tab w:val="clear" w:pos="680"/>
      </w:tabs>
    </w:pPr>
  </w:style>
  <w:style w:type="paragraph" w:styleId="Index1">
    <w:name w:val="index 1"/>
    <w:basedOn w:val="Normal"/>
    <w:next w:val="Normal"/>
    <w:semiHidden/>
    <w:rsid w:val="00A46AB1"/>
    <w:pPr>
      <w:keepNext w:val="0"/>
      <w:tabs>
        <w:tab w:val="right" w:pos="4176"/>
      </w:tabs>
      <w:ind w:left="198" w:hanging="198"/>
    </w:pPr>
    <w:rPr>
      <w:rFonts w:ascii="Garamond" w:hAnsi="Garamond"/>
    </w:rPr>
  </w:style>
  <w:style w:type="paragraph" w:styleId="IndexHeading">
    <w:name w:val="index heading"/>
    <w:basedOn w:val="Normal"/>
    <w:next w:val="Index1"/>
    <w:semiHidden/>
    <w:rsid w:val="00A46AB1"/>
    <w:pPr>
      <w:spacing w:before="120" w:after="120"/>
    </w:pPr>
    <w:rPr>
      <w:rFonts w:ascii="Arial" w:hAnsi="Arial"/>
      <w:b/>
      <w:color w:val="918585"/>
      <w:sz w:val="24"/>
    </w:rPr>
  </w:style>
  <w:style w:type="paragraph" w:styleId="Header">
    <w:name w:val="header"/>
    <w:basedOn w:val="Normal"/>
    <w:link w:val="HeaderChar"/>
    <w:rsid w:val="00A46A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6AB1"/>
    <w:rPr>
      <w:rFonts w:ascii="Times New Roman" w:eastAsia="Times New Roman" w:hAnsi="Times New Roman" w:cs="Times New Roman"/>
      <w:sz w:val="16"/>
      <w:szCs w:val="20"/>
      <w:lang w:val="en-GB" w:eastAsia="en-US"/>
    </w:rPr>
  </w:style>
  <w:style w:type="paragraph" w:customStyle="1" w:styleId="Chapter">
    <w:name w:val="Chapter"/>
    <w:basedOn w:val="Normal"/>
    <w:rsid w:val="00A46AB1"/>
    <w:pPr>
      <w:spacing w:before="240"/>
    </w:pPr>
    <w:rPr>
      <w:rFonts w:ascii="Times New Roman" w:hAnsi="Times New Roman"/>
      <w:smallCaps/>
      <w:spacing w:val="80"/>
      <w:sz w:val="28"/>
    </w:rPr>
  </w:style>
  <w:style w:type="paragraph" w:customStyle="1" w:styleId="InChapter">
    <w:name w:val="InChapter"/>
    <w:basedOn w:val="Heading3"/>
    <w:rsid w:val="00A46AB1"/>
    <w:pPr>
      <w:spacing w:after="240"/>
      <w:outlineLvl w:val="9"/>
    </w:pPr>
    <w:rPr>
      <w:noProof/>
    </w:rPr>
  </w:style>
  <w:style w:type="paragraph" w:styleId="Index2">
    <w:name w:val="index 2"/>
    <w:basedOn w:val="Normal"/>
    <w:next w:val="Normal"/>
    <w:semiHidden/>
    <w:rsid w:val="00A46AB1"/>
    <w:pPr>
      <w:tabs>
        <w:tab w:val="right" w:pos="4176"/>
      </w:tabs>
      <w:ind w:left="568" w:hanging="284"/>
    </w:pPr>
    <w:rPr>
      <w:rFonts w:ascii="Garamond" w:hAnsi="Garamond"/>
    </w:rPr>
  </w:style>
  <w:style w:type="paragraph" w:customStyle="1" w:styleId="Byline">
    <w:name w:val="Byline"/>
    <w:rsid w:val="00A46A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6AB1"/>
    <w:pPr>
      <w:tabs>
        <w:tab w:val="clear" w:pos="3600"/>
        <w:tab w:val="clear" w:pos="3958"/>
      </w:tabs>
      <w:jc w:val="right"/>
    </w:pPr>
  </w:style>
  <w:style w:type="character" w:styleId="Emphasis">
    <w:name w:val="Emphasis"/>
    <w:basedOn w:val="DefaultParagraphFont"/>
    <w:qFormat/>
    <w:rsid w:val="00A46AB1"/>
    <w:rPr>
      <w:i/>
    </w:rPr>
  </w:style>
  <w:style w:type="paragraph" w:styleId="Caption">
    <w:name w:val="caption"/>
    <w:basedOn w:val="BodyText"/>
    <w:next w:val="Normal"/>
    <w:qFormat/>
    <w:rsid w:val="00A46AB1"/>
    <w:pPr>
      <w:framePr w:w="2268" w:hSpace="181" w:vSpace="181" w:wrap="around" w:vAnchor="text" w:hAnchor="page" w:x="1135" w:y="285" w:anchorLock="1"/>
    </w:pPr>
    <w:rPr>
      <w:i/>
    </w:rPr>
  </w:style>
  <w:style w:type="paragraph" w:customStyle="1" w:styleId="MiniTOCTitle">
    <w:name w:val="MiniTOCTitle"/>
    <w:basedOn w:val="Heading4"/>
    <w:rsid w:val="00A46AB1"/>
    <w:pPr>
      <w:spacing w:before="240"/>
      <w:outlineLvl w:val="9"/>
    </w:pPr>
    <w:rPr>
      <w:noProof/>
      <w:sz w:val="24"/>
    </w:rPr>
  </w:style>
  <w:style w:type="paragraph" w:customStyle="1" w:styleId="MiniTOCItem">
    <w:name w:val="MiniTOCItem"/>
    <w:basedOn w:val="ListBullet"/>
    <w:rsid w:val="00A46AB1"/>
    <w:pPr>
      <w:numPr>
        <w:numId w:val="0"/>
      </w:numPr>
      <w:tabs>
        <w:tab w:val="right" w:leader="dot" w:pos="6521"/>
      </w:tabs>
      <w:spacing w:before="0" w:after="0"/>
    </w:pPr>
  </w:style>
  <w:style w:type="paragraph" w:customStyle="1" w:styleId="TOFTitle">
    <w:name w:val="TOFTitle"/>
    <w:basedOn w:val="TOCTitle"/>
    <w:rsid w:val="00A46AB1"/>
  </w:style>
  <w:style w:type="paragraph" w:styleId="TableofFigures">
    <w:name w:val="table of figures"/>
    <w:basedOn w:val="Normal"/>
    <w:next w:val="Normal"/>
    <w:semiHidden/>
    <w:rsid w:val="00A46AB1"/>
    <w:pPr>
      <w:tabs>
        <w:tab w:val="right" w:leader="dot" w:pos="9072"/>
      </w:tabs>
      <w:ind w:left="970" w:hanging="403"/>
    </w:pPr>
    <w:rPr>
      <w:rFonts w:ascii="Times New Roman" w:hAnsi="Times New Roman"/>
      <w:b/>
    </w:rPr>
  </w:style>
  <w:style w:type="paragraph" w:styleId="ListNumber">
    <w:name w:val="List Number"/>
    <w:basedOn w:val="List"/>
    <w:rsid w:val="00A46AB1"/>
    <w:pPr>
      <w:numPr>
        <w:numId w:val="9"/>
      </w:numPr>
    </w:pPr>
  </w:style>
  <w:style w:type="character" w:customStyle="1" w:styleId="WingdingSymbols">
    <w:name w:val="Wingding Symbols"/>
    <w:rsid w:val="00A46AB1"/>
    <w:rPr>
      <w:rFonts w:ascii="Wingdings" w:hAnsi="Wingdings"/>
    </w:rPr>
  </w:style>
  <w:style w:type="paragraph" w:customStyle="1" w:styleId="TableHeading">
    <w:name w:val="Table Heading"/>
    <w:basedOn w:val="HeadingBase"/>
    <w:rsid w:val="00A46AB1"/>
    <w:pPr>
      <w:keepLines/>
      <w:pBdr>
        <w:bottom w:val="single" w:sz="6" w:space="1" w:color="918585"/>
      </w:pBdr>
      <w:spacing w:before="240"/>
    </w:pPr>
  </w:style>
  <w:style w:type="character" w:customStyle="1" w:styleId="HotSpot">
    <w:name w:val="HotSpot"/>
    <w:rsid w:val="00A46AB1"/>
    <w:rPr>
      <w:color w:val="0033CC"/>
      <w:u w:val="none"/>
    </w:rPr>
  </w:style>
  <w:style w:type="paragraph" w:customStyle="1" w:styleId="BodyTextRight">
    <w:name w:val="Body Text Right"/>
    <w:basedOn w:val="BodyText"/>
    <w:rsid w:val="00A46AB1"/>
    <w:pPr>
      <w:spacing w:before="0" w:after="0"/>
      <w:jc w:val="right"/>
    </w:pPr>
  </w:style>
  <w:style w:type="paragraph" w:styleId="Index3">
    <w:name w:val="index 3"/>
    <w:basedOn w:val="ListNumber2"/>
    <w:next w:val="Normal"/>
    <w:semiHidden/>
    <w:rsid w:val="00A46AB1"/>
    <w:pPr>
      <w:numPr>
        <w:numId w:val="0"/>
      </w:numPr>
      <w:tabs>
        <w:tab w:val="right" w:leader="dot" w:pos="4176"/>
      </w:tabs>
    </w:pPr>
  </w:style>
  <w:style w:type="paragraph" w:styleId="ListNumber2">
    <w:name w:val="List Number 2"/>
    <w:basedOn w:val="List2"/>
    <w:rsid w:val="00A46AB1"/>
    <w:pPr>
      <w:numPr>
        <w:numId w:val="8"/>
      </w:numPr>
      <w:tabs>
        <w:tab w:val="clear" w:pos="1060"/>
      </w:tabs>
    </w:pPr>
  </w:style>
  <w:style w:type="paragraph" w:customStyle="1" w:styleId="MarginNote">
    <w:name w:val="Margin Note"/>
    <w:basedOn w:val="BodyText"/>
    <w:rsid w:val="00A46A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6A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6A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6AB1"/>
    <w:rPr>
      <w:sz w:val="32"/>
    </w:rPr>
  </w:style>
  <w:style w:type="paragraph" w:customStyle="1" w:styleId="HeadingProcedure">
    <w:name w:val="Heading Procedure"/>
    <w:basedOn w:val="HeadingBase"/>
    <w:next w:val="Normal"/>
    <w:rsid w:val="00A46AB1"/>
    <w:pPr>
      <w:tabs>
        <w:tab w:val="left" w:pos="0"/>
      </w:tabs>
      <w:spacing w:before="120" w:after="60"/>
    </w:pPr>
    <w:rPr>
      <w:i/>
      <w:color w:val="918585"/>
      <w:sz w:val="22"/>
    </w:rPr>
  </w:style>
  <w:style w:type="paragraph" w:customStyle="1" w:styleId="TableBodyText">
    <w:name w:val="Table Body Text"/>
    <w:basedOn w:val="BodyText"/>
    <w:rsid w:val="00A46AB1"/>
    <w:pPr>
      <w:spacing w:before="60" w:after="60"/>
    </w:pPr>
  </w:style>
  <w:style w:type="paragraph" w:styleId="ListContinue">
    <w:name w:val="List Continue"/>
    <w:basedOn w:val="List"/>
    <w:rsid w:val="00A46AB1"/>
    <w:pPr>
      <w:ind w:firstLine="0"/>
    </w:pPr>
  </w:style>
  <w:style w:type="paragraph" w:customStyle="1" w:styleId="ListNote">
    <w:name w:val="List Note"/>
    <w:basedOn w:val="List"/>
    <w:rsid w:val="00A46AB1"/>
    <w:pPr>
      <w:pBdr>
        <w:top w:val="single" w:sz="6" w:space="2" w:color="918585"/>
        <w:bottom w:val="single" w:sz="6" w:space="2" w:color="918585"/>
      </w:pBdr>
      <w:tabs>
        <w:tab w:val="left" w:pos="1021"/>
      </w:tabs>
      <w:ind w:firstLine="0"/>
    </w:pPr>
  </w:style>
  <w:style w:type="paragraph" w:customStyle="1" w:styleId="Warning">
    <w:name w:val="Warning"/>
    <w:basedOn w:val="BodyText"/>
    <w:rsid w:val="00A46AB1"/>
    <w:pPr>
      <w:shd w:val="clear" w:color="auto" w:fill="D9D9D9"/>
      <w:tabs>
        <w:tab w:val="left" w:pos="992"/>
      </w:tabs>
      <w:ind w:left="119" w:right="119"/>
    </w:pPr>
    <w:rPr>
      <w:sz w:val="20"/>
    </w:rPr>
  </w:style>
  <w:style w:type="paragraph" w:customStyle="1" w:styleId="MarginIcons">
    <w:name w:val="Margin Icons"/>
    <w:basedOn w:val="BodyText"/>
    <w:rsid w:val="00A46A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6AB1"/>
    <w:rPr>
      <w:rFonts w:ascii="Courier New" w:hAnsi="Courier New"/>
    </w:rPr>
  </w:style>
  <w:style w:type="paragraph" w:customStyle="1" w:styleId="NoteBullet">
    <w:name w:val="Note Bullet"/>
    <w:basedOn w:val="Note"/>
    <w:rsid w:val="00A46AB1"/>
    <w:pPr>
      <w:tabs>
        <w:tab w:val="clear" w:pos="680"/>
      </w:tabs>
      <w:spacing w:before="60" w:after="60"/>
    </w:pPr>
  </w:style>
  <w:style w:type="paragraph" w:customStyle="1" w:styleId="SubHeading2">
    <w:name w:val="SubHeading2"/>
    <w:basedOn w:val="HeadingBase"/>
    <w:rsid w:val="00A46AB1"/>
    <w:pPr>
      <w:spacing w:before="240" w:after="60"/>
    </w:pPr>
    <w:rPr>
      <w:sz w:val="20"/>
    </w:rPr>
  </w:style>
  <w:style w:type="paragraph" w:customStyle="1" w:styleId="SubHeading1">
    <w:name w:val="SubHeading1"/>
    <w:basedOn w:val="HeadingBase"/>
    <w:rsid w:val="00A46AB1"/>
    <w:pPr>
      <w:spacing w:before="240" w:after="60"/>
    </w:pPr>
    <w:rPr>
      <w:color w:val="918585"/>
      <w:sz w:val="22"/>
    </w:rPr>
  </w:style>
  <w:style w:type="paragraph" w:customStyle="1" w:styleId="SideHeading">
    <w:name w:val="Side Heading"/>
    <w:basedOn w:val="HeadingBase"/>
    <w:rsid w:val="00A46A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6AB1"/>
    <w:pPr>
      <w:numPr>
        <w:numId w:val="10"/>
      </w:numPr>
    </w:pPr>
  </w:style>
  <w:style w:type="paragraph" w:styleId="PlainText">
    <w:name w:val="Plain Text"/>
    <w:basedOn w:val="Normal"/>
    <w:link w:val="PlainTextChar"/>
    <w:rsid w:val="00A46AB1"/>
    <w:rPr>
      <w:sz w:val="20"/>
    </w:rPr>
  </w:style>
  <w:style w:type="character" w:customStyle="1" w:styleId="PlainTextChar">
    <w:name w:val="Plain Text Char"/>
    <w:basedOn w:val="DefaultParagraphFont"/>
    <w:link w:val="PlainText"/>
    <w:rsid w:val="00A46AB1"/>
    <w:rPr>
      <w:rFonts w:ascii="Courier New" w:eastAsia="Times New Roman" w:hAnsi="Courier New" w:cs="Times New Roman"/>
      <w:sz w:val="20"/>
      <w:szCs w:val="20"/>
      <w:lang w:eastAsia="en-US"/>
    </w:rPr>
  </w:style>
  <w:style w:type="character" w:customStyle="1" w:styleId="MenuOption">
    <w:name w:val="Menu Option"/>
    <w:basedOn w:val="DefaultParagraphFont"/>
    <w:rsid w:val="00A46AB1"/>
    <w:rPr>
      <w:b/>
      <w:smallCaps/>
    </w:rPr>
  </w:style>
  <w:style w:type="paragraph" w:customStyle="1" w:styleId="TableListNumber">
    <w:name w:val="Table List Number"/>
    <w:basedOn w:val="ListNumber"/>
    <w:rsid w:val="00A46AB1"/>
    <w:pPr>
      <w:numPr>
        <w:numId w:val="0"/>
      </w:numPr>
    </w:pPr>
  </w:style>
  <w:style w:type="paragraph" w:styleId="TOC4">
    <w:name w:val="toc 4"/>
    <w:basedOn w:val="TOCBase"/>
    <w:next w:val="Normal"/>
    <w:semiHidden/>
    <w:rsid w:val="00A46AB1"/>
    <w:pPr>
      <w:tabs>
        <w:tab w:val="right" w:leader="dot" w:pos="9071"/>
      </w:tabs>
      <w:ind w:left="1701"/>
    </w:pPr>
  </w:style>
  <w:style w:type="paragraph" w:customStyle="1" w:styleId="ListAlpha">
    <w:name w:val="List Alpha"/>
    <w:basedOn w:val="List"/>
    <w:rsid w:val="00A46AB1"/>
    <w:pPr>
      <w:numPr>
        <w:numId w:val="7"/>
      </w:numPr>
    </w:pPr>
  </w:style>
  <w:style w:type="paragraph" w:customStyle="1" w:styleId="ListAlpha2">
    <w:name w:val="List Alpha 2"/>
    <w:basedOn w:val="List2"/>
    <w:rsid w:val="00A46AB1"/>
    <w:pPr>
      <w:numPr>
        <w:numId w:val="6"/>
      </w:numPr>
    </w:pPr>
  </w:style>
  <w:style w:type="paragraph" w:styleId="List2">
    <w:name w:val="List 2"/>
    <w:basedOn w:val="BodyText"/>
    <w:rsid w:val="00A46AB1"/>
    <w:pPr>
      <w:tabs>
        <w:tab w:val="left" w:pos="680"/>
      </w:tabs>
      <w:spacing w:before="60" w:after="60"/>
      <w:ind w:left="680" w:hanging="340"/>
    </w:pPr>
  </w:style>
  <w:style w:type="paragraph" w:styleId="List3">
    <w:name w:val="List 3"/>
    <w:basedOn w:val="BodyText"/>
    <w:rsid w:val="00A46AB1"/>
    <w:pPr>
      <w:tabs>
        <w:tab w:val="left" w:pos="1021"/>
      </w:tabs>
      <w:spacing w:before="60" w:after="60"/>
      <w:ind w:left="1020" w:hanging="340"/>
    </w:pPr>
  </w:style>
  <w:style w:type="paragraph" w:styleId="List4">
    <w:name w:val="List 4"/>
    <w:basedOn w:val="BodyText"/>
    <w:rsid w:val="00A46AB1"/>
    <w:pPr>
      <w:tabs>
        <w:tab w:val="left" w:pos="1361"/>
      </w:tabs>
      <w:spacing w:before="60" w:after="60"/>
      <w:ind w:left="1361" w:hanging="340"/>
    </w:pPr>
  </w:style>
  <w:style w:type="paragraph" w:styleId="List5">
    <w:name w:val="List 5"/>
    <w:basedOn w:val="BodyText"/>
    <w:rsid w:val="00A46AB1"/>
    <w:pPr>
      <w:tabs>
        <w:tab w:val="left" w:pos="1701"/>
      </w:tabs>
      <w:spacing w:before="60" w:after="60"/>
      <w:ind w:left="1701" w:hanging="340"/>
    </w:pPr>
  </w:style>
  <w:style w:type="paragraph" w:styleId="ListBullet3">
    <w:name w:val="List Bullet 3"/>
    <w:basedOn w:val="List3"/>
    <w:rsid w:val="00A46AB1"/>
    <w:pPr>
      <w:numPr>
        <w:numId w:val="13"/>
      </w:numPr>
      <w:tabs>
        <w:tab w:val="clear" w:pos="1021"/>
      </w:tabs>
      <w:ind w:left="1037" w:hanging="357"/>
    </w:pPr>
  </w:style>
  <w:style w:type="paragraph" w:styleId="ListBullet4">
    <w:name w:val="List Bullet 4"/>
    <w:basedOn w:val="List4"/>
    <w:rsid w:val="00A46AB1"/>
    <w:pPr>
      <w:numPr>
        <w:numId w:val="1"/>
      </w:numPr>
    </w:pPr>
  </w:style>
  <w:style w:type="paragraph" w:styleId="ListBullet5">
    <w:name w:val="List Bullet 5"/>
    <w:basedOn w:val="List5"/>
    <w:rsid w:val="00A46AB1"/>
    <w:pPr>
      <w:numPr>
        <w:numId w:val="2"/>
      </w:numPr>
    </w:pPr>
  </w:style>
  <w:style w:type="paragraph" w:styleId="ListContinue2">
    <w:name w:val="List Continue 2"/>
    <w:basedOn w:val="List2"/>
    <w:rsid w:val="00A46AB1"/>
    <w:pPr>
      <w:ind w:firstLine="0"/>
    </w:pPr>
  </w:style>
  <w:style w:type="paragraph" w:styleId="ListContinue3">
    <w:name w:val="List Continue 3"/>
    <w:basedOn w:val="List3"/>
    <w:rsid w:val="00A46AB1"/>
    <w:pPr>
      <w:ind w:left="1021" w:firstLine="0"/>
    </w:pPr>
  </w:style>
  <w:style w:type="paragraph" w:styleId="ListContinue4">
    <w:name w:val="List Continue 4"/>
    <w:basedOn w:val="List4"/>
    <w:rsid w:val="00A46AB1"/>
    <w:pPr>
      <w:ind w:firstLine="0"/>
    </w:pPr>
  </w:style>
  <w:style w:type="paragraph" w:styleId="ListContinue5">
    <w:name w:val="List Continue 5"/>
    <w:basedOn w:val="List5"/>
    <w:rsid w:val="00A46AB1"/>
    <w:pPr>
      <w:ind w:firstLine="0"/>
    </w:pPr>
  </w:style>
  <w:style w:type="paragraph" w:styleId="ListNumber3">
    <w:name w:val="List Number 3"/>
    <w:basedOn w:val="List3"/>
    <w:rsid w:val="00A46AB1"/>
    <w:pPr>
      <w:numPr>
        <w:numId w:val="3"/>
      </w:numPr>
    </w:pPr>
  </w:style>
  <w:style w:type="paragraph" w:styleId="ListNumber4">
    <w:name w:val="List Number 4"/>
    <w:basedOn w:val="List4"/>
    <w:rsid w:val="00A46AB1"/>
    <w:pPr>
      <w:numPr>
        <w:numId w:val="4"/>
      </w:numPr>
    </w:pPr>
  </w:style>
  <w:style w:type="paragraph" w:styleId="ListNumber5">
    <w:name w:val="List Number 5"/>
    <w:basedOn w:val="List5"/>
    <w:rsid w:val="00A46AB1"/>
    <w:pPr>
      <w:numPr>
        <w:numId w:val="5"/>
      </w:numPr>
    </w:pPr>
  </w:style>
  <w:style w:type="paragraph" w:styleId="BlockText">
    <w:name w:val="Block Text"/>
    <w:basedOn w:val="Normal"/>
    <w:rsid w:val="00A46AB1"/>
    <w:pPr>
      <w:spacing w:after="120"/>
      <w:ind w:left="1440" w:right="1440"/>
    </w:pPr>
  </w:style>
  <w:style w:type="character" w:customStyle="1" w:styleId="Subscript">
    <w:name w:val="Subscript"/>
    <w:basedOn w:val="DefaultParagraphFont"/>
    <w:rsid w:val="00A46AB1"/>
    <w:rPr>
      <w:sz w:val="16"/>
      <w:vertAlign w:val="subscript"/>
    </w:rPr>
  </w:style>
  <w:style w:type="character" w:customStyle="1" w:styleId="Superscript">
    <w:name w:val="Superscript"/>
    <w:basedOn w:val="DefaultParagraphFont"/>
    <w:rsid w:val="00A46AB1"/>
    <w:rPr>
      <w:sz w:val="16"/>
      <w:vertAlign w:val="superscript"/>
    </w:rPr>
  </w:style>
  <w:style w:type="character" w:customStyle="1" w:styleId="Symbols">
    <w:name w:val="Symbols"/>
    <w:basedOn w:val="DefaultParagraphFont"/>
    <w:rsid w:val="00A46AB1"/>
    <w:rPr>
      <w:rFonts w:ascii="Symbol" w:hAnsi="Symbol"/>
    </w:rPr>
  </w:style>
  <w:style w:type="character" w:customStyle="1" w:styleId="MenuOptions">
    <w:name w:val="Menu Options"/>
    <w:basedOn w:val="DefaultParagraphFont"/>
    <w:rsid w:val="00A46AB1"/>
    <w:rPr>
      <w:rFonts w:ascii="Arial Narrow" w:hAnsi="Arial Narrow"/>
      <w:smallCaps/>
    </w:rPr>
  </w:style>
  <w:style w:type="character" w:customStyle="1" w:styleId="Buttons">
    <w:name w:val="Buttons"/>
    <w:basedOn w:val="DefaultParagraphFont"/>
    <w:rsid w:val="00A46AB1"/>
    <w:rPr>
      <w:b/>
    </w:rPr>
  </w:style>
  <w:style w:type="character" w:customStyle="1" w:styleId="Underlined">
    <w:name w:val="Underlined"/>
    <w:basedOn w:val="DefaultParagraphFont"/>
    <w:rsid w:val="00A46AB1"/>
    <w:rPr>
      <w:u w:val="single"/>
    </w:rPr>
  </w:style>
  <w:style w:type="paragraph" w:customStyle="1" w:styleId="TableBodyTextRight">
    <w:name w:val="Table Body Text Right"/>
    <w:basedOn w:val="TableBodyText"/>
    <w:rsid w:val="00A46AB1"/>
    <w:pPr>
      <w:widowControl w:val="0"/>
      <w:autoSpaceDE w:val="0"/>
      <w:autoSpaceDN w:val="0"/>
      <w:adjustRightInd w:val="0"/>
      <w:jc w:val="right"/>
    </w:pPr>
    <w:rPr>
      <w:rFonts w:cs="Arial"/>
      <w:szCs w:val="18"/>
    </w:rPr>
  </w:style>
  <w:style w:type="paragraph" w:customStyle="1" w:styleId="CopyrightText">
    <w:name w:val="Copyright Text"/>
    <w:basedOn w:val="BodyText"/>
    <w:rsid w:val="00A46AB1"/>
    <w:rPr>
      <w:sz w:val="18"/>
    </w:rPr>
  </w:style>
  <w:style w:type="paragraph" w:customStyle="1" w:styleId="BodySmallRight">
    <w:name w:val="Body Small Right"/>
    <w:basedOn w:val="BodyTextRight"/>
    <w:rsid w:val="00A46AB1"/>
    <w:rPr>
      <w:sz w:val="18"/>
      <w:szCs w:val="18"/>
    </w:rPr>
  </w:style>
  <w:style w:type="paragraph" w:customStyle="1" w:styleId="MarginEdition">
    <w:name w:val="Margin Edition"/>
    <w:basedOn w:val="MarginNote"/>
    <w:rsid w:val="00A46AB1"/>
    <w:pPr>
      <w:spacing w:before="0" w:after="0"/>
    </w:pPr>
    <w:rPr>
      <w:rFonts w:ascii="Times New Roman" w:hAnsi="Times New Roman"/>
      <w:color w:val="999999"/>
    </w:rPr>
  </w:style>
  <w:style w:type="paragraph" w:customStyle="1" w:styleId="Spacer">
    <w:name w:val="Spacer"/>
    <w:basedOn w:val="Normal"/>
    <w:rsid w:val="00A46AB1"/>
    <w:rPr>
      <w:sz w:val="2"/>
      <w:szCs w:val="2"/>
    </w:rPr>
  </w:style>
  <w:style w:type="character" w:customStyle="1" w:styleId="Small">
    <w:name w:val="Small"/>
    <w:basedOn w:val="DefaultParagraphFont"/>
    <w:rsid w:val="00A46AB1"/>
    <w:rPr>
      <w:sz w:val="16"/>
    </w:rPr>
  </w:style>
  <w:style w:type="paragraph" w:customStyle="1" w:styleId="WideTable">
    <w:name w:val="Wide Table"/>
    <w:basedOn w:val="Normal"/>
    <w:rsid w:val="00A46AB1"/>
    <w:pPr>
      <w:ind w:left="-1418"/>
    </w:pPr>
    <w:rPr>
      <w:sz w:val="2"/>
      <w:szCs w:val="2"/>
    </w:rPr>
  </w:style>
  <w:style w:type="character" w:styleId="PageNumber">
    <w:name w:val="page number"/>
    <w:basedOn w:val="DefaultParagraphFont"/>
    <w:rsid w:val="00A46AB1"/>
  </w:style>
  <w:style w:type="paragraph" w:styleId="Quote">
    <w:name w:val="Quote"/>
    <w:basedOn w:val="Heading1"/>
    <w:link w:val="QuoteChar"/>
    <w:qFormat/>
    <w:rsid w:val="00A46AB1"/>
    <w:rPr>
      <w:b w:val="0"/>
      <w:sz w:val="72"/>
      <w:szCs w:val="72"/>
      <w:lang w:val="en-NZ"/>
    </w:rPr>
  </w:style>
  <w:style w:type="character" w:customStyle="1" w:styleId="QuoteChar">
    <w:name w:val="Quote Char"/>
    <w:basedOn w:val="DefaultParagraphFont"/>
    <w:link w:val="Quote"/>
    <w:rsid w:val="00A46A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6AB1"/>
    <w:pPr>
      <w:pageBreakBefore/>
    </w:pPr>
  </w:style>
  <w:style w:type="paragraph" w:customStyle="1" w:styleId="Border">
    <w:name w:val="Border"/>
    <w:basedOn w:val="Normal"/>
    <w:qFormat/>
    <w:rsid w:val="00A46A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6AB1"/>
    <w:rPr>
      <w:b/>
      <w:bCs/>
      <w:i/>
      <w:iCs/>
      <w:color w:val="auto"/>
    </w:rPr>
  </w:style>
  <w:style w:type="paragraph" w:styleId="IntenseQuote">
    <w:name w:val="Intense Quote"/>
    <w:basedOn w:val="Normal"/>
    <w:next w:val="Normal"/>
    <w:link w:val="IntenseQuoteChar"/>
    <w:uiPriority w:val="30"/>
    <w:qFormat/>
    <w:rsid w:val="00A46A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6A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6AB1"/>
    <w:rPr>
      <w:smallCaps/>
      <w:color w:val="auto"/>
      <w:u w:val="single"/>
    </w:rPr>
  </w:style>
  <w:style w:type="character" w:styleId="IntenseReference">
    <w:name w:val="Intense Reference"/>
    <w:basedOn w:val="DefaultParagraphFont"/>
    <w:uiPriority w:val="32"/>
    <w:qFormat/>
    <w:rsid w:val="00A46AB1"/>
    <w:rPr>
      <w:b/>
      <w:bCs/>
      <w:smallCaps/>
      <w:color w:val="auto"/>
      <w:spacing w:val="5"/>
      <w:u w:val="single"/>
    </w:rPr>
  </w:style>
  <w:style w:type="paragraph" w:customStyle="1" w:styleId="2ColumnHeading">
    <w:name w:val="2Column Heading"/>
    <w:basedOn w:val="BodyText"/>
    <w:qFormat/>
    <w:rsid w:val="00A46AB1"/>
    <w:pPr>
      <w:spacing w:after="60"/>
      <w:ind w:left="-2268"/>
    </w:pPr>
    <w:rPr>
      <w:b/>
    </w:rPr>
  </w:style>
  <w:style w:type="paragraph" w:customStyle="1" w:styleId="Heading1TOC">
    <w:name w:val="Heading1 TOC"/>
    <w:basedOn w:val="Normal"/>
    <w:qFormat/>
    <w:rsid w:val="00A46AB1"/>
    <w:pPr>
      <w:spacing w:before="240" w:after="120"/>
    </w:pPr>
    <w:rPr>
      <w:rFonts w:ascii="Times New Roman" w:hAnsi="Times New Roman"/>
      <w:b/>
      <w:sz w:val="32"/>
    </w:rPr>
  </w:style>
  <w:style w:type="paragraph" w:customStyle="1" w:styleId="Heading2TOC">
    <w:name w:val="Heading2 TOC"/>
    <w:basedOn w:val="Normal"/>
    <w:qFormat/>
    <w:rsid w:val="00A46AB1"/>
    <w:pPr>
      <w:spacing w:before="240" w:after="60"/>
    </w:pPr>
    <w:rPr>
      <w:rFonts w:ascii="Times New Roman" w:hAnsi="Times New Roman"/>
      <w:b/>
      <w:sz w:val="28"/>
    </w:rPr>
  </w:style>
  <w:style w:type="character" w:customStyle="1" w:styleId="Underline">
    <w:name w:val="Underline"/>
    <w:basedOn w:val="DefaultParagraphFont"/>
    <w:qFormat/>
    <w:rsid w:val="00A46AB1"/>
    <w:rPr>
      <w:u w:val="single"/>
    </w:rPr>
  </w:style>
  <w:style w:type="character" w:customStyle="1" w:styleId="BoldandItalics">
    <w:name w:val="Bold and Italics"/>
    <w:qFormat/>
    <w:rsid w:val="00A46AB1"/>
    <w:rPr>
      <w:b/>
      <w:i/>
      <w:u w:val="none"/>
    </w:rPr>
  </w:style>
  <w:style w:type="paragraph" w:styleId="BalloonText">
    <w:name w:val="Balloon Text"/>
    <w:basedOn w:val="Normal"/>
    <w:link w:val="BalloonTextChar"/>
    <w:rsid w:val="00A46AB1"/>
    <w:rPr>
      <w:rFonts w:ascii="Tahoma" w:hAnsi="Tahoma" w:cs="Tahoma"/>
      <w:sz w:val="16"/>
      <w:szCs w:val="16"/>
    </w:rPr>
  </w:style>
  <w:style w:type="character" w:customStyle="1" w:styleId="BalloonTextChar">
    <w:name w:val="Balloon Text Char"/>
    <w:basedOn w:val="DefaultParagraphFont"/>
    <w:link w:val="BalloonText"/>
    <w:rsid w:val="00A46A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6AB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46A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6AB1"/>
    <w:rPr>
      <w:b/>
      <w:color w:val="660033"/>
      <w:spacing w:val="0"/>
    </w:rPr>
  </w:style>
  <w:style w:type="paragraph" w:customStyle="1" w:styleId="Nameditemlist">
    <w:name w:val="Named item list"/>
    <w:basedOn w:val="BodyText"/>
    <w:qFormat/>
    <w:rsid w:val="00A46AB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1305</Words>
  <Characters>7930</Characters>
  <Application>Microsoft Office Word</Application>
  <DocSecurity>0</DocSecurity>
  <Lines>266</Lines>
  <Paragraphs>130</Paragraphs>
  <ScaleCrop>false</ScaleCrop>
  <Company>Author-it Software Corporation Ltd.</Company>
  <LinksUpToDate>false</LinksUpToDate>
  <CharactersWithSpaces>9144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FNSICSAM301B Identify opportunities for cross selling products and services</dc:title>
  <dc:subject>Approved</dc:subject>
  <dc:creator>Government Skills Australia</dc:creator>
  <cp:keywords>Release: 1</cp:keywords>
  <dc:description>Copyright © 1996-2007 Author-it Software Corporation Ltd., all rights reserved.</dc:description>
  <cp:lastModifiedBy>TPCMS</cp:lastModifiedBy>
  <cp:revision>3</cp:revision>
  <dcterms:created xsi:type="dcterms:W3CDTF">2012-10-05T11:38:00Z</dcterms:created>
  <dcterms:modified xsi:type="dcterms:W3CDTF">2012-10-05T11:38:00Z</dcterms:modified>
</cp:coreProperties>
</file>