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F3F" w:rsidP="00C61F3F">
      <w:pPr>
        <w:pStyle w:val="Title"/>
      </w:pPr>
      <w:r>
        <w:fldChar w:fldCharType="begin"/>
      </w:r>
      <w:r>
        <w:instrText xml:space="preserve"> TITLE   \* MERGEFORMAT </w:instrText>
      </w:r>
      <w:r>
        <w:fldChar w:fldCharType="separate"/>
      </w:r>
      <w:r>
        <w:t>FNSICORG517B Prepare financial forecasts and projections</w:t>
      </w:r>
      <w:r>
        <w:fldChar w:fldCharType="end"/>
      </w:r>
    </w:p>
    <w:p w:rsidR="00C61F3F" w:rsidP="00C61F3F">
      <w:pPr>
        <w:pStyle w:val="Version"/>
        <w:sectPr w:rsidSect="00083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3F4" w:rsidP="000833F4">
      <w:pPr>
        <w:pStyle w:val="SuperHeading"/>
      </w:pPr>
      <w:r w:rsidRPr="000833F4">
        <w:t>FNSICORG517B Prepare financial forecasts and projections</w:t>
      </w:r>
    </w:p>
    <w:p w:rsidR="00000000" w:rsidRPr="000833F4" w:rsidP="000833F4">
      <w:pPr>
        <w:pStyle w:val="Heading1"/>
      </w:pPr>
      <w:bookmarkStart w:id="1" w:name="O_318372"/>
      <w:bookmarkEnd w:id="1"/>
      <w:r w:rsidRPr="000833F4">
        <w:t>Modification History</w:t>
      </w:r>
    </w:p>
    <w:p w:rsidR="00000000" w:rsidRPr="000833F4" w:rsidP="000833F4">
      <w:pPr>
        <w:pStyle w:val="BodyText"/>
      </w:pPr>
      <w:r w:rsidRPr="000833F4">
        <w:t>Not applicable.</w:t>
      </w:r>
    </w:p>
    <w:p w:rsidR="00000000" w:rsidRPr="000833F4" w:rsidP="000833F4">
      <w:pPr>
        <w:pStyle w:val="AllowPageBreak"/>
      </w:pPr>
    </w:p>
    <w:p w:rsidR="00000000" w:rsidRPr="000833F4" w:rsidP="000833F4">
      <w:pPr>
        <w:pStyle w:val="Heading1"/>
      </w:pPr>
      <w:bookmarkStart w:id="2" w:name="O_318373"/>
      <w:bookmarkEnd w:id="2"/>
      <w:r w:rsidRPr="000833F4">
        <w:t>Unit Descriptor</w:t>
      </w:r>
    </w:p>
    <w:p w:rsidR="00000000" w:rsidRPr="000833F4" w:rsidP="000833F4">
      <w:pPr>
        <w:pStyle w:val="BodyText"/>
      </w:pPr>
      <w:r w:rsidRPr="000833F4">
        <w:t>This unit describes the functions involved in preparing financial forecasts and projections.</w:t>
      </w:r>
    </w:p>
    <w:p w:rsidR="00000000" w:rsidRPr="000833F4" w:rsidP="000833F4">
      <w:pPr>
        <w:pStyle w:val="BodyText"/>
      </w:pPr>
      <w:r w:rsidRPr="000833F4">
        <w:t>This unit describ</w:t>
      </w:r>
      <w:r w:rsidRPr="000833F4">
        <w:t>es the functions involved in preparing financial forecasts and projections.</w:t>
      </w:r>
    </w:p>
    <w:p w:rsidR="00000000" w:rsidRPr="000833F4" w:rsidP="000833F4">
      <w:pPr>
        <w:pStyle w:val="AllowPageBreak"/>
      </w:pPr>
    </w:p>
    <w:p w:rsidR="00000000" w:rsidRPr="000833F4" w:rsidP="000833F4">
      <w:pPr>
        <w:pStyle w:val="Heading1"/>
      </w:pPr>
      <w:bookmarkStart w:id="3" w:name="O_318374"/>
      <w:bookmarkEnd w:id="3"/>
      <w:r w:rsidRPr="000833F4">
        <w:t>Application of the Unit</w:t>
      </w:r>
    </w:p>
    <w:p w:rsidR="00000000" w:rsidRPr="000833F4" w:rsidP="000833F4">
      <w:pPr>
        <w:pStyle w:val="BodyText"/>
      </w:pPr>
      <w:r w:rsidRPr="000833F4">
        <w:t xml:space="preserve">This unit requires the application of skills and knowledge required to prepare financial forecasts and projections. </w:t>
      </w:r>
    </w:p>
    <w:p w:rsidR="00000000" w:rsidRPr="000833F4" w:rsidP="000833F4">
      <w:pPr>
        <w:pStyle w:val="BodyText"/>
      </w:pPr>
      <w:r w:rsidRPr="000833F4">
        <w:t>The unit encompasses p</w:t>
      </w:r>
      <w:r w:rsidRPr="000833F4">
        <w:t>roducing a plan preparation timetable, identifying assumptions and parameters, issuing instructions and relevant aids for preparation of forecasts and projections, collecting, consolidating, modelling and analysing data and documentation results and obtain</w:t>
      </w:r>
      <w:r w:rsidRPr="000833F4">
        <w:t xml:space="preserve">ing approval. </w:t>
      </w:r>
    </w:p>
    <w:p w:rsidR="00000000" w:rsidRPr="000833F4" w:rsidP="000833F4">
      <w:pPr>
        <w:pStyle w:val="BodyText"/>
      </w:pPr>
      <w:r w:rsidRPr="000833F4">
        <w:t>The unit may be applied to any sector of the financial services industry and has application to those job function that have responsibility to produce financial forecasts and projects for example accounts receivable and payable clerks.</w:t>
      </w:r>
    </w:p>
    <w:p w:rsidR="00000000" w:rsidRPr="000833F4" w:rsidP="000833F4">
      <w:pPr>
        <w:pStyle w:val="BodyText"/>
      </w:pPr>
      <w:r w:rsidRPr="000833F4">
        <w:t xml:space="preserve">This unit requires the application of skills and knowledge required to prepare financial forecasts and projections. </w:t>
      </w:r>
    </w:p>
    <w:p w:rsidR="00000000" w:rsidRPr="000833F4" w:rsidP="000833F4">
      <w:pPr>
        <w:pStyle w:val="BodyText"/>
      </w:pPr>
      <w:r w:rsidRPr="000833F4">
        <w:t>The unit encompasses producing a plan preparation timetable, identifying assumptions and parameters, issuing instructions and relevant aids</w:t>
      </w:r>
      <w:r w:rsidRPr="000833F4">
        <w:t xml:space="preserve"> for preparation of forecasts and projections, collecting, consolidating, modelling and analysing data and documentation results and obtaining approval. </w:t>
      </w:r>
    </w:p>
    <w:p w:rsidR="00000000" w:rsidRPr="000833F4" w:rsidP="000833F4">
      <w:pPr>
        <w:pStyle w:val="BodyText"/>
      </w:pPr>
      <w:r w:rsidRPr="000833F4">
        <w:t xml:space="preserve">The unit may be applied to any sector of the financial services industry and has application to those </w:t>
      </w:r>
      <w:r w:rsidRPr="000833F4">
        <w:t>job function that have responsibility to produce financial forecasts and projects for example accounts receivable and payable clerks.</w:t>
      </w:r>
    </w:p>
    <w:p w:rsidR="00000000" w:rsidRPr="000833F4" w:rsidP="000833F4">
      <w:pPr>
        <w:pStyle w:val="AllowPageBreak"/>
      </w:pPr>
    </w:p>
    <w:p w:rsidR="00000000" w:rsidRPr="000833F4" w:rsidP="000833F4">
      <w:pPr>
        <w:pStyle w:val="Heading1"/>
      </w:pPr>
      <w:bookmarkStart w:id="4" w:name="O_318375"/>
      <w:bookmarkEnd w:id="4"/>
      <w:r w:rsidRPr="000833F4">
        <w:t>Licensing/Regulatory Information</w:t>
      </w:r>
    </w:p>
    <w:p w:rsidR="00000000" w:rsidRPr="000833F4" w:rsidP="000833F4">
      <w:pPr>
        <w:pStyle w:val="BodyText"/>
      </w:pPr>
      <w:r w:rsidRPr="000833F4">
        <w:t>Not applicable.</w:t>
      </w:r>
    </w:p>
    <w:p w:rsidR="00000000" w:rsidRPr="000833F4" w:rsidP="000833F4">
      <w:pPr>
        <w:pStyle w:val="AllowPageBreak"/>
      </w:pPr>
    </w:p>
    <w:p w:rsidR="00000000" w:rsidRPr="000833F4" w:rsidP="000833F4">
      <w:pPr>
        <w:pStyle w:val="Heading1"/>
      </w:pPr>
      <w:bookmarkStart w:id="5" w:name="O_318376"/>
      <w:bookmarkEnd w:id="5"/>
      <w:r w:rsidRPr="000833F4">
        <w:t>Pre-Requisites</w:t>
      </w:r>
    </w:p>
    <w:p w:rsidR="00000000" w:rsidRPr="000833F4" w:rsidP="000833F4">
      <w:pPr>
        <w:pStyle w:val="BodyText"/>
      </w:pPr>
      <w:r w:rsidRPr="000833F4">
        <w:t>Not applicable.</w:t>
      </w:r>
    </w:p>
    <w:p w:rsidR="00000000" w:rsidRPr="000833F4" w:rsidP="000833F4">
      <w:pPr>
        <w:pStyle w:val="AllowPageBreak"/>
      </w:pPr>
    </w:p>
    <w:p w:rsidR="00000000" w:rsidRPr="000833F4" w:rsidP="000833F4">
      <w:pPr>
        <w:pStyle w:val="Heading1"/>
      </w:pPr>
      <w:bookmarkStart w:id="6" w:name="O_318377"/>
      <w:bookmarkEnd w:id="6"/>
      <w:r w:rsidRPr="000833F4">
        <w:t>Employability Skills Information</w:t>
      </w:r>
    </w:p>
    <w:p w:rsidR="00000000" w:rsidRPr="000833F4" w:rsidP="000833F4">
      <w:pPr>
        <w:pStyle w:val="BodyText"/>
      </w:pPr>
      <w:r w:rsidRPr="000833F4">
        <w:t>The required outcomes described in this unit of competency contain applicable facets of employability skills. The Employability Skills Summary for the qualification in which this unit of competency is packaged, wil</w:t>
      </w:r>
      <w:r w:rsidRPr="000833F4">
        <w:t>l assist in identifying employability skills requirements.</w:t>
      </w:r>
    </w:p>
    <w:p w:rsidR="00000000" w:rsidRPr="000833F4" w:rsidP="000833F4">
      <w:pPr>
        <w:pStyle w:val="BodyText"/>
      </w:pPr>
      <w:r w:rsidRPr="000833F4">
        <w:t>The required outcomes described in this unit of competency contain applicable facets of employability skills. The Employability Skills Summary for the qualification in which this unit of competency</w:t>
      </w:r>
      <w:r w:rsidRPr="000833F4">
        <w:t xml:space="preserve"> is packaged, will assist in identifying employability skills requirements.</w:t>
      </w:r>
    </w:p>
    <w:p w:rsidR="00000000" w:rsidRPr="000833F4" w:rsidP="000833F4">
      <w:pPr>
        <w:pStyle w:val="AllowPageBreak"/>
      </w:pPr>
    </w:p>
    <w:p w:rsidR="00000000" w:rsidRPr="000833F4" w:rsidP="000833F4">
      <w:pPr>
        <w:pStyle w:val="Heading1"/>
      </w:pPr>
      <w:bookmarkStart w:id="7" w:name="O_318378"/>
      <w:bookmarkEnd w:id="7"/>
      <w:r w:rsidRPr="000833F4">
        <w:t>Elements and Performance Criteria Pre-Content</w:t>
      </w:r>
    </w:p>
    <w:p w:rsidR="00000000" w:rsidRPr="000833F4" w:rsidP="000833F4">
      <w:pPr>
        <w:pStyle w:val="BodyText"/>
      </w:pPr>
      <w:r w:rsidRPr="000833F4">
        <w:t>Elements define the essential outcomes of a unit of competency.</w:t>
      </w:r>
    </w:p>
    <w:p w:rsidR="00000000" w:rsidRPr="000833F4" w:rsidP="000833F4">
      <w:pPr>
        <w:pStyle w:val="BodyText"/>
      </w:pPr>
      <w:r w:rsidRPr="000833F4">
        <w:t xml:space="preserve">Performance Criteria describe the required performance needed to demonstrate achievement of the Element. </w:t>
      </w:r>
      <w:r w:rsidRPr="000833F4">
        <w:rPr>
          <w:rStyle w:val="SpecialBold"/>
        </w:rPr>
        <w:t xml:space="preserve">Bold, italicised </w:t>
      </w:r>
      <w:r w:rsidRPr="000833F4">
        <w:t>terms are elaborated in the Range Statement. Assessment of performance is to be consistent with the Evidence Guide.</w:t>
      </w:r>
    </w:p>
    <w:p w:rsidR="00000000" w:rsidRPr="000833F4" w:rsidP="000833F4">
      <w:pPr>
        <w:pStyle w:val="BodyText"/>
      </w:pPr>
      <w:r w:rsidRPr="000833F4">
        <w:t>Elements define th</w:t>
      </w:r>
      <w:r w:rsidRPr="000833F4">
        <w:t>e essential outcomes of a unit of competency.</w:t>
      </w:r>
    </w:p>
    <w:p w:rsidR="00000000" w:rsidRPr="000833F4" w:rsidP="000833F4">
      <w:pPr>
        <w:pStyle w:val="BodyText"/>
      </w:pPr>
      <w:r w:rsidRPr="000833F4">
        <w:t xml:space="preserve">Performance Criteria describe the required performance needed to demonstrate achievement of the Element. </w:t>
      </w:r>
      <w:r w:rsidRPr="000833F4">
        <w:rPr>
          <w:rStyle w:val="SpecialBold"/>
        </w:rPr>
        <w:t xml:space="preserve">Bold, italicised </w:t>
      </w:r>
      <w:r w:rsidRPr="000833F4">
        <w:t>terms are elaborated in the Range Statement. Assessment of performance is to be consiste</w:t>
      </w:r>
      <w:r w:rsidRPr="000833F4">
        <w:t>nt with the Evidence Guide.</w:t>
      </w:r>
    </w:p>
    <w:p w:rsidR="00000000" w:rsidRPr="000833F4" w:rsidP="000833F4">
      <w:pPr>
        <w:pStyle w:val="AllowPageBreak"/>
      </w:pPr>
    </w:p>
    <w:p w:rsidR="00000000" w:rsidRPr="000833F4" w:rsidP="000833F4">
      <w:pPr>
        <w:pStyle w:val="Heading1"/>
      </w:pPr>
      <w:bookmarkStart w:id="8" w:name="O_318379"/>
      <w:bookmarkEnd w:id="8"/>
      <w:r w:rsidRPr="000833F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61F3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Elements and Performance Criteria</w:t>
            </w:r>
          </w:p>
        </w:tc>
      </w:tr>
      <w:tr w:rsidTr="00C61F3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Performance Criteria</w:t>
            </w:r>
          </w:p>
        </w:tc>
      </w:tr>
      <w:tr w:rsidTr="00C61F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1</w:t>
            </w:r>
          </w:p>
        </w:tc>
        <w:tc>
          <w:tcPr>
            <w:tcW w:w="30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Plan preparation timetable</w:t>
            </w: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1.1</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 xml:space="preserve">All critical milestones are identified to ensure financial </w:t>
            </w:r>
            <w:r w:rsidRPr="000833F4">
              <w:rPr>
                <w:rStyle w:val="SpecialBold"/>
              </w:rPr>
              <w:t xml:space="preserve">forecasts </w:t>
            </w:r>
            <w:r w:rsidRPr="000833F4">
              <w:t xml:space="preserve">and </w:t>
            </w:r>
            <w:r w:rsidRPr="000833F4">
              <w:t>projections can be prepared within timeframes</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1.2</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Business plans are reviewed to identified timeframe parameters used</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1.3</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Business plans, financial forecasting and processing systems are reviewed to identify all potential conflicts</w:t>
            </w:r>
          </w:p>
        </w:tc>
      </w:tr>
      <w:tr w:rsidTr="00C61F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2</w:t>
            </w:r>
          </w:p>
        </w:tc>
        <w:tc>
          <w:tcPr>
            <w:tcW w:w="30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Identify assumptions and parameters</w:t>
            </w: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2.1</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Business plans and exception reports are reviewed to identify and resolve conflicts in assumptions</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2.2</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 xml:space="preserve">Assumptions and parameters are reviewed to ensure compliance with </w:t>
            </w:r>
            <w:r w:rsidRPr="000833F4">
              <w:rPr>
                <w:rStyle w:val="SpecialBold"/>
              </w:rPr>
              <w:t>company policy and procedures</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2.3</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 xml:space="preserve">Current and historical financial reports </w:t>
            </w:r>
            <w:r w:rsidRPr="000833F4">
              <w:t>are examined to establish trends</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2.4</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 xml:space="preserve">External environment </w:t>
            </w:r>
            <w:r w:rsidRPr="000833F4">
              <w:t xml:space="preserve">is examined to gain an </w:t>
            </w:r>
            <w:r w:rsidRPr="000833F4">
              <w:t>objective overview</w:t>
            </w:r>
          </w:p>
        </w:tc>
      </w:tr>
      <w:tr w:rsidTr="00C61F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3</w:t>
            </w:r>
          </w:p>
        </w:tc>
        <w:tc>
          <w:tcPr>
            <w:tcW w:w="30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Issue instructions and relevant aids for preparation of forecasts and projections</w:t>
            </w: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3.1</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Instructions issued are clear and unambiguous and comply with company format to ensure ease of use and consistency of interpretation</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3.2</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 xml:space="preserve">Types of business are identified to enable effective </w:t>
            </w:r>
            <w:r w:rsidRPr="000833F4">
              <w:rPr>
                <w:rStyle w:val="SpecialBold"/>
              </w:rPr>
              <w:t xml:space="preserve">models </w:t>
            </w:r>
            <w:r w:rsidRPr="000833F4">
              <w:t>to be selected</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3.3</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Training is provided to ensure comprehensive understanding and effective use of financial models by users</w:t>
            </w:r>
          </w:p>
        </w:tc>
      </w:tr>
      <w:tr w:rsidTr="00C61F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4</w:t>
            </w:r>
          </w:p>
        </w:tc>
        <w:tc>
          <w:tcPr>
            <w:tcW w:w="30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Collect, consolidate, model and analyse data</w:t>
            </w: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4.1</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Data is reviewed to ensure consistency with actual results and model used</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4.2</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 xml:space="preserve">Analysis results </w:t>
            </w:r>
            <w:r w:rsidRPr="000833F4">
              <w:t>are documented in a clear and unambiguous way</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4.3</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Data collected are reliable, valid, complete and comprehensive</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4.4</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Processing is completed in accordance with established timetable</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4.5</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Data are consolidated in a logical structured format that enables ready analysis</w:t>
            </w:r>
          </w:p>
        </w:tc>
      </w:tr>
      <w:tr w:rsidTr="00C61F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5</w:t>
            </w:r>
          </w:p>
        </w:tc>
        <w:tc>
          <w:tcPr>
            <w:tcW w:w="3000" w:type="dxa"/>
            <w:vMerge w:val="restart"/>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Document results and obtain approval</w:t>
            </w: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5.1</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Results are documented in a clear and understandable manner</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5.2</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Documented results are in a f</w:t>
            </w:r>
            <w:r w:rsidRPr="000833F4">
              <w:t xml:space="preserve">ormat suitable to meet needs of target </w:t>
            </w:r>
            <w:r w:rsidRPr="000833F4">
              <w:rPr>
                <w:rStyle w:val="SpecialBold"/>
              </w:rPr>
              <w:t>users</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5.3</w:t>
            </w:r>
          </w:p>
        </w:tc>
        <w:tc>
          <w:tcPr>
            <w:tcW w:w="51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All approvals are obtained in accordance with management objectives, financial and company policies</w:t>
            </w:r>
          </w:p>
        </w:tc>
      </w:tr>
      <w:tr w:rsidTr="00C61F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5.4</w:t>
            </w:r>
          </w:p>
        </w:tc>
        <w:tc>
          <w:tcPr>
            <w:tcW w:w="51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Results are distributed within timetable and according to company policy</w:t>
            </w:r>
          </w:p>
        </w:tc>
      </w:tr>
    </w:tbl>
    <w:p w:rsidR="00000000" w:rsidRPr="000833F4" w:rsidP="000833F4">
      <w:pPr>
        <w:pStyle w:val="BodyText"/>
      </w:pPr>
    </w:p>
    <w:p w:rsidR="00000000" w:rsidRPr="000833F4" w:rsidP="000833F4">
      <w:pPr>
        <w:pStyle w:val="AllowPageBreak"/>
      </w:pPr>
    </w:p>
    <w:p w:rsidR="00000000" w:rsidRPr="000833F4" w:rsidP="000833F4">
      <w:pPr>
        <w:pStyle w:val="Heading1"/>
      </w:pPr>
      <w:bookmarkStart w:id="9" w:name="O_318380"/>
      <w:bookmarkEnd w:id="9"/>
      <w:r w:rsidRPr="000833F4">
        <w:t>Required Skills and Knowledge</w:t>
      </w:r>
    </w:p>
    <w:tbl>
      <w:tblPr>
        <w:tblW w:w="0" w:type="auto"/>
        <w:tblLayout w:type="fixed"/>
        <w:tblCellMar>
          <w:left w:w="62" w:type="dxa"/>
          <w:right w:w="62" w:type="dxa"/>
        </w:tblCellMar>
        <w:tblLook w:val="0000"/>
      </w:tblPr>
      <w:tblGrid>
        <w:gridCol w:w="9000"/>
      </w:tblGrid>
      <w:tr w:rsidTr="00C61F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REQUIRED KNOWLEDGE</w:t>
            </w:r>
            <w:r w:rsidRPr="000833F4">
              <w:t>&amp;</w:t>
            </w:r>
            <w:r w:rsidRPr="000833F4">
              <w:rPr>
                <w:rStyle w:val="SpecialBold"/>
              </w:rPr>
              <w:t>SKILLS</w:t>
            </w:r>
          </w:p>
        </w:tc>
      </w:tr>
      <w:tr w:rsidTr="00C61F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rPr>
                <w:rStyle w:val="SpecialBold"/>
              </w:rPr>
              <w:t>Knowledge requirements include</w:t>
            </w:r>
            <w:r w:rsidRPr="000833F4">
              <w:t xml:space="preserve">: </w:t>
            </w:r>
          </w:p>
          <w:p w:rsidR="00000000" w:rsidRPr="000833F4" w:rsidP="000833F4">
            <w:pPr>
              <w:pStyle w:val="BodyText"/>
            </w:pPr>
            <w:r w:rsidRPr="000833F4">
              <w:t>company policy and procedures</w:t>
            </w:r>
          </w:p>
          <w:p w:rsidR="00000000" w:rsidRPr="000833F4" w:rsidP="000833F4">
            <w:pPr>
              <w:pStyle w:val="BodyText"/>
            </w:pPr>
            <w:r w:rsidRPr="000833F4">
              <w:t>knowledge or awareness of relevant acts and regulations</w:t>
            </w:r>
          </w:p>
          <w:p w:rsidR="00000000" w:rsidRPr="000833F4" w:rsidP="000833F4">
            <w:pPr>
              <w:pStyle w:val="BodyText"/>
            </w:pPr>
            <w:r w:rsidRPr="000833F4">
              <w:t>legal systems and procedures</w:t>
            </w:r>
          </w:p>
          <w:p w:rsidR="00000000" w:rsidRPr="000833F4" w:rsidP="000833F4">
            <w:pPr>
              <w:pStyle w:val="BodyText"/>
            </w:pPr>
            <w:r w:rsidRPr="000833F4">
              <w:t>industry codes of practice</w:t>
            </w:r>
          </w:p>
          <w:p w:rsidR="00000000" w:rsidRPr="000833F4" w:rsidP="000833F4">
            <w:pPr>
              <w:pStyle w:val="BodyText"/>
            </w:pPr>
            <w:r w:rsidRPr="000833F4">
              <w:t>computer systems</w:t>
            </w:r>
          </w:p>
          <w:p w:rsidR="00000000" w:rsidP="000833F4">
            <w:pPr>
              <w:pStyle w:val="BodyText"/>
              <w:rPr>
                <w:lang w:val="en-NZ"/>
              </w:rPr>
            </w:pPr>
            <w:r w:rsidRPr="000833F4">
              <w:t>procedu</w:t>
            </w:r>
            <w:r w:rsidRPr="000833F4">
              <w:t xml:space="preserve">re writing </w:t>
            </w:r>
          </w:p>
        </w:tc>
      </w:tr>
      <w:tr w:rsidTr="00C61F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rPr>
                <w:rStyle w:val="SpecialBold"/>
              </w:rPr>
              <w:t>Skills requirements include</w:t>
            </w:r>
            <w:r w:rsidRPr="000833F4">
              <w:t xml:space="preserve">: </w:t>
            </w:r>
          </w:p>
          <w:p w:rsidR="00000000" w:rsidRPr="000833F4" w:rsidP="000833F4">
            <w:pPr>
              <w:pStyle w:val="BodyText"/>
            </w:pPr>
            <w:r w:rsidRPr="000833F4">
              <w:t>computerised spreadsheet and database</w:t>
            </w:r>
          </w:p>
          <w:p w:rsidR="00000000" w:rsidRPr="000833F4" w:rsidP="000833F4">
            <w:pPr>
              <w:pStyle w:val="BodyText"/>
            </w:pPr>
            <w:r w:rsidRPr="000833F4">
              <w:t>data analysis and interpretation</w:t>
            </w:r>
          </w:p>
          <w:p w:rsidR="00000000" w:rsidRPr="000833F4" w:rsidP="000833F4">
            <w:pPr>
              <w:pStyle w:val="BodyText"/>
            </w:pPr>
            <w:r w:rsidRPr="000833F4">
              <w:t>evaluative and general analytical</w:t>
            </w:r>
          </w:p>
          <w:p w:rsidR="00000000" w:rsidRPr="000833F4" w:rsidP="000833F4">
            <w:pPr>
              <w:pStyle w:val="BodyText"/>
            </w:pPr>
            <w:r w:rsidRPr="000833F4">
              <w:t xml:space="preserve">negotiation and interpersonal </w:t>
            </w:r>
          </w:p>
        </w:tc>
      </w:tr>
    </w:tbl>
    <w:p w:rsidR="00000000" w:rsidRPr="000833F4" w:rsidP="000833F4">
      <w:pPr>
        <w:pStyle w:val="BodyText"/>
      </w:pPr>
    </w:p>
    <w:p w:rsidR="00000000" w:rsidRPr="000833F4" w:rsidP="000833F4">
      <w:pPr>
        <w:pStyle w:val="AllowPageBreak"/>
      </w:pPr>
    </w:p>
    <w:p w:rsidR="00000000" w:rsidRPr="000833F4" w:rsidP="000833F4">
      <w:pPr>
        <w:pStyle w:val="Heading1"/>
      </w:pPr>
      <w:bookmarkStart w:id="10" w:name="O_318381"/>
      <w:bookmarkEnd w:id="10"/>
      <w:r w:rsidRPr="000833F4">
        <w:t>Evidence Guide</w:t>
      </w:r>
    </w:p>
    <w:tbl>
      <w:tblPr>
        <w:tblW w:w="0" w:type="auto"/>
        <w:tblLayout w:type="fixed"/>
        <w:tblCellMar>
          <w:left w:w="62" w:type="dxa"/>
          <w:right w:w="62" w:type="dxa"/>
        </w:tblCellMar>
        <w:tblLook w:val="0000"/>
      </w:tblPr>
      <w:tblGrid>
        <w:gridCol w:w="4500"/>
        <w:gridCol w:w="4500"/>
      </w:tblGrid>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 xml:space="preserve"> EVIDENCE GUIDE</w:t>
            </w:r>
          </w:p>
        </w:tc>
      </w:tr>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Assessment of performance requirements in the unit should be undertaken in an industry context. The Evidence Guide identifies the critical aspects, knowledge and skills to be demonstrated to confirm competency for the unit. Competency is demonstrated by pe</w:t>
            </w:r>
            <w:r w:rsidRPr="000833F4">
              <w:t xml:space="preserve">rformance of all stated criteria including the Range Statement applicable to the workplace. </w:t>
            </w:r>
          </w:p>
        </w:tc>
      </w:tr>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Overview of assessment requirements</w:t>
            </w:r>
          </w:p>
        </w:tc>
      </w:tr>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 xml:space="preserve">To achieve competency in this unit, a person must be able to demonstrate: </w:t>
            </w:r>
          </w:p>
          <w:p w:rsidR="00000000" w:rsidRPr="000833F4" w:rsidP="000833F4">
            <w:pPr>
              <w:pStyle w:val="BodyText"/>
            </w:pPr>
            <w:r w:rsidRPr="000833F4">
              <w:t xml:space="preserve">knowledge of company policies and procedures regarding preparing financial forecasts and projections </w:t>
            </w:r>
          </w:p>
          <w:p w:rsidR="00000000" w:rsidRPr="000833F4" w:rsidP="000833F4">
            <w:pPr>
              <w:pStyle w:val="BodyText"/>
            </w:pPr>
            <w:r w:rsidRPr="000833F4">
              <w:t>knowledge of standard accounting  principles and techniques</w:t>
            </w:r>
          </w:p>
          <w:p w:rsidR="00000000" w:rsidRPr="000833F4" w:rsidP="000833F4">
            <w:pPr>
              <w:pStyle w:val="BodyText"/>
            </w:pPr>
            <w:r w:rsidRPr="000833F4">
              <w:t>knowledge of external environmental factors affecting or influencing forecasts and projections</w:t>
            </w:r>
          </w:p>
          <w:p w:rsidR="00000000" w:rsidRPr="000833F4" w:rsidP="000833F4">
            <w:pPr>
              <w:pStyle w:val="BodyText"/>
            </w:pPr>
            <w:r w:rsidRPr="000833F4">
              <w:t>ability to plan preparation timetable</w:t>
            </w:r>
          </w:p>
          <w:p w:rsidR="00000000" w:rsidP="000833F4">
            <w:pPr>
              <w:pStyle w:val="BodyText"/>
              <w:rPr>
                <w:lang w:val="en-NZ"/>
              </w:rPr>
            </w:pPr>
            <w:r w:rsidRPr="000833F4">
              <w:t xml:space="preserve">ability to identify assumptions and parameters </w:t>
            </w:r>
          </w:p>
        </w:tc>
      </w:tr>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 xml:space="preserve">ability to issue instructions and relevant aids for preparation of forecasts and projections </w:t>
            </w:r>
          </w:p>
          <w:p w:rsidR="00000000" w:rsidRPr="000833F4" w:rsidP="000833F4">
            <w:pPr>
              <w:pStyle w:val="BodyText"/>
            </w:pPr>
            <w:r w:rsidRPr="000833F4">
              <w:t>ability to collect, consolidate, model and analyse data</w:t>
            </w:r>
          </w:p>
          <w:p w:rsidR="00000000" w:rsidP="000833F4">
            <w:pPr>
              <w:pStyle w:val="BodyText"/>
              <w:rPr>
                <w:lang w:val="en-NZ"/>
              </w:rPr>
            </w:pPr>
            <w:r w:rsidRPr="000833F4">
              <w:t>ability to docume</w:t>
            </w:r>
            <w:r w:rsidRPr="000833F4">
              <w:t xml:space="preserve">nt results and obtain approval </w:t>
            </w:r>
          </w:p>
        </w:tc>
      </w:tr>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Critical aspects of evidence</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Evidence required for demonstration of consistent performance</w:t>
            </w:r>
            <w:r w:rsidRPr="000833F4">
              <w:t xml:space="preserve">: </w:t>
            </w:r>
          </w:p>
        </w:tc>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Competence in this unit must be assessed over a period of time in order to ensure consistency of performance over the Range Sta</w:t>
            </w:r>
            <w:r w:rsidRPr="000833F4">
              <w:t xml:space="preserve">tement and contexts applicable to the work environment.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Delivery</w:t>
            </w:r>
            <w:r w:rsidRPr="000833F4">
              <w:t>/</w:t>
            </w:r>
            <w:r w:rsidRPr="000833F4">
              <w:rPr>
                <w:rStyle w:val="SpecialBold"/>
              </w:rPr>
              <w:t>assessment relationship to other units</w:t>
            </w:r>
            <w:r w:rsidRPr="000833F4">
              <w:t xml:space="preserve">: </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This unit may be assessed on its own or it may be assessed with other units that cover related skills and knowledge.</w:t>
            </w:r>
          </w:p>
          <w:p w:rsidR="00000000" w:rsidP="000833F4">
            <w:pPr>
              <w:pStyle w:val="BodyText"/>
              <w:rPr>
                <w:lang w:val="en-NZ"/>
              </w:rPr>
            </w:pPr>
            <w:r w:rsidRPr="000833F4">
              <w:t xml:space="preserve">Evidence is most relevant when provided through an integrated activity, which combines the elements of competency for the unit, or a cluster of units of competency. </w:t>
            </w:r>
          </w:p>
        </w:tc>
      </w:tr>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Assessment requirements</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Method of assessment</w:t>
            </w:r>
            <w:r w:rsidRPr="000833F4">
              <w:t xml:space="preserve">: </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For valid and reliable assessment of thi</w:t>
            </w:r>
            <w:r w:rsidRPr="000833F4">
              <w:t>s unit, evidence should be gathered through a range of methods to indicate consistent performance.</w:t>
            </w:r>
          </w:p>
          <w:p w:rsidR="00000000" w:rsidP="000833F4">
            <w:pPr>
              <w:pStyle w:val="BodyText"/>
              <w:rPr>
                <w:lang w:val="en-NZ"/>
              </w:rPr>
            </w:pPr>
            <w:r w:rsidRPr="000833F4">
              <w:t>Assessment of this unit of competence will usually include observation of processes and procedures, oral and/or written questioning on underpinning knowledge</w:t>
            </w:r>
            <w:r w:rsidRPr="000833F4">
              <w:t xml:space="preserve"> and skills and other methods as required.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Context of assessment</w:t>
            </w:r>
            <w:r w:rsidRPr="000833F4">
              <w:t xml:space="preserve">: </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Assessment of performance requirements in this unit should be undertaken within the financial services industry context and should cover aspects of personal/financial responsibility and a</w:t>
            </w:r>
            <w:r w:rsidRPr="000833F4">
              <w:t xml:space="preserve">ccountability. </w:t>
            </w:r>
          </w:p>
          <w:p w:rsidR="00000000" w:rsidP="000833F4">
            <w:pPr>
              <w:pStyle w:val="BodyText"/>
              <w:rPr>
                <w:lang w:val="en-NZ"/>
              </w:rPr>
            </w:pPr>
            <w:r w:rsidRPr="000833F4">
              <w:t xml:space="preserve">Aspects of competency, including the attainment of relevant knowledge and skills, may be assessed in a relevant workplace, a closely simulated work environment, or other appropriate means that clearly meet industry competency requirements.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Resources required for assessment</w:t>
            </w:r>
            <w:r w:rsidRPr="000833F4">
              <w:t xml:space="preserve">: </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Unless otherwise specified, there are no significant resource implications for assessment of this unit, apart from access to a relevant workplace or closely simulated office environment and the use of a range of office</w:t>
            </w:r>
            <w:r w:rsidRPr="000833F4">
              <w:t xml:space="preserve"> equipment, technology and consumables. These may include standard commercial computer hardware, software, telephones, facsimiles, and other relevant office equipment. </w:t>
            </w:r>
          </w:p>
        </w:tc>
      </w:tr>
    </w:tbl>
    <w:p w:rsidR="00000000" w:rsidRPr="000833F4" w:rsidP="000833F4">
      <w:pPr>
        <w:pStyle w:val="BodyText"/>
      </w:pPr>
    </w:p>
    <w:p w:rsidR="00000000" w:rsidRPr="000833F4" w:rsidP="000833F4">
      <w:pPr>
        <w:pStyle w:val="AllowPageBreak"/>
      </w:pPr>
    </w:p>
    <w:p w:rsidR="00000000" w:rsidRPr="000833F4" w:rsidP="000833F4">
      <w:pPr>
        <w:pStyle w:val="Heading1"/>
      </w:pPr>
      <w:bookmarkStart w:id="11" w:name="O_318382"/>
      <w:bookmarkEnd w:id="11"/>
      <w:r w:rsidRPr="000833F4">
        <w:t>Range Statement</w:t>
      </w:r>
    </w:p>
    <w:tbl>
      <w:tblPr>
        <w:tblW w:w="0" w:type="auto"/>
        <w:tblLayout w:type="fixed"/>
        <w:tblCellMar>
          <w:left w:w="62" w:type="dxa"/>
          <w:right w:w="62" w:type="dxa"/>
        </w:tblCellMar>
        <w:tblLook w:val="0000"/>
      </w:tblPr>
      <w:tblGrid>
        <w:gridCol w:w="4500"/>
        <w:gridCol w:w="4500"/>
      </w:tblGrid>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33F4">
            <w:pPr>
              <w:pStyle w:val="BodyText"/>
              <w:rPr>
                <w:lang w:val="en-NZ"/>
              </w:rPr>
            </w:pPr>
          </w:p>
        </w:tc>
      </w:tr>
      <w:tr w:rsidTr="00C61F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The range statement relates to the unit of competency as a whole. It allows for different work environments and situations that will affect performance.</w:t>
            </w:r>
          </w:p>
          <w:p w:rsidR="00000000" w:rsidP="000833F4">
            <w:pPr>
              <w:pStyle w:val="BodyText"/>
              <w:rPr>
                <w:lang w:val="en-NZ"/>
              </w:rPr>
            </w:pPr>
            <w:r w:rsidRPr="000833F4">
              <w:t>The following variables may be present with training and assessment depending on the work situation, ne</w:t>
            </w:r>
            <w:r w:rsidRPr="000833F4">
              <w:t xml:space="preserve">eds of the candidate, accessibility of the item, and local industry and regional contexts. If </w:t>
            </w:r>
            <w:r w:rsidRPr="000833F4">
              <w:rPr>
                <w:rStyle w:val="SpecialBold"/>
              </w:rPr>
              <w:t>bold italicised</w:t>
            </w:r>
            <w:r w:rsidRPr="000833F4">
              <w:t xml:space="preserve"> text is shown in Performance Criteria, details of the text are provided in the Range Statement.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Forecasts</w:t>
            </w:r>
            <w:r w:rsidRPr="000833F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premium</w:t>
            </w:r>
          </w:p>
          <w:p w:rsidR="00000000" w:rsidRPr="000833F4" w:rsidP="000833F4">
            <w:pPr>
              <w:pStyle w:val="BodyText"/>
            </w:pPr>
            <w:r w:rsidRPr="000833F4">
              <w:t>management expenses</w:t>
            </w:r>
          </w:p>
          <w:p w:rsidR="00000000" w:rsidRPr="000833F4" w:rsidP="000833F4">
            <w:pPr>
              <w:pStyle w:val="BodyText"/>
            </w:pPr>
            <w:r w:rsidRPr="000833F4">
              <w:t>short term (1 year) or long term (5 year)</w:t>
            </w:r>
          </w:p>
          <w:p w:rsidR="00000000" w:rsidRPr="000833F4" w:rsidP="000833F4">
            <w:pPr>
              <w:pStyle w:val="BodyText"/>
            </w:pPr>
            <w:r w:rsidRPr="000833F4">
              <w:t>reinsurance proposed levels</w:t>
            </w:r>
          </w:p>
          <w:p w:rsidR="00000000" w:rsidRPr="000833F4" w:rsidP="000833F4">
            <w:pPr>
              <w:pStyle w:val="BodyText"/>
            </w:pPr>
            <w:r w:rsidRPr="000833F4">
              <w:t>claims</w:t>
            </w:r>
          </w:p>
          <w:p w:rsidR="00000000" w:rsidRPr="000833F4" w:rsidP="000833F4">
            <w:pPr>
              <w:pStyle w:val="BodyText"/>
            </w:pPr>
            <w:r w:rsidRPr="000833F4">
              <w:t>investment income</w:t>
            </w:r>
          </w:p>
          <w:p w:rsidR="00000000" w:rsidP="000833F4">
            <w:pPr>
              <w:pStyle w:val="BodyText"/>
              <w:rPr>
                <w:lang w:val="en-NZ"/>
              </w:rPr>
            </w:pPr>
            <w:r w:rsidRPr="000833F4">
              <w:t xml:space="preserve">capital expenditure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Company policy and procedures</w:t>
            </w:r>
            <w:r w:rsidRPr="000833F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operations manuals</w:t>
            </w:r>
          </w:p>
          <w:p w:rsidR="00000000" w:rsidRPr="000833F4" w:rsidP="000833F4">
            <w:pPr>
              <w:pStyle w:val="BodyText"/>
            </w:pPr>
            <w:r w:rsidRPr="000833F4">
              <w:t>internal control guidelines</w:t>
            </w:r>
          </w:p>
          <w:p w:rsidR="00000000" w:rsidP="000833F4">
            <w:pPr>
              <w:pStyle w:val="BodyText"/>
              <w:rPr>
                <w:lang w:val="en-NZ"/>
              </w:rPr>
            </w:pPr>
            <w:r w:rsidRPr="000833F4">
              <w:t xml:space="preserve">computer system documentation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Current and historical financial reports</w:t>
            </w:r>
            <w:r w:rsidRPr="000833F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new business reports</w:t>
            </w:r>
          </w:p>
          <w:p w:rsidR="00000000" w:rsidRPr="000833F4" w:rsidP="000833F4">
            <w:pPr>
              <w:pStyle w:val="BodyText"/>
            </w:pPr>
            <w:r w:rsidRPr="000833F4">
              <w:t>loss reports</w:t>
            </w:r>
          </w:p>
          <w:p w:rsidR="00000000" w:rsidRPr="000833F4" w:rsidP="000833F4">
            <w:pPr>
              <w:pStyle w:val="BodyText"/>
            </w:pPr>
            <w:r w:rsidRPr="000833F4">
              <w:t>change in renewal date of policies</w:t>
            </w:r>
          </w:p>
          <w:p w:rsidR="00000000" w:rsidRPr="000833F4" w:rsidP="000833F4">
            <w:pPr>
              <w:pStyle w:val="BodyText"/>
            </w:pPr>
            <w:r w:rsidRPr="000833F4">
              <w:t>customer retention</w:t>
            </w:r>
          </w:p>
          <w:p w:rsidR="00000000" w:rsidP="000833F4">
            <w:pPr>
              <w:pStyle w:val="BodyText"/>
              <w:rPr>
                <w:lang w:val="en-NZ"/>
              </w:rPr>
            </w:pPr>
            <w:r w:rsidRPr="000833F4">
              <w:t xml:space="preserve">commission and charges ratios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External environment</w:t>
            </w:r>
            <w:r w:rsidRPr="000833F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market place</w:t>
            </w:r>
          </w:p>
          <w:p w:rsidR="00000000" w:rsidRPr="000833F4" w:rsidP="000833F4">
            <w:pPr>
              <w:pStyle w:val="BodyText"/>
            </w:pPr>
            <w:r w:rsidRPr="000833F4">
              <w:t>act</w:t>
            </w:r>
            <w:r w:rsidRPr="000833F4">
              <w:t>ivities of competitors</w:t>
            </w:r>
          </w:p>
          <w:p w:rsidR="00000000" w:rsidRPr="000833F4" w:rsidP="000833F4">
            <w:pPr>
              <w:pStyle w:val="BodyText"/>
            </w:pPr>
            <w:r w:rsidRPr="000833F4">
              <w:t>inflation rates</w:t>
            </w:r>
          </w:p>
          <w:p w:rsidR="00000000" w:rsidRPr="000833F4" w:rsidP="000833F4">
            <w:pPr>
              <w:pStyle w:val="BodyText"/>
            </w:pPr>
            <w:r w:rsidRPr="000833F4">
              <w:t>consumer activity</w:t>
            </w:r>
          </w:p>
          <w:p w:rsidR="00000000" w:rsidRPr="000833F4" w:rsidP="000833F4">
            <w:pPr>
              <w:pStyle w:val="BodyText"/>
            </w:pPr>
            <w:r w:rsidRPr="000833F4">
              <w:t>softness/hardness of market</w:t>
            </w:r>
          </w:p>
          <w:p w:rsidR="00000000" w:rsidRPr="000833F4" w:rsidP="000833F4">
            <w:pPr>
              <w:pStyle w:val="BodyText"/>
            </w:pPr>
            <w:r w:rsidRPr="000833F4">
              <w:t>government policy</w:t>
            </w:r>
          </w:p>
          <w:p w:rsidR="00000000" w:rsidP="000833F4">
            <w:pPr>
              <w:pStyle w:val="BodyText"/>
              <w:rPr>
                <w:lang w:val="en-NZ"/>
              </w:rPr>
            </w:pPr>
            <w:r w:rsidRPr="000833F4">
              <w:t xml:space="preserve">finance markets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Models</w:t>
            </w:r>
            <w:r w:rsidRPr="000833F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alternative scenarios</w:t>
            </w:r>
          </w:p>
          <w:p w:rsidR="00000000" w:rsidRPr="000833F4" w:rsidP="000833F4">
            <w:pPr>
              <w:pStyle w:val="BodyText"/>
            </w:pPr>
            <w:r w:rsidRPr="000833F4">
              <w:t>sensitivity analysis</w:t>
            </w:r>
          </w:p>
          <w:p w:rsidR="00000000" w:rsidRPr="000833F4" w:rsidP="000833F4">
            <w:pPr>
              <w:pStyle w:val="BodyText"/>
            </w:pPr>
            <w:r w:rsidRPr="000833F4">
              <w:t>format for calculations</w:t>
            </w:r>
          </w:p>
          <w:p w:rsidR="00000000" w:rsidRPr="000833F4" w:rsidP="000833F4">
            <w:pPr>
              <w:pStyle w:val="BodyText"/>
            </w:pPr>
            <w:r w:rsidRPr="000833F4">
              <w:t>cost/profit centre analysis</w:t>
            </w:r>
          </w:p>
          <w:p w:rsidR="00000000" w:rsidP="000833F4">
            <w:pPr>
              <w:pStyle w:val="BodyText"/>
              <w:rPr>
                <w:lang w:val="en-NZ"/>
              </w:rPr>
            </w:pPr>
            <w:r w:rsidRPr="000833F4">
              <w:t xml:space="preserve">simulations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t xml:space="preserve">models can be stand alone or be driven from computer ledgers. Include account structure at summary level and key ratios </w:t>
            </w:r>
          </w:p>
        </w:tc>
      </w:tr>
      <w:tr w:rsidTr="00C61F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33F4">
            <w:pPr>
              <w:pStyle w:val="BodyText"/>
              <w:rPr>
                <w:lang w:val="en-NZ"/>
              </w:rPr>
            </w:pPr>
            <w:r w:rsidRPr="000833F4">
              <w:rPr>
                <w:rStyle w:val="SpecialBold"/>
              </w:rPr>
              <w:t>Users</w:t>
            </w:r>
            <w:r w:rsidRPr="000833F4">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33F4" w:rsidP="000833F4">
            <w:pPr>
              <w:pStyle w:val="BodyText"/>
            </w:pPr>
            <w:r w:rsidRPr="000833F4">
              <w:t>branch managers</w:t>
            </w:r>
          </w:p>
          <w:p w:rsidR="00000000" w:rsidRPr="000833F4" w:rsidP="000833F4">
            <w:pPr>
              <w:pStyle w:val="BodyText"/>
            </w:pPr>
            <w:r w:rsidRPr="000833F4">
              <w:t>product managers</w:t>
            </w:r>
          </w:p>
          <w:p w:rsidR="00000000" w:rsidRPr="000833F4" w:rsidP="000833F4">
            <w:pPr>
              <w:pStyle w:val="BodyText"/>
            </w:pPr>
            <w:r w:rsidRPr="000833F4">
              <w:t>directors</w:t>
            </w:r>
          </w:p>
          <w:p w:rsidR="00000000" w:rsidRPr="000833F4" w:rsidP="000833F4">
            <w:pPr>
              <w:pStyle w:val="BodyText"/>
            </w:pPr>
            <w:r w:rsidRPr="000833F4">
              <w:t>banks</w:t>
            </w:r>
          </w:p>
          <w:p w:rsidR="00000000" w:rsidRPr="000833F4" w:rsidP="000833F4">
            <w:pPr>
              <w:pStyle w:val="BodyText"/>
            </w:pPr>
            <w:r w:rsidRPr="000833F4">
              <w:t>claims managers</w:t>
            </w:r>
          </w:p>
          <w:p w:rsidR="00000000" w:rsidRPr="000833F4" w:rsidP="000833F4">
            <w:pPr>
              <w:pStyle w:val="BodyText"/>
            </w:pPr>
            <w:r w:rsidRPr="000833F4">
              <w:t>Australian Bureau of Statistics</w:t>
            </w:r>
          </w:p>
          <w:p w:rsidR="00000000" w:rsidRPr="000833F4" w:rsidP="000833F4">
            <w:pPr>
              <w:pStyle w:val="BodyText"/>
            </w:pPr>
            <w:r w:rsidRPr="000833F4">
              <w:t>regional/state man</w:t>
            </w:r>
            <w:r w:rsidRPr="000833F4">
              <w:t>agers</w:t>
            </w:r>
          </w:p>
          <w:p w:rsidR="00000000" w:rsidRPr="000833F4" w:rsidP="000833F4">
            <w:pPr>
              <w:pStyle w:val="BodyText"/>
            </w:pPr>
            <w:r w:rsidRPr="000833F4">
              <w:t>distribution stream managers</w:t>
            </w:r>
          </w:p>
          <w:p w:rsidR="00000000" w:rsidRPr="000833F4" w:rsidP="000833F4">
            <w:pPr>
              <w:pStyle w:val="BodyText"/>
            </w:pPr>
            <w:r w:rsidRPr="000833F4">
              <w:t>finance section</w:t>
            </w:r>
          </w:p>
          <w:p w:rsidR="00000000" w:rsidRPr="000833F4" w:rsidP="000833F4">
            <w:pPr>
              <w:pStyle w:val="BodyText"/>
            </w:pPr>
            <w:r w:rsidRPr="000833F4">
              <w:t>shareholders</w:t>
            </w:r>
          </w:p>
          <w:p w:rsidR="00000000" w:rsidRPr="000833F4" w:rsidP="000833F4">
            <w:pPr>
              <w:pStyle w:val="BodyText"/>
            </w:pPr>
            <w:r w:rsidRPr="000833F4">
              <w:t xml:space="preserve">underwriting managers </w:t>
            </w:r>
          </w:p>
        </w:tc>
      </w:tr>
    </w:tbl>
    <w:p w:rsidR="00000000" w:rsidRPr="000833F4" w:rsidP="000833F4">
      <w:pPr>
        <w:pStyle w:val="BodyText"/>
      </w:pPr>
    </w:p>
    <w:p w:rsidR="00000000" w:rsidRPr="000833F4" w:rsidP="000833F4">
      <w:pPr>
        <w:pStyle w:val="AllowPageBreak"/>
      </w:pPr>
    </w:p>
    <w:p w:rsidR="00000000" w:rsidRPr="000833F4" w:rsidP="000833F4">
      <w:pPr>
        <w:pStyle w:val="Heading1"/>
      </w:pPr>
      <w:bookmarkStart w:id="12" w:name="O_318383"/>
      <w:bookmarkEnd w:id="12"/>
      <w:r w:rsidRPr="000833F4">
        <w:t>Unit Sector(s)</w:t>
      </w:r>
    </w:p>
    <w:p w:rsidR="00000000" w:rsidRPr="000833F4" w:rsidP="000833F4">
      <w:pPr>
        <w:pStyle w:val="BodyText"/>
      </w:pPr>
      <w:r w:rsidRPr="000833F4">
        <w:t>Not applicable.</w:t>
      </w:r>
    </w:p>
    <w:p w:rsidR="00000000" w:rsidRPr="000833F4" w:rsidP="000833F4">
      <w:pPr>
        <w:pStyle w:val="AllowPageBreak"/>
      </w:pPr>
    </w:p>
    <w:p w:rsidR="00000000" w:rsidRPr="000833F4" w:rsidP="000833F4">
      <w:pPr>
        <w:pStyle w:val="Heading1"/>
      </w:pPr>
      <w:bookmarkStart w:id="13" w:name="O_318371"/>
      <w:bookmarkEnd w:id="13"/>
      <w:r w:rsidRPr="000833F4">
        <w:t>Relationship to other units</w:t>
      </w:r>
    </w:p>
    <w:p w:rsidR="00000000" w:rsidRPr="000833F4" w:rsidP="000833F4">
      <w:pPr>
        <w:pStyle w:val="BodyText"/>
      </w:pPr>
      <w:r w:rsidRPr="000833F4">
        <w:t>This unit replaces FNSICORG517A.</w:t>
      </w:r>
    </w:p>
    <w:p w:rsidR="00000000" w:rsidRPr="000833F4" w:rsidP="000833F4">
      <w:pPr>
        <w:pStyle w:val="BodyText"/>
      </w:pPr>
      <w:r w:rsidRPr="000833F4">
        <w:t>This unit replaces FNSICORG517A.</w:t>
      </w:r>
    </w:p>
    <w:p w:rsidR="00000000" w:rsidRPr="000833F4" w:rsidP="000833F4"/>
    <w:sectPr w:rsidSect="00083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F3F" w:rsidP="00C61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3F" w:rsidP="00083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1F3F" w:rsidP="000833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61F3F" w:rsidP="000833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F3F" w:rsidP="00C61F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3F" w:rsidP="000833F4">
    <w:pPr>
      <w:pStyle w:val="Header"/>
      <w:framePr w:wrap="around"/>
    </w:pPr>
    <w:r>
      <w:fldChar w:fldCharType="begin"/>
    </w:r>
    <w:r>
      <w:instrText xml:space="preserve"> TITLE   \* MERGEFORMAT </w:instrText>
    </w:r>
    <w:r>
      <w:fldChar w:fldCharType="separate"/>
    </w:r>
    <w:r>
      <w:t>FNSICORG517B Prepare financial forecasts and projections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1F3F" w:rsidP="000833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3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33F4"/>
    <w:pPr>
      <w:spacing w:before="360" w:after="60"/>
      <w:outlineLvl w:val="0"/>
    </w:pPr>
    <w:rPr>
      <w:sz w:val="32"/>
    </w:rPr>
  </w:style>
  <w:style w:type="paragraph" w:styleId="Heading2">
    <w:name w:val="heading 2"/>
    <w:basedOn w:val="HeadingBase"/>
    <w:next w:val="BodyText"/>
    <w:link w:val="Heading2Char"/>
    <w:qFormat/>
    <w:rsid w:val="000833F4"/>
    <w:pPr>
      <w:keepLines/>
      <w:spacing w:before="240" w:after="120"/>
      <w:outlineLvl w:val="1"/>
    </w:pPr>
    <w:rPr>
      <w:sz w:val="28"/>
      <w:szCs w:val="40"/>
    </w:rPr>
  </w:style>
  <w:style w:type="paragraph" w:styleId="Heading3">
    <w:name w:val="heading 3"/>
    <w:basedOn w:val="HeadingBase"/>
    <w:next w:val="BodyText"/>
    <w:link w:val="Heading3Char"/>
    <w:qFormat/>
    <w:rsid w:val="000833F4"/>
    <w:pPr>
      <w:spacing w:before="180" w:after="120"/>
      <w:outlineLvl w:val="2"/>
    </w:pPr>
    <w:rPr>
      <w:spacing w:val="-10"/>
      <w:kern w:val="32"/>
    </w:rPr>
  </w:style>
  <w:style w:type="paragraph" w:styleId="Heading4">
    <w:name w:val="heading 4"/>
    <w:basedOn w:val="HeadingBase"/>
    <w:next w:val="BodyText"/>
    <w:link w:val="Heading4Char"/>
    <w:qFormat/>
    <w:rsid w:val="000833F4"/>
    <w:pPr>
      <w:spacing w:before="160" w:after="120"/>
      <w:outlineLvl w:val="3"/>
    </w:pPr>
    <w:rPr>
      <w:sz w:val="22"/>
    </w:rPr>
  </w:style>
  <w:style w:type="paragraph" w:styleId="Heading5">
    <w:name w:val="heading 5"/>
    <w:basedOn w:val="HeadingBase"/>
    <w:next w:val="Normal"/>
    <w:link w:val="Heading5Char"/>
    <w:qFormat/>
    <w:rsid w:val="000833F4"/>
    <w:pPr>
      <w:spacing w:before="80"/>
      <w:outlineLvl w:val="4"/>
    </w:pPr>
    <w:rPr>
      <w:color w:val="918585"/>
      <w:sz w:val="20"/>
    </w:rPr>
  </w:style>
  <w:style w:type="paragraph" w:styleId="Heading6">
    <w:name w:val="heading 6"/>
    <w:basedOn w:val="HeadingBase"/>
    <w:next w:val="Normal"/>
    <w:link w:val="Heading6Char"/>
    <w:qFormat/>
    <w:rsid w:val="000833F4"/>
    <w:pPr>
      <w:spacing w:before="60"/>
      <w:outlineLvl w:val="5"/>
    </w:pPr>
    <w:rPr>
      <w:color w:val="918585"/>
      <w:sz w:val="20"/>
    </w:rPr>
  </w:style>
  <w:style w:type="paragraph" w:styleId="Heading7">
    <w:name w:val="heading 7"/>
    <w:basedOn w:val="Normal"/>
    <w:next w:val="Normal"/>
    <w:link w:val="Heading7Char"/>
    <w:qFormat/>
    <w:rsid w:val="000833F4"/>
    <w:pPr>
      <w:ind w:left="720"/>
      <w:outlineLvl w:val="6"/>
    </w:pPr>
    <w:rPr>
      <w:i/>
    </w:rPr>
  </w:style>
  <w:style w:type="paragraph" w:styleId="Heading8">
    <w:name w:val="heading 8"/>
    <w:basedOn w:val="Normal"/>
    <w:next w:val="Normal"/>
    <w:link w:val="Heading8Char"/>
    <w:qFormat/>
    <w:rsid w:val="000833F4"/>
    <w:pPr>
      <w:ind w:left="720"/>
      <w:outlineLvl w:val="7"/>
    </w:pPr>
    <w:rPr>
      <w:i/>
    </w:rPr>
  </w:style>
  <w:style w:type="paragraph" w:styleId="Heading9">
    <w:name w:val="heading 9"/>
    <w:basedOn w:val="Normal"/>
    <w:next w:val="Normal"/>
    <w:link w:val="Heading9Char"/>
    <w:qFormat/>
    <w:rsid w:val="000833F4"/>
    <w:pPr>
      <w:ind w:left="720"/>
      <w:outlineLvl w:val="8"/>
    </w:pPr>
    <w:rPr>
      <w:i/>
    </w:rPr>
  </w:style>
  <w:style w:type="character" w:default="1" w:styleId="DefaultParagraphFont">
    <w:name w:val="Default Paragraph Font"/>
    <w:uiPriority w:val="1"/>
    <w:unhideWhenUsed/>
    <w:rsid w:val="00083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3F4"/>
  </w:style>
  <w:style w:type="character" w:customStyle="1" w:styleId="Heading1Char">
    <w:name w:val="Heading 1 Char"/>
    <w:basedOn w:val="DefaultParagraphFont"/>
    <w:link w:val="Heading1"/>
    <w:rsid w:val="000833F4"/>
    <w:rPr>
      <w:rFonts w:ascii="Times New Roman" w:eastAsia="Times New Roman" w:hAnsi="Times New Roman" w:cs="Times New Roman"/>
      <w:b/>
      <w:sz w:val="32"/>
      <w:szCs w:val="20"/>
      <w:lang w:eastAsia="en-US"/>
    </w:rPr>
  </w:style>
  <w:style w:type="paragraph" w:styleId="BodyText">
    <w:name w:val="Body Text"/>
    <w:basedOn w:val="Normal"/>
    <w:link w:val="BodyTextChar"/>
    <w:rsid w:val="000833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3F4"/>
    <w:rPr>
      <w:rFonts w:ascii="Times New Roman" w:eastAsia="Times New Roman" w:hAnsi="Times New Roman" w:cs="Times New Roman"/>
      <w:sz w:val="24"/>
      <w:lang w:val="en-US" w:eastAsia="en-US"/>
    </w:rPr>
  </w:style>
  <w:style w:type="paragraph" w:styleId="Footer">
    <w:name w:val="footer"/>
    <w:basedOn w:val="Normal"/>
    <w:link w:val="FooterChar"/>
    <w:rsid w:val="00083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3F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833F4"/>
    <w:rPr>
      <w:b/>
      <w:spacing w:val="0"/>
    </w:rPr>
  </w:style>
  <w:style w:type="paragraph" w:styleId="Header">
    <w:name w:val="header"/>
    <w:basedOn w:val="Normal"/>
    <w:link w:val="HeaderChar"/>
    <w:rsid w:val="00083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3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33F4"/>
    <w:pPr>
      <w:spacing w:before="240" w:after="120"/>
      <w:outlineLvl w:val="0"/>
    </w:pPr>
    <w:rPr>
      <w:rFonts w:ascii="Times New Roman" w:hAnsi="Times New Roman"/>
      <w:b/>
      <w:sz w:val="28"/>
    </w:rPr>
  </w:style>
  <w:style w:type="paragraph" w:customStyle="1" w:styleId="AllowPageBreak">
    <w:name w:val="AllowPageBreak"/>
    <w:rsid w:val="00083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3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33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33F4"/>
    <w:rPr>
      <w:rFonts w:ascii="Courier New" w:eastAsia="Times New Roman" w:hAnsi="Courier New" w:cs="Times New Roman"/>
      <w:i/>
      <w:szCs w:val="20"/>
      <w:lang w:val="en-US" w:eastAsia="en-US"/>
    </w:rPr>
  </w:style>
  <w:style w:type="paragraph" w:customStyle="1" w:styleId="HeadingBase">
    <w:name w:val="Heading Base"/>
    <w:rsid w:val="00083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3F4"/>
    <w:pPr>
      <w:tabs>
        <w:tab w:val="right" w:leader="dot" w:pos="9072"/>
      </w:tabs>
      <w:ind w:left="567"/>
    </w:pPr>
    <w:rPr>
      <w:szCs w:val="22"/>
    </w:rPr>
  </w:style>
  <w:style w:type="paragraph" w:customStyle="1" w:styleId="TOCBase">
    <w:name w:val="TOC Base"/>
    <w:rsid w:val="00083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3F4"/>
    <w:pPr>
      <w:tabs>
        <w:tab w:val="right" w:leader="dot" w:pos="9072"/>
      </w:tabs>
      <w:spacing w:before="40" w:after="40"/>
      <w:ind w:left="284"/>
    </w:pPr>
    <w:rPr>
      <w:rFonts w:ascii="Times New Roman" w:hAnsi="Times New Roman"/>
    </w:rPr>
  </w:style>
  <w:style w:type="paragraph" w:styleId="TOC1">
    <w:name w:val="toc 1"/>
    <w:basedOn w:val="TOCBase"/>
    <w:next w:val="Normal"/>
    <w:rsid w:val="000833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33F4"/>
    <w:pPr>
      <w:spacing w:before="5040"/>
      <w:jc w:val="center"/>
    </w:pPr>
    <w:rPr>
      <w:sz w:val="48"/>
      <w:szCs w:val="72"/>
      <w:lang w:val="en-US"/>
    </w:rPr>
  </w:style>
  <w:style w:type="character" w:customStyle="1" w:styleId="TitleChar">
    <w:name w:val="Title Char"/>
    <w:basedOn w:val="DefaultParagraphFont"/>
    <w:link w:val="Title"/>
    <w:rsid w:val="00083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3F4"/>
    <w:pPr>
      <w:tabs>
        <w:tab w:val="left" w:pos="3600"/>
        <w:tab w:val="left" w:pos="3958"/>
      </w:tabs>
    </w:pPr>
  </w:style>
  <w:style w:type="paragraph" w:styleId="List">
    <w:name w:val="List"/>
    <w:basedOn w:val="BodyText"/>
    <w:next w:val="BodyText"/>
    <w:rsid w:val="000833F4"/>
    <w:pPr>
      <w:tabs>
        <w:tab w:val="left" w:pos="340"/>
      </w:tabs>
      <w:spacing w:before="60" w:after="60"/>
      <w:ind w:left="340" w:hanging="340"/>
    </w:pPr>
  </w:style>
  <w:style w:type="paragraph" w:styleId="ListBullet">
    <w:name w:val="List Bullet"/>
    <w:basedOn w:val="List"/>
    <w:rsid w:val="000833F4"/>
    <w:pPr>
      <w:numPr>
        <w:numId w:val="11"/>
      </w:numPr>
      <w:tabs>
        <w:tab w:val="clear" w:pos="340"/>
      </w:tabs>
      <w:spacing w:before="40" w:after="40"/>
    </w:pPr>
  </w:style>
  <w:style w:type="paragraph" w:customStyle="1" w:styleId="Note">
    <w:name w:val="Note"/>
    <w:basedOn w:val="BodyText"/>
    <w:rsid w:val="00083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3F4"/>
    <w:pPr>
      <w:framePr w:wrap="auto" w:hAnchor="text" w:y="6049"/>
    </w:pPr>
    <w:rPr>
      <w:color w:val="000000"/>
      <w:sz w:val="40"/>
    </w:rPr>
  </w:style>
  <w:style w:type="paragraph" w:customStyle="1" w:styleId="TOCTitle">
    <w:name w:val="TOCTitle"/>
    <w:basedOn w:val="Heading1"/>
    <w:rsid w:val="000833F4"/>
    <w:pPr>
      <w:spacing w:after="240"/>
      <w:jc w:val="center"/>
      <w:outlineLvl w:val="9"/>
    </w:pPr>
    <w:rPr>
      <w:caps/>
    </w:rPr>
  </w:style>
  <w:style w:type="paragraph" w:customStyle="1" w:styleId="Version">
    <w:name w:val="Version"/>
    <w:rsid w:val="000833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3F4"/>
    <w:pPr>
      <w:numPr>
        <w:numId w:val="12"/>
      </w:numPr>
      <w:tabs>
        <w:tab w:val="clear" w:pos="680"/>
      </w:tabs>
    </w:pPr>
  </w:style>
  <w:style w:type="paragraph" w:styleId="Index1">
    <w:name w:val="index 1"/>
    <w:basedOn w:val="Normal"/>
    <w:next w:val="Normal"/>
    <w:semiHidden/>
    <w:rsid w:val="000833F4"/>
    <w:pPr>
      <w:keepNext w:val="0"/>
      <w:tabs>
        <w:tab w:val="right" w:pos="4176"/>
      </w:tabs>
      <w:ind w:left="198" w:hanging="198"/>
    </w:pPr>
    <w:rPr>
      <w:rFonts w:ascii="Garamond" w:hAnsi="Garamond"/>
    </w:rPr>
  </w:style>
  <w:style w:type="paragraph" w:styleId="IndexHeading">
    <w:name w:val="index heading"/>
    <w:basedOn w:val="Normal"/>
    <w:next w:val="Index1"/>
    <w:semiHidden/>
    <w:rsid w:val="000833F4"/>
    <w:pPr>
      <w:spacing w:before="120" w:after="120"/>
    </w:pPr>
    <w:rPr>
      <w:rFonts w:ascii="Arial" w:hAnsi="Arial"/>
      <w:b/>
      <w:color w:val="918585"/>
      <w:sz w:val="24"/>
    </w:rPr>
  </w:style>
  <w:style w:type="paragraph" w:customStyle="1" w:styleId="Chapter">
    <w:name w:val="Chapter"/>
    <w:basedOn w:val="Normal"/>
    <w:rsid w:val="000833F4"/>
    <w:pPr>
      <w:spacing w:before="240"/>
    </w:pPr>
    <w:rPr>
      <w:rFonts w:ascii="Times New Roman" w:hAnsi="Times New Roman"/>
      <w:smallCaps/>
      <w:spacing w:val="80"/>
      <w:sz w:val="28"/>
    </w:rPr>
  </w:style>
  <w:style w:type="paragraph" w:customStyle="1" w:styleId="InChapter">
    <w:name w:val="InChapter"/>
    <w:basedOn w:val="Heading3"/>
    <w:rsid w:val="000833F4"/>
    <w:pPr>
      <w:spacing w:after="240"/>
      <w:outlineLvl w:val="9"/>
    </w:pPr>
    <w:rPr>
      <w:noProof/>
    </w:rPr>
  </w:style>
  <w:style w:type="paragraph" w:styleId="Index2">
    <w:name w:val="index 2"/>
    <w:basedOn w:val="Normal"/>
    <w:next w:val="Normal"/>
    <w:semiHidden/>
    <w:rsid w:val="000833F4"/>
    <w:pPr>
      <w:tabs>
        <w:tab w:val="right" w:pos="4176"/>
      </w:tabs>
      <w:ind w:left="568" w:hanging="284"/>
    </w:pPr>
    <w:rPr>
      <w:rFonts w:ascii="Garamond" w:hAnsi="Garamond"/>
    </w:rPr>
  </w:style>
  <w:style w:type="paragraph" w:customStyle="1" w:styleId="Byline">
    <w:name w:val="Byline"/>
    <w:rsid w:val="00083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3F4"/>
    <w:pPr>
      <w:tabs>
        <w:tab w:val="clear" w:pos="3600"/>
        <w:tab w:val="clear" w:pos="3958"/>
      </w:tabs>
      <w:jc w:val="right"/>
    </w:pPr>
  </w:style>
  <w:style w:type="character" w:styleId="Emphasis">
    <w:name w:val="Emphasis"/>
    <w:basedOn w:val="DefaultParagraphFont"/>
    <w:qFormat/>
    <w:rsid w:val="000833F4"/>
    <w:rPr>
      <w:i/>
    </w:rPr>
  </w:style>
  <w:style w:type="paragraph" w:styleId="Caption">
    <w:name w:val="caption"/>
    <w:basedOn w:val="BodyText"/>
    <w:next w:val="Normal"/>
    <w:qFormat/>
    <w:rsid w:val="000833F4"/>
    <w:pPr>
      <w:framePr w:w="2268" w:hSpace="181" w:vSpace="181" w:wrap="around" w:vAnchor="text" w:hAnchor="page" w:x="1135" w:y="285" w:anchorLock="1"/>
    </w:pPr>
    <w:rPr>
      <w:i/>
    </w:rPr>
  </w:style>
  <w:style w:type="paragraph" w:customStyle="1" w:styleId="MiniTOCTitle">
    <w:name w:val="MiniTOCTitle"/>
    <w:basedOn w:val="Heading4"/>
    <w:rsid w:val="000833F4"/>
    <w:pPr>
      <w:spacing w:before="240"/>
      <w:outlineLvl w:val="9"/>
    </w:pPr>
    <w:rPr>
      <w:noProof/>
      <w:sz w:val="24"/>
    </w:rPr>
  </w:style>
  <w:style w:type="paragraph" w:customStyle="1" w:styleId="MiniTOCItem">
    <w:name w:val="MiniTOCItem"/>
    <w:basedOn w:val="ListBullet"/>
    <w:rsid w:val="000833F4"/>
    <w:pPr>
      <w:numPr>
        <w:numId w:val="0"/>
      </w:numPr>
      <w:tabs>
        <w:tab w:val="right" w:leader="dot" w:pos="6521"/>
      </w:tabs>
      <w:spacing w:before="0" w:after="0"/>
    </w:pPr>
  </w:style>
  <w:style w:type="paragraph" w:customStyle="1" w:styleId="TOFTitle">
    <w:name w:val="TOFTitle"/>
    <w:basedOn w:val="TOCTitle"/>
    <w:rsid w:val="000833F4"/>
  </w:style>
  <w:style w:type="paragraph" w:styleId="TableofFigures">
    <w:name w:val="table of figures"/>
    <w:basedOn w:val="Normal"/>
    <w:next w:val="Normal"/>
    <w:semiHidden/>
    <w:rsid w:val="000833F4"/>
    <w:pPr>
      <w:tabs>
        <w:tab w:val="right" w:leader="dot" w:pos="9072"/>
      </w:tabs>
      <w:ind w:left="970" w:hanging="403"/>
    </w:pPr>
    <w:rPr>
      <w:rFonts w:ascii="Times New Roman" w:hAnsi="Times New Roman"/>
      <w:b/>
    </w:rPr>
  </w:style>
  <w:style w:type="paragraph" w:styleId="ListNumber">
    <w:name w:val="List Number"/>
    <w:basedOn w:val="List"/>
    <w:rsid w:val="000833F4"/>
    <w:pPr>
      <w:numPr>
        <w:numId w:val="9"/>
      </w:numPr>
    </w:pPr>
  </w:style>
  <w:style w:type="character" w:customStyle="1" w:styleId="WingdingSymbols">
    <w:name w:val="Wingding Symbols"/>
    <w:rsid w:val="000833F4"/>
    <w:rPr>
      <w:rFonts w:ascii="Wingdings" w:hAnsi="Wingdings"/>
    </w:rPr>
  </w:style>
  <w:style w:type="paragraph" w:customStyle="1" w:styleId="TableHeading">
    <w:name w:val="Table Heading"/>
    <w:basedOn w:val="HeadingBase"/>
    <w:rsid w:val="000833F4"/>
    <w:pPr>
      <w:keepLines/>
      <w:pBdr>
        <w:bottom w:val="single" w:sz="6" w:space="1" w:color="918585"/>
      </w:pBdr>
      <w:spacing w:before="240"/>
    </w:pPr>
  </w:style>
  <w:style w:type="character" w:customStyle="1" w:styleId="HotSpot">
    <w:name w:val="HotSpot"/>
    <w:rsid w:val="000833F4"/>
    <w:rPr>
      <w:color w:val="0033CC"/>
      <w:u w:val="none"/>
    </w:rPr>
  </w:style>
  <w:style w:type="paragraph" w:customStyle="1" w:styleId="BodyTextRight">
    <w:name w:val="Body Text Right"/>
    <w:basedOn w:val="BodyText"/>
    <w:rsid w:val="000833F4"/>
    <w:pPr>
      <w:spacing w:before="0" w:after="0"/>
      <w:jc w:val="right"/>
    </w:pPr>
  </w:style>
  <w:style w:type="paragraph" w:styleId="Index3">
    <w:name w:val="index 3"/>
    <w:basedOn w:val="ListNumber2"/>
    <w:next w:val="Normal"/>
    <w:semiHidden/>
    <w:rsid w:val="000833F4"/>
    <w:pPr>
      <w:numPr>
        <w:numId w:val="0"/>
      </w:numPr>
      <w:tabs>
        <w:tab w:val="right" w:leader="dot" w:pos="4176"/>
      </w:tabs>
    </w:pPr>
  </w:style>
  <w:style w:type="paragraph" w:styleId="ListNumber2">
    <w:name w:val="List Number 2"/>
    <w:basedOn w:val="List2"/>
    <w:rsid w:val="000833F4"/>
    <w:pPr>
      <w:numPr>
        <w:numId w:val="8"/>
      </w:numPr>
      <w:tabs>
        <w:tab w:val="clear" w:pos="1060"/>
      </w:tabs>
    </w:pPr>
  </w:style>
  <w:style w:type="paragraph" w:customStyle="1" w:styleId="MarginNote">
    <w:name w:val="Margin Note"/>
    <w:basedOn w:val="BodyText"/>
    <w:rsid w:val="00083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3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33F4"/>
    <w:rPr>
      <w:sz w:val="32"/>
    </w:rPr>
  </w:style>
  <w:style w:type="paragraph" w:customStyle="1" w:styleId="HeadingProcedure">
    <w:name w:val="Heading Procedure"/>
    <w:basedOn w:val="HeadingBase"/>
    <w:next w:val="Normal"/>
    <w:rsid w:val="000833F4"/>
    <w:pPr>
      <w:tabs>
        <w:tab w:val="left" w:pos="0"/>
      </w:tabs>
      <w:spacing w:before="120" w:after="60"/>
    </w:pPr>
    <w:rPr>
      <w:i/>
      <w:color w:val="918585"/>
      <w:sz w:val="22"/>
    </w:rPr>
  </w:style>
  <w:style w:type="paragraph" w:customStyle="1" w:styleId="TableBodyText">
    <w:name w:val="Table Body Text"/>
    <w:basedOn w:val="BodyText"/>
    <w:rsid w:val="000833F4"/>
    <w:pPr>
      <w:spacing w:before="60" w:after="60"/>
    </w:pPr>
  </w:style>
  <w:style w:type="paragraph" w:styleId="ListContinue">
    <w:name w:val="List Continue"/>
    <w:basedOn w:val="List"/>
    <w:rsid w:val="000833F4"/>
    <w:pPr>
      <w:ind w:firstLine="0"/>
    </w:pPr>
  </w:style>
  <w:style w:type="paragraph" w:customStyle="1" w:styleId="ListNote">
    <w:name w:val="List Note"/>
    <w:basedOn w:val="List"/>
    <w:rsid w:val="000833F4"/>
    <w:pPr>
      <w:pBdr>
        <w:top w:val="single" w:sz="6" w:space="2" w:color="918585"/>
        <w:bottom w:val="single" w:sz="6" w:space="2" w:color="918585"/>
      </w:pBdr>
      <w:tabs>
        <w:tab w:val="left" w:pos="1021"/>
      </w:tabs>
      <w:ind w:firstLine="0"/>
    </w:pPr>
  </w:style>
  <w:style w:type="paragraph" w:customStyle="1" w:styleId="Warning">
    <w:name w:val="Warning"/>
    <w:basedOn w:val="BodyText"/>
    <w:rsid w:val="000833F4"/>
    <w:pPr>
      <w:shd w:val="clear" w:color="auto" w:fill="D9D9D9"/>
      <w:tabs>
        <w:tab w:val="left" w:pos="992"/>
      </w:tabs>
      <w:ind w:left="119" w:right="119"/>
    </w:pPr>
    <w:rPr>
      <w:sz w:val="20"/>
    </w:rPr>
  </w:style>
  <w:style w:type="paragraph" w:customStyle="1" w:styleId="MarginIcons">
    <w:name w:val="Margin Icons"/>
    <w:basedOn w:val="BodyText"/>
    <w:rsid w:val="00083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3F4"/>
    <w:rPr>
      <w:rFonts w:ascii="Courier New" w:hAnsi="Courier New"/>
    </w:rPr>
  </w:style>
  <w:style w:type="paragraph" w:customStyle="1" w:styleId="NoteBullet">
    <w:name w:val="Note Bullet"/>
    <w:basedOn w:val="Note"/>
    <w:rsid w:val="000833F4"/>
    <w:pPr>
      <w:tabs>
        <w:tab w:val="clear" w:pos="680"/>
      </w:tabs>
      <w:spacing w:before="60" w:after="60"/>
    </w:pPr>
  </w:style>
  <w:style w:type="paragraph" w:customStyle="1" w:styleId="SubHeading2">
    <w:name w:val="SubHeading2"/>
    <w:basedOn w:val="HeadingBase"/>
    <w:rsid w:val="000833F4"/>
    <w:pPr>
      <w:spacing w:before="240" w:after="60"/>
    </w:pPr>
    <w:rPr>
      <w:sz w:val="20"/>
    </w:rPr>
  </w:style>
  <w:style w:type="paragraph" w:customStyle="1" w:styleId="SubHeading1">
    <w:name w:val="SubHeading1"/>
    <w:basedOn w:val="HeadingBase"/>
    <w:rsid w:val="000833F4"/>
    <w:pPr>
      <w:spacing w:before="240" w:after="60"/>
    </w:pPr>
    <w:rPr>
      <w:color w:val="918585"/>
      <w:sz w:val="22"/>
    </w:rPr>
  </w:style>
  <w:style w:type="paragraph" w:customStyle="1" w:styleId="SideHeading">
    <w:name w:val="Side Heading"/>
    <w:basedOn w:val="HeadingBase"/>
    <w:rsid w:val="00083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3F4"/>
    <w:pPr>
      <w:numPr>
        <w:numId w:val="10"/>
      </w:numPr>
    </w:pPr>
  </w:style>
  <w:style w:type="paragraph" w:styleId="PlainText">
    <w:name w:val="Plain Text"/>
    <w:basedOn w:val="Normal"/>
    <w:link w:val="PlainTextChar"/>
    <w:rsid w:val="000833F4"/>
    <w:rPr>
      <w:sz w:val="20"/>
    </w:rPr>
  </w:style>
  <w:style w:type="character" w:customStyle="1" w:styleId="PlainTextChar">
    <w:name w:val="Plain Text Char"/>
    <w:basedOn w:val="DefaultParagraphFont"/>
    <w:link w:val="PlainText"/>
    <w:rsid w:val="000833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33F4"/>
    <w:rPr>
      <w:b/>
      <w:smallCaps/>
    </w:rPr>
  </w:style>
  <w:style w:type="paragraph" w:customStyle="1" w:styleId="TableListNumber">
    <w:name w:val="Table List Number"/>
    <w:basedOn w:val="ListNumber"/>
    <w:rsid w:val="000833F4"/>
    <w:pPr>
      <w:numPr>
        <w:numId w:val="0"/>
      </w:numPr>
    </w:pPr>
  </w:style>
  <w:style w:type="paragraph" w:styleId="TOC4">
    <w:name w:val="toc 4"/>
    <w:basedOn w:val="TOCBase"/>
    <w:next w:val="Normal"/>
    <w:semiHidden/>
    <w:rsid w:val="000833F4"/>
    <w:pPr>
      <w:tabs>
        <w:tab w:val="right" w:leader="dot" w:pos="9071"/>
      </w:tabs>
      <w:ind w:left="1701"/>
    </w:pPr>
  </w:style>
  <w:style w:type="paragraph" w:customStyle="1" w:styleId="ListAlpha">
    <w:name w:val="List Alpha"/>
    <w:basedOn w:val="List"/>
    <w:rsid w:val="000833F4"/>
    <w:pPr>
      <w:numPr>
        <w:numId w:val="7"/>
      </w:numPr>
    </w:pPr>
  </w:style>
  <w:style w:type="paragraph" w:customStyle="1" w:styleId="ListAlpha2">
    <w:name w:val="List Alpha 2"/>
    <w:basedOn w:val="List2"/>
    <w:rsid w:val="000833F4"/>
    <w:pPr>
      <w:numPr>
        <w:numId w:val="6"/>
      </w:numPr>
    </w:pPr>
  </w:style>
  <w:style w:type="paragraph" w:styleId="List2">
    <w:name w:val="List 2"/>
    <w:basedOn w:val="BodyText"/>
    <w:rsid w:val="000833F4"/>
    <w:pPr>
      <w:tabs>
        <w:tab w:val="left" w:pos="680"/>
      </w:tabs>
      <w:spacing w:before="60" w:after="60"/>
      <w:ind w:left="680" w:hanging="340"/>
    </w:pPr>
  </w:style>
  <w:style w:type="paragraph" w:styleId="List3">
    <w:name w:val="List 3"/>
    <w:basedOn w:val="BodyText"/>
    <w:rsid w:val="000833F4"/>
    <w:pPr>
      <w:tabs>
        <w:tab w:val="left" w:pos="1021"/>
      </w:tabs>
      <w:spacing w:before="60" w:after="60"/>
      <w:ind w:left="1020" w:hanging="340"/>
    </w:pPr>
  </w:style>
  <w:style w:type="paragraph" w:styleId="List4">
    <w:name w:val="List 4"/>
    <w:basedOn w:val="BodyText"/>
    <w:rsid w:val="000833F4"/>
    <w:pPr>
      <w:tabs>
        <w:tab w:val="left" w:pos="1361"/>
      </w:tabs>
      <w:spacing w:before="60" w:after="60"/>
      <w:ind w:left="1361" w:hanging="340"/>
    </w:pPr>
  </w:style>
  <w:style w:type="paragraph" w:styleId="List5">
    <w:name w:val="List 5"/>
    <w:basedOn w:val="BodyText"/>
    <w:rsid w:val="000833F4"/>
    <w:pPr>
      <w:tabs>
        <w:tab w:val="left" w:pos="1701"/>
      </w:tabs>
      <w:spacing w:before="60" w:after="60"/>
      <w:ind w:left="1701" w:hanging="340"/>
    </w:pPr>
  </w:style>
  <w:style w:type="paragraph" w:styleId="ListBullet3">
    <w:name w:val="List Bullet 3"/>
    <w:basedOn w:val="List3"/>
    <w:rsid w:val="000833F4"/>
    <w:pPr>
      <w:numPr>
        <w:numId w:val="13"/>
      </w:numPr>
      <w:tabs>
        <w:tab w:val="clear" w:pos="1021"/>
      </w:tabs>
      <w:ind w:left="1037" w:hanging="357"/>
    </w:pPr>
  </w:style>
  <w:style w:type="paragraph" w:styleId="ListBullet4">
    <w:name w:val="List Bullet 4"/>
    <w:basedOn w:val="List4"/>
    <w:rsid w:val="000833F4"/>
    <w:pPr>
      <w:numPr>
        <w:numId w:val="1"/>
      </w:numPr>
    </w:pPr>
  </w:style>
  <w:style w:type="paragraph" w:styleId="ListBullet5">
    <w:name w:val="List Bullet 5"/>
    <w:basedOn w:val="List5"/>
    <w:rsid w:val="000833F4"/>
    <w:pPr>
      <w:numPr>
        <w:numId w:val="2"/>
      </w:numPr>
    </w:pPr>
  </w:style>
  <w:style w:type="paragraph" w:styleId="ListContinue2">
    <w:name w:val="List Continue 2"/>
    <w:basedOn w:val="List2"/>
    <w:rsid w:val="000833F4"/>
    <w:pPr>
      <w:ind w:firstLine="0"/>
    </w:pPr>
  </w:style>
  <w:style w:type="paragraph" w:styleId="ListContinue3">
    <w:name w:val="List Continue 3"/>
    <w:basedOn w:val="List3"/>
    <w:rsid w:val="000833F4"/>
    <w:pPr>
      <w:ind w:left="1021" w:firstLine="0"/>
    </w:pPr>
  </w:style>
  <w:style w:type="paragraph" w:styleId="ListContinue4">
    <w:name w:val="List Continue 4"/>
    <w:basedOn w:val="List4"/>
    <w:rsid w:val="000833F4"/>
    <w:pPr>
      <w:ind w:firstLine="0"/>
    </w:pPr>
  </w:style>
  <w:style w:type="paragraph" w:styleId="ListContinue5">
    <w:name w:val="List Continue 5"/>
    <w:basedOn w:val="List5"/>
    <w:rsid w:val="000833F4"/>
    <w:pPr>
      <w:ind w:firstLine="0"/>
    </w:pPr>
  </w:style>
  <w:style w:type="paragraph" w:styleId="ListNumber3">
    <w:name w:val="List Number 3"/>
    <w:basedOn w:val="List3"/>
    <w:rsid w:val="000833F4"/>
    <w:pPr>
      <w:numPr>
        <w:numId w:val="3"/>
      </w:numPr>
    </w:pPr>
  </w:style>
  <w:style w:type="paragraph" w:styleId="ListNumber4">
    <w:name w:val="List Number 4"/>
    <w:basedOn w:val="List4"/>
    <w:rsid w:val="000833F4"/>
    <w:pPr>
      <w:numPr>
        <w:numId w:val="4"/>
      </w:numPr>
    </w:pPr>
  </w:style>
  <w:style w:type="paragraph" w:styleId="ListNumber5">
    <w:name w:val="List Number 5"/>
    <w:basedOn w:val="List5"/>
    <w:rsid w:val="000833F4"/>
    <w:pPr>
      <w:numPr>
        <w:numId w:val="5"/>
      </w:numPr>
    </w:pPr>
  </w:style>
  <w:style w:type="paragraph" w:styleId="BlockText">
    <w:name w:val="Block Text"/>
    <w:basedOn w:val="Normal"/>
    <w:rsid w:val="000833F4"/>
    <w:pPr>
      <w:spacing w:after="120"/>
      <w:ind w:left="1440" w:right="1440"/>
    </w:pPr>
  </w:style>
  <w:style w:type="character" w:customStyle="1" w:styleId="Subscript">
    <w:name w:val="Subscript"/>
    <w:basedOn w:val="DefaultParagraphFont"/>
    <w:rsid w:val="000833F4"/>
    <w:rPr>
      <w:sz w:val="16"/>
      <w:vertAlign w:val="subscript"/>
    </w:rPr>
  </w:style>
  <w:style w:type="character" w:customStyle="1" w:styleId="Superscript">
    <w:name w:val="Superscript"/>
    <w:basedOn w:val="DefaultParagraphFont"/>
    <w:rsid w:val="000833F4"/>
    <w:rPr>
      <w:sz w:val="16"/>
      <w:vertAlign w:val="superscript"/>
    </w:rPr>
  </w:style>
  <w:style w:type="character" w:customStyle="1" w:styleId="Symbols">
    <w:name w:val="Symbols"/>
    <w:basedOn w:val="DefaultParagraphFont"/>
    <w:rsid w:val="000833F4"/>
    <w:rPr>
      <w:rFonts w:ascii="Symbol" w:hAnsi="Symbol"/>
    </w:rPr>
  </w:style>
  <w:style w:type="character" w:customStyle="1" w:styleId="MenuOptions">
    <w:name w:val="Menu Options"/>
    <w:basedOn w:val="DefaultParagraphFont"/>
    <w:rsid w:val="000833F4"/>
    <w:rPr>
      <w:rFonts w:ascii="Arial Narrow" w:hAnsi="Arial Narrow"/>
      <w:smallCaps/>
    </w:rPr>
  </w:style>
  <w:style w:type="character" w:customStyle="1" w:styleId="Buttons">
    <w:name w:val="Buttons"/>
    <w:basedOn w:val="DefaultParagraphFont"/>
    <w:rsid w:val="000833F4"/>
    <w:rPr>
      <w:b/>
    </w:rPr>
  </w:style>
  <w:style w:type="character" w:customStyle="1" w:styleId="Underlined">
    <w:name w:val="Underlined"/>
    <w:basedOn w:val="DefaultParagraphFont"/>
    <w:rsid w:val="000833F4"/>
    <w:rPr>
      <w:u w:val="single"/>
    </w:rPr>
  </w:style>
  <w:style w:type="paragraph" w:customStyle="1" w:styleId="TableBodyTextRight">
    <w:name w:val="Table Body Text Right"/>
    <w:basedOn w:val="TableBodyText"/>
    <w:rsid w:val="000833F4"/>
    <w:pPr>
      <w:widowControl w:val="0"/>
      <w:autoSpaceDE w:val="0"/>
      <w:autoSpaceDN w:val="0"/>
      <w:adjustRightInd w:val="0"/>
      <w:jc w:val="right"/>
    </w:pPr>
    <w:rPr>
      <w:rFonts w:cs="Arial"/>
      <w:szCs w:val="18"/>
    </w:rPr>
  </w:style>
  <w:style w:type="paragraph" w:customStyle="1" w:styleId="CopyrightText">
    <w:name w:val="Copyright Text"/>
    <w:basedOn w:val="BodyText"/>
    <w:rsid w:val="000833F4"/>
    <w:rPr>
      <w:sz w:val="18"/>
    </w:rPr>
  </w:style>
  <w:style w:type="paragraph" w:customStyle="1" w:styleId="BodySmallRight">
    <w:name w:val="Body Small Right"/>
    <w:basedOn w:val="BodyTextRight"/>
    <w:rsid w:val="000833F4"/>
    <w:rPr>
      <w:sz w:val="18"/>
      <w:szCs w:val="18"/>
    </w:rPr>
  </w:style>
  <w:style w:type="paragraph" w:customStyle="1" w:styleId="MarginEdition">
    <w:name w:val="Margin Edition"/>
    <w:basedOn w:val="MarginNote"/>
    <w:rsid w:val="000833F4"/>
    <w:pPr>
      <w:spacing w:before="0" w:after="0"/>
    </w:pPr>
    <w:rPr>
      <w:rFonts w:ascii="Times New Roman" w:hAnsi="Times New Roman"/>
      <w:color w:val="999999"/>
    </w:rPr>
  </w:style>
  <w:style w:type="paragraph" w:customStyle="1" w:styleId="Spacer">
    <w:name w:val="Spacer"/>
    <w:basedOn w:val="Normal"/>
    <w:rsid w:val="000833F4"/>
    <w:rPr>
      <w:sz w:val="2"/>
      <w:szCs w:val="2"/>
    </w:rPr>
  </w:style>
  <w:style w:type="character" w:customStyle="1" w:styleId="Small">
    <w:name w:val="Small"/>
    <w:basedOn w:val="DefaultParagraphFont"/>
    <w:rsid w:val="000833F4"/>
    <w:rPr>
      <w:sz w:val="16"/>
    </w:rPr>
  </w:style>
  <w:style w:type="paragraph" w:customStyle="1" w:styleId="WideTable">
    <w:name w:val="Wide Table"/>
    <w:basedOn w:val="Normal"/>
    <w:rsid w:val="000833F4"/>
    <w:pPr>
      <w:ind w:left="-1418"/>
    </w:pPr>
    <w:rPr>
      <w:sz w:val="2"/>
      <w:szCs w:val="2"/>
    </w:rPr>
  </w:style>
  <w:style w:type="character" w:styleId="PageNumber">
    <w:name w:val="page number"/>
    <w:basedOn w:val="DefaultParagraphFont"/>
    <w:rsid w:val="000833F4"/>
  </w:style>
  <w:style w:type="paragraph" w:styleId="Quote">
    <w:name w:val="Quote"/>
    <w:basedOn w:val="Heading1"/>
    <w:link w:val="QuoteChar"/>
    <w:qFormat/>
    <w:rsid w:val="000833F4"/>
    <w:rPr>
      <w:b w:val="0"/>
      <w:sz w:val="72"/>
      <w:szCs w:val="72"/>
      <w:lang w:val="en-NZ"/>
    </w:rPr>
  </w:style>
  <w:style w:type="character" w:customStyle="1" w:styleId="QuoteChar">
    <w:name w:val="Quote Char"/>
    <w:basedOn w:val="DefaultParagraphFont"/>
    <w:link w:val="Quote"/>
    <w:rsid w:val="00083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3F4"/>
    <w:pPr>
      <w:pageBreakBefore/>
    </w:pPr>
  </w:style>
  <w:style w:type="paragraph" w:customStyle="1" w:styleId="Border">
    <w:name w:val="Border"/>
    <w:basedOn w:val="Normal"/>
    <w:qFormat/>
    <w:rsid w:val="00083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3F4"/>
    <w:rPr>
      <w:b/>
      <w:bCs/>
      <w:i/>
      <w:iCs/>
      <w:color w:val="auto"/>
    </w:rPr>
  </w:style>
  <w:style w:type="paragraph" w:styleId="IntenseQuote">
    <w:name w:val="Intense Quote"/>
    <w:basedOn w:val="Normal"/>
    <w:next w:val="Normal"/>
    <w:link w:val="IntenseQuoteChar"/>
    <w:uiPriority w:val="30"/>
    <w:qFormat/>
    <w:rsid w:val="00083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3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33F4"/>
    <w:rPr>
      <w:smallCaps/>
      <w:color w:val="auto"/>
      <w:u w:val="single"/>
    </w:rPr>
  </w:style>
  <w:style w:type="character" w:styleId="IntenseReference">
    <w:name w:val="Intense Reference"/>
    <w:basedOn w:val="DefaultParagraphFont"/>
    <w:uiPriority w:val="32"/>
    <w:qFormat/>
    <w:rsid w:val="000833F4"/>
    <w:rPr>
      <w:b/>
      <w:bCs/>
      <w:smallCaps/>
      <w:color w:val="auto"/>
      <w:spacing w:val="5"/>
      <w:u w:val="single"/>
    </w:rPr>
  </w:style>
  <w:style w:type="paragraph" w:customStyle="1" w:styleId="2ColumnHeading">
    <w:name w:val="2Column Heading"/>
    <w:basedOn w:val="BodyText"/>
    <w:qFormat/>
    <w:rsid w:val="000833F4"/>
    <w:pPr>
      <w:spacing w:after="60"/>
      <w:ind w:left="-2268"/>
    </w:pPr>
    <w:rPr>
      <w:b/>
    </w:rPr>
  </w:style>
  <w:style w:type="paragraph" w:customStyle="1" w:styleId="Heading1TOC">
    <w:name w:val="Heading1 TOC"/>
    <w:basedOn w:val="Normal"/>
    <w:qFormat/>
    <w:rsid w:val="000833F4"/>
    <w:pPr>
      <w:spacing w:before="240" w:after="120"/>
    </w:pPr>
    <w:rPr>
      <w:rFonts w:ascii="Times New Roman" w:hAnsi="Times New Roman"/>
      <w:b/>
      <w:sz w:val="32"/>
    </w:rPr>
  </w:style>
  <w:style w:type="paragraph" w:customStyle="1" w:styleId="Heading2TOC">
    <w:name w:val="Heading2 TOC"/>
    <w:basedOn w:val="Normal"/>
    <w:qFormat/>
    <w:rsid w:val="000833F4"/>
    <w:pPr>
      <w:spacing w:before="240" w:after="60"/>
    </w:pPr>
    <w:rPr>
      <w:rFonts w:ascii="Times New Roman" w:hAnsi="Times New Roman"/>
      <w:b/>
      <w:sz w:val="28"/>
    </w:rPr>
  </w:style>
  <w:style w:type="character" w:customStyle="1" w:styleId="Underline">
    <w:name w:val="Underline"/>
    <w:basedOn w:val="DefaultParagraphFont"/>
    <w:qFormat/>
    <w:rsid w:val="000833F4"/>
    <w:rPr>
      <w:u w:val="single"/>
    </w:rPr>
  </w:style>
  <w:style w:type="character" w:customStyle="1" w:styleId="BoldandItalics">
    <w:name w:val="Bold and Italics"/>
    <w:qFormat/>
    <w:rsid w:val="000833F4"/>
    <w:rPr>
      <w:b/>
      <w:i/>
      <w:u w:val="none"/>
    </w:rPr>
  </w:style>
  <w:style w:type="paragraph" w:styleId="BalloonText">
    <w:name w:val="Balloon Text"/>
    <w:basedOn w:val="Normal"/>
    <w:link w:val="BalloonTextChar"/>
    <w:rsid w:val="000833F4"/>
    <w:rPr>
      <w:rFonts w:ascii="Tahoma" w:hAnsi="Tahoma" w:cs="Tahoma"/>
      <w:sz w:val="16"/>
      <w:szCs w:val="16"/>
    </w:rPr>
  </w:style>
  <w:style w:type="character" w:customStyle="1" w:styleId="BalloonTextChar">
    <w:name w:val="Balloon Text Char"/>
    <w:basedOn w:val="DefaultParagraphFont"/>
    <w:link w:val="BalloonText"/>
    <w:rsid w:val="000833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33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3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8644</Characters>
  <Application>Microsoft Office Word</Application>
  <DocSecurity>0</DocSecurity>
  <Lines>322</Lines>
  <Paragraphs>174</Paragraphs>
  <ScaleCrop>false</ScaleCrop>
  <Company>Author-it Software Corporation Ltd.</Company>
  <LinksUpToDate>false</LinksUpToDate>
  <CharactersWithSpaces>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FNSICORG517B Prepare financial forecasts and projections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2012-05-26T03:54:00Z</dcterms:created>
  <dcterms:modified xsi:type="dcterms:W3CDTF">2012-05-26T03:54:00Z</dcterms:modified>
</cp:coreProperties>
</file>