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2E2" w:rsidP="006B72E2">
      <w:pPr>
        <w:pStyle w:val="Title"/>
      </w:pPr>
      <w:r>
        <w:fldChar w:fldCharType="begin"/>
      </w:r>
      <w:r>
        <w:instrText xml:space="preserve"> TITLE   \* MERGEFORMAT </w:instrText>
      </w:r>
      <w:r>
        <w:fldChar w:fldCharType="separate"/>
      </w:r>
      <w:r>
        <w:t>FNSICORG516B Prepare financial reports to meet statutory requirements</w:t>
      </w:r>
      <w:r>
        <w:fldChar w:fldCharType="end"/>
      </w:r>
    </w:p>
    <w:p w:rsidR="006B72E2" w:rsidP="006B72E2">
      <w:pPr>
        <w:pStyle w:val="Version"/>
        <w:sectPr w:rsidSect="00AF5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942" w:rsidP="00AF5942">
      <w:pPr>
        <w:pStyle w:val="SuperHeading"/>
      </w:pPr>
      <w:r w:rsidRPr="00AF5942">
        <w:t>FNSICORG516B Prepare financial reports to meet statutory requirements</w:t>
      </w:r>
    </w:p>
    <w:p w:rsidR="00000000" w:rsidRPr="00AF5942" w:rsidP="00AF5942">
      <w:pPr>
        <w:pStyle w:val="Heading1"/>
      </w:pPr>
      <w:bookmarkStart w:id="1" w:name="O_318557"/>
      <w:bookmarkEnd w:id="1"/>
      <w:r w:rsidRPr="00AF5942">
        <w:t>Modification History</w:t>
      </w:r>
    </w:p>
    <w:p w:rsidR="00000000" w:rsidRPr="00AF5942" w:rsidP="00AF5942">
      <w:pPr>
        <w:pStyle w:val="BodyText"/>
      </w:pPr>
      <w:r w:rsidRPr="00AF5942">
        <w:t>Not applicable.</w:t>
      </w:r>
    </w:p>
    <w:p w:rsidR="00000000" w:rsidRPr="00AF5942" w:rsidP="00AF5942">
      <w:pPr>
        <w:pStyle w:val="AllowPageBreak"/>
      </w:pPr>
    </w:p>
    <w:p w:rsidR="00000000" w:rsidRPr="00AF5942" w:rsidP="00AF5942">
      <w:pPr>
        <w:pStyle w:val="Heading1"/>
      </w:pPr>
      <w:bookmarkStart w:id="2" w:name="O_318558"/>
      <w:bookmarkEnd w:id="2"/>
      <w:r w:rsidRPr="00AF5942">
        <w:t>Unit Descriptor</w:t>
      </w:r>
    </w:p>
    <w:p w:rsidR="00000000" w:rsidRPr="00AF5942" w:rsidP="00AF5942">
      <w:pPr>
        <w:pStyle w:val="BodyText"/>
      </w:pPr>
      <w:r w:rsidRPr="00AF5942">
        <w:t>This unit describes the functions involved in preparing financial reports to meet statutory requ</w:t>
      </w:r>
      <w:r w:rsidRPr="00AF5942">
        <w:t>irements.</w:t>
      </w:r>
    </w:p>
    <w:p w:rsidR="00000000" w:rsidRPr="00AF5942" w:rsidP="00AF5942">
      <w:pPr>
        <w:pStyle w:val="BodyText"/>
      </w:pPr>
      <w:r w:rsidRPr="00AF5942">
        <w:t>This unit describes the functions involved in preparing financial reports to meet statutory requirements.</w:t>
      </w:r>
    </w:p>
    <w:p w:rsidR="00000000" w:rsidRPr="00AF5942" w:rsidP="00AF5942">
      <w:pPr>
        <w:pStyle w:val="AllowPageBreak"/>
      </w:pPr>
    </w:p>
    <w:p w:rsidR="00000000" w:rsidRPr="00AF5942" w:rsidP="00AF5942">
      <w:pPr>
        <w:pStyle w:val="Heading1"/>
      </w:pPr>
      <w:bookmarkStart w:id="3" w:name="O_318560"/>
      <w:bookmarkEnd w:id="3"/>
      <w:r w:rsidRPr="00AF5942">
        <w:t>Application of the Unit</w:t>
      </w:r>
    </w:p>
    <w:p w:rsidR="00000000" w:rsidRPr="00AF5942" w:rsidP="00AF5942">
      <w:pPr>
        <w:pStyle w:val="BodyText"/>
      </w:pPr>
      <w:r w:rsidRPr="00AF5942">
        <w:t>This unit requires the application of skills and knowledge required to prepare financial reports to</w:t>
      </w:r>
      <w:r w:rsidRPr="00AF5942">
        <w:t xml:space="preserve"> meet statutory requirements. This unit encompasses identifying statutory requirements for the report, planning for provisions for the report, submitting the report for authorisation and distributing the report. </w:t>
      </w:r>
    </w:p>
    <w:p w:rsidR="00000000" w:rsidRPr="00AF5942" w:rsidP="00AF5942">
      <w:pPr>
        <w:pStyle w:val="BodyText"/>
      </w:pPr>
      <w:r w:rsidRPr="00AF5942">
        <w:t>This unit has application across the financ</w:t>
      </w:r>
      <w:r w:rsidRPr="00AF5942">
        <w:t xml:space="preserve">ial services sector and can be applied to any work position that has the responsibility of preparing reports to meet statutory reporting requirements.  </w:t>
      </w:r>
    </w:p>
    <w:p w:rsidR="00000000" w:rsidRPr="00AF5942" w:rsidP="00AF5942">
      <w:pPr>
        <w:pStyle w:val="BodyText"/>
      </w:pPr>
      <w:r w:rsidRPr="00AF5942">
        <w:t>This unit requires the application of skills and knowledge required to prepare financial reports to mee</w:t>
      </w:r>
      <w:r w:rsidRPr="00AF5942">
        <w:t xml:space="preserve">t statutory requirements. This unit encompasses identifying statutory requirements for the report, planning for provisions for the report, submitting the report for authorisation and distributing the report. </w:t>
      </w:r>
    </w:p>
    <w:p w:rsidR="00000000" w:rsidRPr="00AF5942" w:rsidP="00AF5942">
      <w:pPr>
        <w:pStyle w:val="BodyText"/>
      </w:pPr>
      <w:r w:rsidRPr="00AF5942">
        <w:t xml:space="preserve">This unit has application across the financial services sector and can be applied to any work position that has the responsibility of preparing reports to meet statutory reporting requirements.  </w:t>
      </w:r>
    </w:p>
    <w:p w:rsidR="00000000" w:rsidRPr="00AF5942" w:rsidP="00AF5942">
      <w:pPr>
        <w:pStyle w:val="AllowPageBreak"/>
      </w:pPr>
    </w:p>
    <w:p w:rsidR="00000000" w:rsidRPr="00AF5942" w:rsidP="00AF5942">
      <w:pPr>
        <w:pStyle w:val="Heading1"/>
      </w:pPr>
      <w:bookmarkStart w:id="4" w:name="O_318561"/>
      <w:bookmarkEnd w:id="4"/>
      <w:r w:rsidRPr="00AF5942">
        <w:t>Licensing/Regulatory Information</w:t>
      </w:r>
    </w:p>
    <w:p w:rsidR="00000000" w:rsidRPr="00AF5942" w:rsidP="00AF5942">
      <w:pPr>
        <w:pStyle w:val="BodyText"/>
      </w:pPr>
      <w:r w:rsidRPr="00AF5942">
        <w:t>Not applic</w:t>
      </w:r>
      <w:r w:rsidRPr="00AF5942">
        <w:t>able.</w:t>
      </w:r>
    </w:p>
    <w:p w:rsidR="00000000" w:rsidRPr="00AF5942" w:rsidP="00AF5942">
      <w:pPr>
        <w:pStyle w:val="AllowPageBreak"/>
      </w:pPr>
    </w:p>
    <w:p w:rsidR="00000000" w:rsidRPr="00AF5942" w:rsidP="00AF5942">
      <w:pPr>
        <w:pStyle w:val="Heading1"/>
      </w:pPr>
      <w:bookmarkStart w:id="5" w:name="O_318556"/>
      <w:bookmarkEnd w:id="5"/>
      <w:r w:rsidRPr="00AF5942">
        <w:t>Pre-Requisites</w:t>
      </w:r>
    </w:p>
    <w:p w:rsidR="00000000" w:rsidRPr="00AF5942" w:rsidP="00AF5942">
      <w:pPr>
        <w:pStyle w:val="BodyText"/>
      </w:pPr>
      <w:r w:rsidRPr="00AF5942">
        <w:t>Not applicable.</w:t>
      </w:r>
    </w:p>
    <w:p w:rsidR="00000000" w:rsidRPr="00AF5942" w:rsidP="00AF5942">
      <w:pPr>
        <w:pStyle w:val="AllowPageBreak"/>
      </w:pPr>
    </w:p>
    <w:p w:rsidR="00000000" w:rsidRPr="00AF5942" w:rsidP="00AF5942">
      <w:pPr>
        <w:pStyle w:val="Heading1"/>
      </w:pPr>
      <w:bookmarkStart w:id="6" w:name="O_318554"/>
      <w:bookmarkEnd w:id="6"/>
      <w:r w:rsidRPr="00AF5942">
        <w:t>Employability Skills Information</w:t>
      </w:r>
    </w:p>
    <w:p w:rsidR="00000000" w:rsidRPr="00AF5942" w:rsidP="00AF5942">
      <w:pPr>
        <w:pStyle w:val="BodyText"/>
      </w:pPr>
      <w:r w:rsidRPr="00AF5942">
        <w:t>The required outcomes described in this unit of competency contain applicable facets of employability skills. The Employability Skills Summary for the q</w:t>
      </w:r>
      <w:r w:rsidRPr="00AF5942">
        <w:t>ualification in which this unit of competency is packaged, will assist in identifying employability skills requirements.</w:t>
      </w:r>
    </w:p>
    <w:p w:rsidR="00000000" w:rsidRPr="00AF5942" w:rsidP="00AF5942">
      <w:pPr>
        <w:pStyle w:val="BodyText"/>
      </w:pPr>
      <w:r w:rsidRPr="00AF5942">
        <w:t xml:space="preserve">The required outcomes described in this unit of competency contain applicable facets of employability skills. The Employability Skills </w:t>
      </w:r>
      <w:r w:rsidRPr="00AF5942">
        <w:t>Summary for the qualification in which this unit of competency is packaged, will assist in identifying employability skills requirements.</w:t>
      </w:r>
    </w:p>
    <w:p w:rsidR="00000000" w:rsidRPr="00AF5942" w:rsidP="00AF5942">
      <w:pPr>
        <w:pStyle w:val="AllowPageBreak"/>
      </w:pPr>
    </w:p>
    <w:p w:rsidR="00000000" w:rsidRPr="00AF5942" w:rsidP="00AF5942">
      <w:pPr>
        <w:pStyle w:val="Heading1"/>
      </w:pPr>
      <w:bookmarkStart w:id="7" w:name="O_318564"/>
      <w:bookmarkEnd w:id="7"/>
      <w:r w:rsidRPr="00AF5942">
        <w:t>Elements and Performance Criteria Pre-Content</w:t>
      </w:r>
    </w:p>
    <w:p w:rsidR="00000000" w:rsidRPr="00AF5942" w:rsidP="00AF5942">
      <w:pPr>
        <w:pStyle w:val="BodyText"/>
      </w:pPr>
      <w:r w:rsidRPr="00AF5942">
        <w:t>Elements define the essential outcomes of a unit of competency.</w:t>
      </w:r>
    </w:p>
    <w:p w:rsidR="00000000" w:rsidRPr="00AF5942" w:rsidP="00AF5942">
      <w:pPr>
        <w:pStyle w:val="BodyText"/>
      </w:pPr>
      <w:r w:rsidRPr="00AF5942">
        <w:t xml:space="preserve">Performance Criteria describe the required performance needed to demonstrate achievement of the Element. </w:t>
      </w:r>
      <w:r w:rsidRPr="00AF5942">
        <w:rPr>
          <w:rStyle w:val="SpecialBold"/>
        </w:rPr>
        <w:t xml:space="preserve">Bold, italicised </w:t>
      </w:r>
      <w:r w:rsidRPr="00AF5942">
        <w:t>terms are elaborated in the Range Statement. Assessment of performance</w:t>
      </w:r>
      <w:r w:rsidRPr="00AF5942">
        <w:t xml:space="preserve"> is to be consistent with the Evidence Guide.</w:t>
      </w:r>
    </w:p>
    <w:p w:rsidR="00000000" w:rsidRPr="00AF5942" w:rsidP="00AF5942">
      <w:pPr>
        <w:pStyle w:val="BodyText"/>
      </w:pPr>
      <w:r w:rsidRPr="00AF5942">
        <w:t>Elements define the essential outcomes of a unit of competency.</w:t>
      </w:r>
    </w:p>
    <w:p w:rsidR="00000000" w:rsidRPr="00AF5942" w:rsidP="00AF5942">
      <w:pPr>
        <w:pStyle w:val="BodyText"/>
      </w:pPr>
      <w:r w:rsidRPr="00AF5942">
        <w:t xml:space="preserve">Performance Criteria describe the required performance needed to demonstrate achievement of the Element. </w:t>
      </w:r>
      <w:r w:rsidRPr="00AF5942">
        <w:rPr>
          <w:rStyle w:val="SpecialBold"/>
        </w:rPr>
        <w:t xml:space="preserve">Bold, italicised </w:t>
      </w:r>
      <w:r w:rsidRPr="00AF5942">
        <w:t xml:space="preserve">terms are elaborated in </w:t>
      </w:r>
      <w:r w:rsidRPr="00AF5942">
        <w:t>the Range Statement. Assessment of performance is to be consistent with the Evidence Guide.</w:t>
      </w:r>
    </w:p>
    <w:p w:rsidR="00000000" w:rsidRPr="00AF5942" w:rsidP="00AF5942">
      <w:pPr>
        <w:pStyle w:val="AllowPageBreak"/>
      </w:pPr>
    </w:p>
    <w:p w:rsidR="00000000" w:rsidRPr="00AF5942" w:rsidP="00AF5942">
      <w:pPr>
        <w:pStyle w:val="Heading1"/>
      </w:pPr>
      <w:bookmarkStart w:id="8" w:name="O_318565"/>
      <w:bookmarkEnd w:id="8"/>
      <w:r w:rsidRPr="00AF594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B72E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Elements and Performance Criteria</w:t>
            </w:r>
          </w:p>
        </w:tc>
      </w:tr>
      <w:tr w:rsidTr="006B72E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Performance Criteria</w:t>
            </w:r>
          </w:p>
        </w:tc>
      </w:tr>
      <w:tr w:rsidTr="006B72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1</w:t>
            </w:r>
          </w:p>
        </w:tc>
        <w:tc>
          <w:tcPr>
            <w:tcW w:w="3000" w:type="dxa"/>
            <w:vMerge w:val="restart"/>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Identify statutory requirements for reports</w:t>
            </w:r>
          </w:p>
        </w:tc>
        <w:tc>
          <w:tcPr>
            <w:tcW w:w="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1.1</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 xml:space="preserve">Information on statutory rules </w:t>
            </w:r>
            <w:r w:rsidRPr="00AF5942">
              <w:t>are regularly and comprehensively reviewed to ensure all requirements for reporting are planned for and met in the required manner</w:t>
            </w:r>
          </w:p>
        </w:tc>
      </w:tr>
      <w:tr w:rsidTr="006B72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1.2</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 xml:space="preserve">Sources of data </w:t>
            </w:r>
            <w:r w:rsidRPr="00AF5942">
              <w:t>are constantly reviewed to remain aware of changes and amendments</w:t>
            </w:r>
          </w:p>
        </w:tc>
      </w:tr>
      <w:tr w:rsidTr="006B72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1.3</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Existing reports are used as a guideline for content and format where available</w:t>
            </w:r>
          </w:p>
        </w:tc>
      </w:tr>
      <w:tr w:rsidTr="006B72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2</w:t>
            </w:r>
          </w:p>
        </w:tc>
        <w:tc>
          <w:tcPr>
            <w:tcW w:w="3000" w:type="dxa"/>
            <w:vMerge w:val="restart"/>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Plan for provision of reports</w:t>
            </w: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2.1</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Timelines are established in order to meet report deadlines</w:t>
            </w:r>
          </w:p>
        </w:tc>
      </w:tr>
      <w:tr w:rsidTr="006B72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2.2</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Communication of data requirements to internal users is unambiguous and timely</w:t>
            </w:r>
          </w:p>
        </w:tc>
      </w:tr>
      <w:tr w:rsidTr="006B72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2.3</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 xml:space="preserve">Lead times are set that ensure adequate time is available and allowance is made for </w:t>
            </w:r>
            <w:r w:rsidRPr="00AF5942">
              <w:rPr>
                <w:rStyle w:val="SpecialBold"/>
              </w:rPr>
              <w:t>contingencies</w:t>
            </w:r>
          </w:p>
        </w:tc>
      </w:tr>
      <w:tr w:rsidTr="006B72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3</w:t>
            </w:r>
          </w:p>
        </w:tc>
        <w:tc>
          <w:tcPr>
            <w:tcW w:w="3000" w:type="dxa"/>
            <w:vMerge w:val="restart"/>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Analyse and consolidate reports</w:t>
            </w: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3.1</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 xml:space="preserve">Reports are reviewed to ensure accuracy with </w:t>
            </w:r>
            <w:r w:rsidRPr="00AF5942">
              <w:rPr>
                <w:rStyle w:val="SpecialBold"/>
              </w:rPr>
              <w:t xml:space="preserve">internal accounting records </w:t>
            </w:r>
            <w:r w:rsidRPr="00AF5942">
              <w:t>and completeness of data</w:t>
            </w:r>
          </w:p>
        </w:tc>
      </w:tr>
      <w:tr w:rsidTr="006B72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3.2</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 xml:space="preserve">Reports are reviewed and cross-referenced against detailed </w:t>
            </w:r>
            <w:r w:rsidRPr="00AF5942">
              <w:rPr>
                <w:rStyle w:val="SpecialBold"/>
              </w:rPr>
              <w:t>statutory requirements</w:t>
            </w:r>
          </w:p>
        </w:tc>
      </w:tr>
      <w:tr w:rsidTr="006B72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3.3</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 xml:space="preserve">Explanation of report results is justified where necessary in </w:t>
            </w:r>
            <w:r w:rsidRPr="00AF5942">
              <w:t>required format</w:t>
            </w:r>
          </w:p>
        </w:tc>
      </w:tr>
      <w:tr w:rsidTr="006B72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3.4</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Reports are prepared in an accurate, timely and thorough manner</w:t>
            </w:r>
          </w:p>
        </w:tc>
      </w:tr>
      <w:tr w:rsidTr="006B72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3.5</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Reports are prepared with a detailed and clear audit trail to ensure comprehensive financial monitoring may be carried out</w:t>
            </w:r>
          </w:p>
        </w:tc>
      </w:tr>
      <w:tr w:rsidTr="006B72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4</w:t>
            </w:r>
          </w:p>
        </w:tc>
        <w:tc>
          <w:tcPr>
            <w:tcW w:w="3000" w:type="dxa"/>
            <w:vMerge w:val="restart"/>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Submit reports for authorisation</w:t>
            </w: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4.1</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All reports comply fully with auditor requirements</w:t>
            </w:r>
          </w:p>
        </w:tc>
      </w:tr>
      <w:tr w:rsidTr="006B72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4.2</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All required sign-offs/</w:t>
            </w:r>
            <w:r w:rsidRPr="00AF5942">
              <w:rPr>
                <w:rStyle w:val="SpecialBold"/>
              </w:rPr>
              <w:t xml:space="preserve">approvals and authorisations </w:t>
            </w:r>
            <w:r w:rsidRPr="00AF5942">
              <w:t>are obtained from responsible parties</w:t>
            </w:r>
          </w:p>
        </w:tc>
      </w:tr>
      <w:tr w:rsidTr="006B72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5</w:t>
            </w:r>
          </w:p>
        </w:tc>
        <w:tc>
          <w:tcPr>
            <w:tcW w:w="3000" w:type="dxa"/>
            <w:vMerge w:val="restart"/>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Distribute reports</w:t>
            </w: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5.1</w:t>
            </w:r>
          </w:p>
        </w:tc>
        <w:tc>
          <w:tcPr>
            <w:tcW w:w="51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 xml:space="preserve">Reports are </w:t>
            </w:r>
            <w:r w:rsidRPr="00AF5942">
              <w:rPr>
                <w:rStyle w:val="SpecialBold"/>
              </w:rPr>
              <w:t xml:space="preserve">distributed </w:t>
            </w:r>
            <w:r w:rsidRPr="00AF5942">
              <w:t>to all parties in a timely manner</w:t>
            </w:r>
          </w:p>
        </w:tc>
      </w:tr>
      <w:tr w:rsidTr="006B72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5.2</w:t>
            </w:r>
          </w:p>
        </w:tc>
        <w:tc>
          <w:tcPr>
            <w:tcW w:w="51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Confirmation of receipt of reports is obtained in order to complete company record of compliance</w:t>
            </w:r>
          </w:p>
        </w:tc>
      </w:tr>
    </w:tbl>
    <w:p w:rsidR="00000000" w:rsidRPr="00AF5942" w:rsidP="00AF5942">
      <w:pPr>
        <w:pStyle w:val="BodyText"/>
      </w:pPr>
    </w:p>
    <w:p w:rsidR="00000000" w:rsidRPr="00AF5942" w:rsidP="00AF5942">
      <w:pPr>
        <w:pStyle w:val="AllowPageBreak"/>
      </w:pPr>
    </w:p>
    <w:p w:rsidR="00000000" w:rsidRPr="00AF5942" w:rsidP="00AF5942">
      <w:pPr>
        <w:pStyle w:val="Heading1"/>
      </w:pPr>
      <w:bookmarkStart w:id="9" w:name="O_318563"/>
      <w:bookmarkEnd w:id="9"/>
      <w:r w:rsidRPr="00AF5942">
        <w:t>Required Skills and Knowledge</w:t>
      </w:r>
    </w:p>
    <w:tbl>
      <w:tblPr>
        <w:tblW w:w="0" w:type="auto"/>
        <w:tblLayout w:type="fixed"/>
        <w:tblCellMar>
          <w:left w:w="62" w:type="dxa"/>
          <w:right w:w="62" w:type="dxa"/>
        </w:tblCellMar>
        <w:tblLook w:val="0000"/>
      </w:tblPr>
      <w:tblGrid>
        <w:gridCol w:w="9000"/>
      </w:tblGrid>
      <w:tr w:rsidTr="006B72E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REQUIRED KNOWLEDGE</w:t>
            </w:r>
            <w:r w:rsidRPr="00AF5942">
              <w:t>&amp;</w:t>
            </w:r>
            <w:r w:rsidRPr="00AF5942">
              <w:rPr>
                <w:rStyle w:val="SpecialBold"/>
              </w:rPr>
              <w:t>SKILLS</w:t>
            </w:r>
          </w:p>
        </w:tc>
      </w:tr>
      <w:tr w:rsidTr="006B72E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rPr>
                <w:rStyle w:val="SpecialBold"/>
              </w:rPr>
              <w:t>Knowledge requirements include</w:t>
            </w:r>
            <w:r w:rsidRPr="00AF5942">
              <w:t xml:space="preserve">: </w:t>
            </w:r>
          </w:p>
          <w:p w:rsidR="00000000" w:rsidRPr="00AF5942" w:rsidP="00AF5942">
            <w:pPr>
              <w:pStyle w:val="BodyText"/>
            </w:pPr>
            <w:r w:rsidRPr="00AF5942">
              <w:t>company policy and procedures</w:t>
            </w:r>
          </w:p>
          <w:p w:rsidR="00000000" w:rsidRPr="00AF5942" w:rsidP="00AF5942">
            <w:pPr>
              <w:pStyle w:val="BodyText"/>
            </w:pPr>
            <w:r w:rsidRPr="00AF5942">
              <w:t>knowledge or awareness of relevant acts and regulations</w:t>
            </w:r>
          </w:p>
          <w:p w:rsidR="00000000" w:rsidRPr="00AF5942" w:rsidP="00AF5942">
            <w:pPr>
              <w:pStyle w:val="BodyText"/>
            </w:pPr>
            <w:r w:rsidRPr="00AF5942">
              <w:t>legal systems and procedures</w:t>
            </w:r>
          </w:p>
          <w:p w:rsidR="00000000" w:rsidRPr="00AF5942" w:rsidP="00AF5942">
            <w:pPr>
              <w:pStyle w:val="BodyText"/>
            </w:pPr>
            <w:r w:rsidRPr="00AF5942">
              <w:t>industry codes of practice</w:t>
            </w:r>
          </w:p>
          <w:p w:rsidR="00000000" w:rsidRPr="00AF5942" w:rsidP="00AF5942">
            <w:pPr>
              <w:pStyle w:val="BodyText"/>
            </w:pPr>
            <w:r w:rsidRPr="00AF5942">
              <w:t>computer systems</w:t>
            </w:r>
          </w:p>
          <w:p w:rsidR="00000000" w:rsidP="00AF5942">
            <w:pPr>
              <w:pStyle w:val="BodyText"/>
              <w:rPr>
                <w:lang w:val="en-NZ"/>
              </w:rPr>
            </w:pPr>
            <w:r w:rsidRPr="00AF5942">
              <w:t xml:space="preserve">procedure writing </w:t>
            </w:r>
          </w:p>
        </w:tc>
      </w:tr>
      <w:tr w:rsidTr="006B72E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rPr>
                <w:rStyle w:val="SpecialBold"/>
              </w:rPr>
              <w:t>Skills requirements include</w:t>
            </w:r>
            <w:r w:rsidRPr="00AF5942">
              <w:t xml:space="preserve">: </w:t>
            </w:r>
          </w:p>
          <w:p w:rsidR="00000000" w:rsidRPr="00AF5942" w:rsidP="00AF5942">
            <w:pPr>
              <w:pStyle w:val="BodyText"/>
            </w:pPr>
            <w:r w:rsidRPr="00AF5942">
              <w:t>computerised spreadsheet and database</w:t>
            </w:r>
          </w:p>
          <w:p w:rsidR="00000000" w:rsidRPr="00AF5942" w:rsidP="00AF5942">
            <w:pPr>
              <w:pStyle w:val="BodyText"/>
            </w:pPr>
            <w:r w:rsidRPr="00AF5942">
              <w:t>data analysis and interpretation</w:t>
            </w:r>
          </w:p>
          <w:p w:rsidR="00000000" w:rsidRPr="00AF5942" w:rsidP="00AF5942">
            <w:pPr>
              <w:pStyle w:val="BodyText"/>
            </w:pPr>
            <w:r w:rsidRPr="00AF5942">
              <w:t>evaluative and general analytical</w:t>
            </w:r>
          </w:p>
          <w:p w:rsidR="00000000" w:rsidRPr="00AF5942" w:rsidP="00AF5942">
            <w:pPr>
              <w:pStyle w:val="BodyText"/>
            </w:pPr>
            <w:r w:rsidRPr="00AF5942">
              <w:t xml:space="preserve">negotiation and interpersonal skills </w:t>
            </w:r>
          </w:p>
        </w:tc>
      </w:tr>
    </w:tbl>
    <w:p w:rsidR="00000000" w:rsidRPr="00AF5942" w:rsidP="00AF5942">
      <w:pPr>
        <w:pStyle w:val="BodyText"/>
      </w:pPr>
    </w:p>
    <w:p w:rsidR="00000000" w:rsidRPr="00AF5942" w:rsidP="00AF5942">
      <w:pPr>
        <w:pStyle w:val="AllowPageBreak"/>
      </w:pPr>
    </w:p>
    <w:p w:rsidR="00000000" w:rsidRPr="00AF5942" w:rsidP="00AF5942">
      <w:pPr>
        <w:pStyle w:val="Heading1"/>
      </w:pPr>
      <w:bookmarkStart w:id="10" w:name="O_318562"/>
      <w:bookmarkEnd w:id="10"/>
      <w:r w:rsidRPr="00AF5942">
        <w:t>Evidence Guide</w:t>
      </w:r>
    </w:p>
    <w:tbl>
      <w:tblPr>
        <w:tblW w:w="0" w:type="auto"/>
        <w:tblLayout w:type="fixed"/>
        <w:tblCellMar>
          <w:left w:w="62" w:type="dxa"/>
          <w:right w:w="62" w:type="dxa"/>
        </w:tblCellMar>
        <w:tblLook w:val="0000"/>
      </w:tblPr>
      <w:tblGrid>
        <w:gridCol w:w="4500"/>
        <w:gridCol w:w="4500"/>
      </w:tblGrid>
      <w:tr w:rsidTr="006B72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 xml:space="preserve"> EVIDENCE GUIDE</w:t>
            </w:r>
          </w:p>
        </w:tc>
      </w:tr>
      <w:tr w:rsidTr="006B72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Assessment of performance requirements in the unit should be undertaken in an industry context. The Evidence Guide identifies the cr</w:t>
            </w:r>
            <w:r w:rsidRPr="00AF5942">
              <w:t xml:space="preserve">itical aspects, knowledge and skills to be demonstrated to confirm competency for the unit. Competency is demonstrated by performance of all stated criteria including the Range Statement applicable to the workplace. </w:t>
            </w:r>
          </w:p>
        </w:tc>
      </w:tr>
      <w:tr w:rsidTr="006B72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Overview of assessment requirements</w:t>
            </w:r>
          </w:p>
        </w:tc>
      </w:tr>
      <w:tr w:rsidTr="006B72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 xml:space="preserve">To achieve competency in this unit, a person must be able to demonstrate: </w:t>
            </w:r>
          </w:p>
          <w:p w:rsidR="00000000" w:rsidRPr="00AF5942" w:rsidP="00AF5942">
            <w:pPr>
              <w:pStyle w:val="BodyText"/>
            </w:pPr>
            <w:r w:rsidRPr="00AF5942">
              <w:t xml:space="preserve">knowledge of statutory requirements and information </w:t>
            </w:r>
          </w:p>
          <w:p w:rsidR="00000000" w:rsidRPr="00AF5942" w:rsidP="00AF5942">
            <w:pPr>
              <w:pStyle w:val="BodyText"/>
            </w:pPr>
            <w:r w:rsidRPr="00AF5942">
              <w:t xml:space="preserve">ability to identify statutory requirements for reports </w:t>
            </w:r>
          </w:p>
          <w:p w:rsidR="00000000" w:rsidRPr="00AF5942" w:rsidP="00AF5942">
            <w:pPr>
              <w:pStyle w:val="BodyText"/>
            </w:pPr>
            <w:r w:rsidRPr="00AF5942">
              <w:t xml:space="preserve">ability to plan for provisions of reports </w:t>
            </w:r>
          </w:p>
          <w:p w:rsidR="00000000" w:rsidRPr="00AF5942" w:rsidP="00AF5942">
            <w:pPr>
              <w:pStyle w:val="BodyText"/>
            </w:pPr>
            <w:r w:rsidRPr="00AF5942">
              <w:t>ability to analyse and consolidate reports</w:t>
            </w:r>
          </w:p>
          <w:p w:rsidR="00000000" w:rsidRPr="00AF5942" w:rsidP="00AF5942">
            <w:pPr>
              <w:pStyle w:val="BodyText"/>
            </w:pPr>
            <w:r w:rsidRPr="00AF5942">
              <w:t>ability to submit reports for authorisation</w:t>
            </w:r>
          </w:p>
          <w:p w:rsidR="00000000" w:rsidP="00AF5942">
            <w:pPr>
              <w:pStyle w:val="BodyText"/>
              <w:rPr>
                <w:lang w:val="en-NZ"/>
              </w:rPr>
            </w:pPr>
            <w:r w:rsidRPr="00AF5942">
              <w:t xml:space="preserve">ability to distribute reports  </w:t>
            </w:r>
          </w:p>
        </w:tc>
      </w:tr>
      <w:tr w:rsidTr="006B72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Critical aspects of evidence</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Evidence required for demonstration of consistent performance</w:t>
            </w:r>
            <w:r w:rsidRPr="00AF5942">
              <w:t xml:space="preserve">: </w:t>
            </w:r>
          </w:p>
        </w:tc>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Competence in this unit must be assessed</w:t>
            </w:r>
            <w:r w:rsidRPr="00AF5942">
              <w:t xml:space="preserve"> over a period of time in order to ensure consistency of performance over the Range Statement and contexts applicable to the work environment. </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Delivery</w:t>
            </w:r>
            <w:r w:rsidRPr="00AF5942">
              <w:t>/</w:t>
            </w:r>
            <w:r w:rsidRPr="00AF5942">
              <w:rPr>
                <w:rStyle w:val="SpecialBold"/>
              </w:rPr>
              <w:t>assessment relationship to other units</w:t>
            </w:r>
            <w:r w:rsidRPr="00AF5942">
              <w:t xml:space="preserve">: </w:t>
            </w:r>
          </w:p>
        </w:tc>
        <w:tc>
          <w:tcPr>
            <w:tcW w:w="4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This unit may be assessed on its own or it may be assessed wi</w:t>
            </w:r>
            <w:r w:rsidRPr="00AF5942">
              <w:t>th other units that cover related skills and knowledge.</w:t>
            </w:r>
          </w:p>
          <w:p w:rsidR="00000000" w:rsidP="00AF5942">
            <w:pPr>
              <w:pStyle w:val="BodyText"/>
              <w:rPr>
                <w:lang w:val="en-NZ"/>
              </w:rPr>
            </w:pPr>
            <w:r w:rsidRPr="00AF5942">
              <w:t xml:space="preserve">Evidence is most relevant when provided through an integrated activity, which combines the elements of competency for the unit, or a cluster of units of competency. </w:t>
            </w:r>
          </w:p>
        </w:tc>
      </w:tr>
      <w:tr w:rsidTr="006B72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Assessment requirements</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M</w:t>
            </w:r>
            <w:r w:rsidRPr="00AF5942">
              <w:rPr>
                <w:rStyle w:val="SpecialBold"/>
              </w:rPr>
              <w:t>ethod of assessment</w:t>
            </w:r>
            <w:r w:rsidRPr="00AF5942">
              <w:t xml:space="preserve">: </w:t>
            </w:r>
          </w:p>
        </w:tc>
        <w:tc>
          <w:tcPr>
            <w:tcW w:w="4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For valid and reliable assessment of this unit, evidence should be gathered through a range of methods to indicate consistent performance.</w:t>
            </w:r>
          </w:p>
          <w:p w:rsidR="00000000" w:rsidP="00AF5942">
            <w:pPr>
              <w:pStyle w:val="BodyText"/>
              <w:rPr>
                <w:lang w:val="en-NZ"/>
              </w:rPr>
            </w:pPr>
            <w:r w:rsidRPr="00AF5942">
              <w:t>Assessment of this unit of competence will usually include observation of processes and procedu</w:t>
            </w:r>
            <w:r w:rsidRPr="00AF5942">
              <w:t xml:space="preserve">res, oral and/or written questioning on underpinning knowledge and skills and other methods as required. </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Context of assessment</w:t>
            </w:r>
            <w:r w:rsidRPr="00AF5942">
              <w:t xml:space="preserve">: </w:t>
            </w:r>
          </w:p>
        </w:tc>
        <w:tc>
          <w:tcPr>
            <w:tcW w:w="4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Assessment of performance requirements in this unit should be undertaken within the financial services industry context and s</w:t>
            </w:r>
            <w:r w:rsidRPr="00AF5942">
              <w:t xml:space="preserve">hould cover aspects of personal/financial responsibility and accountability. </w:t>
            </w:r>
          </w:p>
          <w:p w:rsidR="00000000" w:rsidP="00AF5942">
            <w:pPr>
              <w:pStyle w:val="BodyText"/>
              <w:rPr>
                <w:lang w:val="en-NZ"/>
              </w:rPr>
            </w:pPr>
            <w:r w:rsidRPr="00AF5942">
              <w:t>Aspects of competency, including the attainment of relevant knowledge and skills, may be assessed in a relevant workplace, a closely simulated work environment, or other appropri</w:t>
            </w:r>
            <w:r w:rsidRPr="00AF5942">
              <w:t xml:space="preserve">ate means that clearly meet industry competency requirements. </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Resources required for assessment</w:t>
            </w:r>
            <w:r w:rsidRPr="00AF5942">
              <w:t xml:space="preserve">: </w:t>
            </w:r>
          </w:p>
        </w:tc>
        <w:tc>
          <w:tcPr>
            <w:tcW w:w="4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Unless otherwise specified, there are no significant resource implications for assessment of this unit, apart from access to a relevant workplace or closely</w:t>
            </w:r>
            <w:r w:rsidRPr="00AF5942">
              <w:t xml:space="preserve"> simulated office environment and the use of a range of office equipment, technology and consumables. These may include standard commercial computer hardware, software, telephones, facsimiles, and other relevant office equipment </w:t>
            </w:r>
          </w:p>
        </w:tc>
      </w:tr>
    </w:tbl>
    <w:p w:rsidR="00000000" w:rsidRPr="00AF5942" w:rsidP="00AF5942">
      <w:pPr>
        <w:pStyle w:val="BodyText"/>
      </w:pPr>
    </w:p>
    <w:p w:rsidR="00000000" w:rsidRPr="00AF5942" w:rsidP="00AF5942">
      <w:pPr>
        <w:pStyle w:val="AllowPageBreak"/>
      </w:pPr>
    </w:p>
    <w:p w:rsidR="00000000" w:rsidRPr="00AF5942" w:rsidP="00AF5942">
      <w:pPr>
        <w:pStyle w:val="Heading1"/>
      </w:pPr>
      <w:bookmarkStart w:id="11" w:name="O_318559"/>
      <w:bookmarkEnd w:id="11"/>
      <w:r w:rsidRPr="00AF5942">
        <w:t>Range Statement</w:t>
      </w:r>
    </w:p>
    <w:tbl>
      <w:tblPr>
        <w:tblW w:w="0" w:type="auto"/>
        <w:tblLayout w:type="fixed"/>
        <w:tblCellMar>
          <w:left w:w="62" w:type="dxa"/>
          <w:right w:w="62" w:type="dxa"/>
        </w:tblCellMar>
        <w:tblLook w:val="0000"/>
      </w:tblPr>
      <w:tblGrid>
        <w:gridCol w:w="4500"/>
        <w:gridCol w:w="4500"/>
      </w:tblGrid>
      <w:tr w:rsidTr="006B72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5942">
            <w:pPr>
              <w:pStyle w:val="BodyText"/>
              <w:rPr>
                <w:lang w:val="en-NZ"/>
              </w:rPr>
            </w:pPr>
          </w:p>
        </w:tc>
      </w:tr>
      <w:tr w:rsidTr="006B72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The range statement relates to the unit of competency as a whole. It allows for different work environments and situations that will affect performance.</w:t>
            </w:r>
          </w:p>
          <w:p w:rsidR="00000000" w:rsidP="00AF5942">
            <w:pPr>
              <w:pStyle w:val="BodyText"/>
              <w:rPr>
                <w:lang w:val="en-NZ"/>
              </w:rPr>
            </w:pPr>
            <w:r w:rsidRPr="00AF5942">
              <w:t>The following variables may be present with training and assessment depending on the</w:t>
            </w:r>
            <w:r w:rsidRPr="00AF5942">
              <w:t xml:space="preserve"> work situation, needs of the candidate, accessibility of the item, and local industry and regional contexts. If </w:t>
            </w:r>
            <w:r w:rsidRPr="00AF5942">
              <w:rPr>
                <w:rStyle w:val="SpecialBold"/>
              </w:rPr>
              <w:t>bold italicised</w:t>
            </w:r>
            <w:r w:rsidRPr="00AF5942">
              <w:t xml:space="preserve"> text is shown in Performance Criteria, details of the text are provided in the Range Statement. </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Information on statutory requirements</w:t>
            </w:r>
            <w:r w:rsidRPr="00AF5942">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financial consultants</w:t>
            </w:r>
          </w:p>
          <w:p w:rsidR="00000000" w:rsidRPr="00AF5942" w:rsidP="00AF5942">
            <w:pPr>
              <w:pStyle w:val="BodyText"/>
            </w:pPr>
            <w:r w:rsidRPr="00AF5942">
              <w:t>company secretariat</w:t>
            </w:r>
          </w:p>
          <w:p w:rsidR="00000000" w:rsidRPr="00AF5942" w:rsidP="00AF5942">
            <w:pPr>
              <w:pStyle w:val="BodyText"/>
            </w:pPr>
            <w:r w:rsidRPr="00AF5942">
              <w:t>Australian Securities and Investments Commission (ASIC)</w:t>
            </w:r>
          </w:p>
          <w:p w:rsidR="00000000" w:rsidRPr="00AF5942" w:rsidP="00AF5942">
            <w:pPr>
              <w:pStyle w:val="BodyText"/>
            </w:pPr>
            <w:r w:rsidRPr="00AF5942">
              <w:t>professional journals</w:t>
            </w:r>
          </w:p>
          <w:p w:rsidR="00000000" w:rsidP="00AF5942">
            <w:pPr>
              <w:pStyle w:val="BodyText"/>
              <w:rPr>
                <w:lang w:val="en-NZ"/>
              </w:rPr>
            </w:pPr>
            <w:r w:rsidRPr="00AF5942">
              <w:t xml:space="preserve">company legal counsel </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external auditors</w:t>
            </w:r>
          </w:p>
          <w:p w:rsidR="00000000" w:rsidRPr="00AF5942" w:rsidP="00AF5942">
            <w:pPr>
              <w:pStyle w:val="BodyText"/>
            </w:pPr>
            <w:r w:rsidRPr="00AF5942">
              <w:t>industry associations</w:t>
            </w:r>
          </w:p>
          <w:p w:rsidR="00000000" w:rsidRPr="00AF5942" w:rsidP="00AF5942">
            <w:pPr>
              <w:pStyle w:val="BodyText"/>
            </w:pPr>
            <w:r w:rsidRPr="00AF5942">
              <w:t>media</w:t>
            </w:r>
          </w:p>
          <w:p w:rsidR="00000000" w:rsidP="00AF5942">
            <w:pPr>
              <w:pStyle w:val="BodyText"/>
              <w:rPr>
                <w:lang w:val="en-NZ"/>
              </w:rPr>
            </w:pPr>
            <w:r w:rsidRPr="00AF5942">
              <w:t xml:space="preserve">actuaries </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Sources of data input</w:t>
            </w:r>
            <w:r w:rsidRPr="00AF5942">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general ledger balances</w:t>
            </w:r>
          </w:p>
          <w:p w:rsidR="00000000" w:rsidRPr="00AF5942" w:rsidP="00AF5942">
            <w:pPr>
              <w:pStyle w:val="BodyText"/>
            </w:pPr>
            <w:r w:rsidRPr="00AF5942">
              <w:t>lease details</w:t>
            </w:r>
          </w:p>
          <w:p w:rsidR="00000000" w:rsidRPr="00AF5942" w:rsidP="00AF5942">
            <w:pPr>
              <w:pStyle w:val="BodyText"/>
            </w:pPr>
            <w:r w:rsidRPr="00AF5942">
              <w:t>related party transactions</w:t>
            </w:r>
          </w:p>
          <w:p w:rsidR="00000000" w:rsidRPr="00AF5942" w:rsidP="00AF5942">
            <w:pPr>
              <w:pStyle w:val="BodyText"/>
            </w:pPr>
            <w:r w:rsidRPr="00AF5942">
              <w:t>directors fees</w:t>
            </w:r>
          </w:p>
          <w:p w:rsidR="00000000" w:rsidRPr="00AF5942" w:rsidP="00AF5942">
            <w:pPr>
              <w:pStyle w:val="BodyText"/>
            </w:pPr>
            <w:r w:rsidRPr="00AF5942">
              <w:t>shareholders names</w:t>
            </w:r>
          </w:p>
          <w:p w:rsidR="00000000" w:rsidP="00AF5942">
            <w:pPr>
              <w:pStyle w:val="BodyText"/>
              <w:rPr>
                <w:lang w:val="en-NZ"/>
              </w:rPr>
            </w:pPr>
            <w:r w:rsidRPr="00AF5942">
              <w:t xml:space="preserve">claims data </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Contingencies</w:t>
            </w:r>
            <w:r w:rsidRPr="00AF5942">
              <w:t xml:space="preserve"> may include plans for:</w:t>
            </w:r>
          </w:p>
        </w:tc>
        <w:tc>
          <w:tcPr>
            <w:tcW w:w="4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non-compliance with timetable</w:t>
            </w:r>
          </w:p>
          <w:p w:rsidR="00000000" w:rsidRPr="00AF5942" w:rsidP="00AF5942">
            <w:pPr>
              <w:pStyle w:val="BodyText"/>
            </w:pPr>
            <w:r w:rsidRPr="00AF5942">
              <w:t>omissions and errors</w:t>
            </w:r>
          </w:p>
          <w:p w:rsidR="00000000" w:rsidRPr="00AF5942" w:rsidP="00AF5942">
            <w:pPr>
              <w:pStyle w:val="BodyText"/>
            </w:pPr>
            <w:r w:rsidRPr="00AF5942">
              <w:t>computer error</w:t>
            </w:r>
          </w:p>
          <w:p w:rsidR="00000000" w:rsidP="00AF5942">
            <w:pPr>
              <w:pStyle w:val="BodyText"/>
              <w:rPr>
                <w:lang w:val="en-NZ"/>
              </w:rPr>
            </w:pPr>
            <w:r w:rsidRPr="00AF5942">
              <w:t>data late</w:t>
            </w:r>
            <w:r w:rsidRPr="00AF5942">
              <w:t xml:space="preserve"> or not available in required format from source </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Internal accounting records</w:t>
            </w:r>
            <w:r w:rsidRPr="00AF5942">
              <w:t xml:space="preserve"> include: </w:t>
            </w:r>
          </w:p>
        </w:tc>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t xml:space="preserve">detailed working papers </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Approvals</w:t>
            </w:r>
            <w:r w:rsidRPr="00AF5942">
              <w:t>/</w:t>
            </w:r>
            <w:r w:rsidRPr="00AF5942">
              <w:rPr>
                <w:rStyle w:val="SpecialBold"/>
              </w:rPr>
              <w:t>authorisations</w:t>
            </w:r>
            <w:r w:rsidRPr="00AF5942">
              <w:t xml:space="preserve"> may be provided by: </w:t>
            </w:r>
          </w:p>
        </w:tc>
        <w:tc>
          <w:tcPr>
            <w:tcW w:w="4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auditors</w:t>
            </w:r>
          </w:p>
          <w:p w:rsidR="00000000" w:rsidRPr="00AF5942" w:rsidP="00AF5942">
            <w:pPr>
              <w:pStyle w:val="BodyText"/>
            </w:pPr>
            <w:r w:rsidRPr="00AF5942">
              <w:t>actuaries</w:t>
            </w:r>
          </w:p>
          <w:p w:rsidR="00000000" w:rsidRPr="00AF5942" w:rsidP="00AF5942">
            <w:pPr>
              <w:pStyle w:val="BodyText"/>
            </w:pPr>
            <w:r w:rsidRPr="00AF5942">
              <w:t>company directors</w:t>
            </w:r>
          </w:p>
          <w:p w:rsidR="00000000" w:rsidP="00AF5942">
            <w:pPr>
              <w:pStyle w:val="BodyText"/>
              <w:rPr>
                <w:lang w:val="en-NZ"/>
              </w:rPr>
            </w:pPr>
            <w:r w:rsidRPr="00AF5942">
              <w:t xml:space="preserve">chief accountant </w:t>
            </w:r>
          </w:p>
        </w:tc>
      </w:tr>
      <w:tr w:rsidTr="006B72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942">
            <w:pPr>
              <w:pStyle w:val="BodyText"/>
              <w:rPr>
                <w:lang w:val="en-NZ"/>
              </w:rPr>
            </w:pPr>
            <w:r w:rsidRPr="00AF5942">
              <w:rPr>
                <w:rStyle w:val="SpecialBold"/>
              </w:rPr>
              <w:t>Distribution</w:t>
            </w:r>
            <w:r w:rsidRPr="00AF5942">
              <w:t xml:space="preserve"> may be to both internal and external parties such as:</w:t>
            </w:r>
          </w:p>
        </w:tc>
        <w:tc>
          <w:tcPr>
            <w:tcW w:w="4500" w:type="dxa"/>
            <w:tcBorders>
              <w:top w:val="nil"/>
              <w:left w:val="nil"/>
              <w:bottom w:val="nil"/>
              <w:right w:val="nil"/>
            </w:tcBorders>
            <w:tcMar>
              <w:top w:w="0" w:type="dxa"/>
              <w:left w:w="62" w:type="dxa"/>
              <w:bottom w:w="0" w:type="dxa"/>
              <w:right w:w="62" w:type="dxa"/>
            </w:tcMar>
          </w:tcPr>
          <w:p w:rsidR="00000000" w:rsidRPr="00AF5942" w:rsidP="00AF5942">
            <w:pPr>
              <w:pStyle w:val="BodyText"/>
            </w:pPr>
            <w:r w:rsidRPr="00AF5942">
              <w:t>ASIC</w:t>
            </w:r>
          </w:p>
          <w:p w:rsidR="00000000" w:rsidRPr="00AF5942" w:rsidP="00AF5942">
            <w:pPr>
              <w:pStyle w:val="BodyText"/>
            </w:pPr>
            <w:r w:rsidRPr="00AF5942">
              <w:t>auditors</w:t>
            </w:r>
          </w:p>
          <w:p w:rsidR="00000000" w:rsidRPr="00AF5942" w:rsidP="00AF5942">
            <w:pPr>
              <w:pStyle w:val="BodyText"/>
            </w:pPr>
            <w:r w:rsidRPr="00AF5942">
              <w:t>banks</w:t>
            </w:r>
          </w:p>
          <w:p w:rsidR="00000000" w:rsidRPr="00AF5942" w:rsidP="00AF5942">
            <w:pPr>
              <w:pStyle w:val="BodyText"/>
            </w:pPr>
            <w:r w:rsidRPr="00AF5942">
              <w:t>stock exchange</w:t>
            </w:r>
          </w:p>
          <w:p w:rsidR="00000000" w:rsidRPr="00AF5942" w:rsidP="00AF5942">
            <w:pPr>
              <w:pStyle w:val="BodyText"/>
            </w:pPr>
            <w:r w:rsidRPr="00AF5942">
              <w:t>taxation department</w:t>
            </w:r>
          </w:p>
          <w:p w:rsidR="00000000" w:rsidRPr="00AF5942" w:rsidP="00AF5942">
            <w:pPr>
              <w:pStyle w:val="BodyText"/>
            </w:pPr>
            <w:r w:rsidRPr="00AF5942">
              <w:t>Australian Bureau of Statistics (ABS)</w:t>
            </w:r>
          </w:p>
          <w:p w:rsidR="00000000" w:rsidRPr="00AF5942" w:rsidP="00AF5942">
            <w:pPr>
              <w:pStyle w:val="BodyText"/>
            </w:pPr>
            <w:r w:rsidRPr="00AF5942">
              <w:t>Stamp Duties Office</w:t>
            </w:r>
          </w:p>
          <w:p w:rsidR="00000000" w:rsidRPr="00AF5942" w:rsidP="00AF5942">
            <w:pPr>
              <w:pStyle w:val="BodyText"/>
            </w:pPr>
            <w:r w:rsidRPr="00AF5942">
              <w:t>shareholders</w:t>
            </w:r>
          </w:p>
          <w:p w:rsidR="00000000" w:rsidRPr="00AF5942" w:rsidP="00AF5942">
            <w:pPr>
              <w:pStyle w:val="BodyText"/>
            </w:pPr>
            <w:r w:rsidRPr="00AF5942">
              <w:t>company staff and directors</w:t>
            </w:r>
          </w:p>
          <w:p w:rsidR="00000000" w:rsidRPr="00AF5942" w:rsidP="00AF5942">
            <w:pPr>
              <w:pStyle w:val="BodyText"/>
            </w:pPr>
            <w:r w:rsidRPr="00AF5942">
              <w:t>brokers</w:t>
            </w:r>
          </w:p>
          <w:p w:rsidR="00000000" w:rsidRPr="00AF5942" w:rsidP="00AF5942">
            <w:pPr>
              <w:pStyle w:val="BodyText"/>
            </w:pPr>
            <w:r w:rsidRPr="00AF5942">
              <w:t xml:space="preserve">WorkCover authorities </w:t>
            </w:r>
          </w:p>
        </w:tc>
      </w:tr>
    </w:tbl>
    <w:p w:rsidR="00000000" w:rsidRPr="00AF5942" w:rsidP="00AF5942">
      <w:pPr>
        <w:pStyle w:val="BodyText"/>
      </w:pPr>
    </w:p>
    <w:p w:rsidR="00000000" w:rsidRPr="00AF5942" w:rsidP="00AF5942">
      <w:pPr>
        <w:pStyle w:val="AllowPageBreak"/>
      </w:pPr>
    </w:p>
    <w:p w:rsidR="00000000" w:rsidRPr="00AF5942" w:rsidP="00AF5942">
      <w:pPr>
        <w:pStyle w:val="Heading1"/>
      </w:pPr>
      <w:bookmarkStart w:id="12" w:name="O_318555"/>
      <w:bookmarkEnd w:id="12"/>
      <w:r w:rsidRPr="00AF5942">
        <w:t>Unit Sector(s)</w:t>
      </w:r>
    </w:p>
    <w:p w:rsidR="00000000" w:rsidRPr="00AF5942" w:rsidP="00AF5942">
      <w:pPr>
        <w:pStyle w:val="BodyText"/>
      </w:pPr>
      <w:r w:rsidRPr="00AF5942">
        <w:t>Not applicable.</w:t>
      </w:r>
    </w:p>
    <w:p w:rsidR="00000000" w:rsidRPr="00AF5942" w:rsidP="00AF5942">
      <w:pPr>
        <w:pStyle w:val="AllowPageBreak"/>
      </w:pPr>
    </w:p>
    <w:p w:rsidR="00000000" w:rsidRPr="00AF5942" w:rsidP="00AF5942">
      <w:pPr>
        <w:pStyle w:val="Heading1"/>
      </w:pPr>
      <w:bookmarkStart w:id="13" w:name="O_318553"/>
      <w:bookmarkEnd w:id="13"/>
      <w:r w:rsidRPr="00AF5942">
        <w:t>Relationship to other units</w:t>
      </w:r>
    </w:p>
    <w:p w:rsidR="00000000" w:rsidRPr="00AF5942" w:rsidP="00AF5942">
      <w:pPr>
        <w:pStyle w:val="BodyText"/>
      </w:pPr>
      <w:r w:rsidRPr="00AF5942">
        <w:t xml:space="preserve">This unit replaces FNSICORG516A. </w:t>
      </w:r>
    </w:p>
    <w:p w:rsidR="00000000" w:rsidRPr="00AF5942" w:rsidP="00AF5942">
      <w:pPr>
        <w:pStyle w:val="BodyText"/>
      </w:pPr>
      <w:r w:rsidRPr="00AF5942">
        <w:t xml:space="preserve">This unit replaces FNSICORG516A. </w:t>
      </w:r>
    </w:p>
    <w:p w:rsidR="00000000" w:rsidRPr="00AF5942" w:rsidP="00AF5942"/>
    <w:sectPr w:rsidSect="00AF5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2E2" w:rsidP="006B7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E2" w:rsidP="00AF5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72E2" w:rsidP="00AF59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B72E2" w:rsidP="00AF59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2E2" w:rsidP="006B72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E2" w:rsidP="00AF5942">
    <w:pPr>
      <w:pStyle w:val="Header"/>
      <w:framePr w:wrap="around"/>
    </w:pPr>
    <w:r>
      <w:fldChar w:fldCharType="begin"/>
    </w:r>
    <w:r>
      <w:instrText xml:space="preserve"> TITLE   \* MERGEFORMAT </w:instrText>
    </w:r>
    <w:r>
      <w:fldChar w:fldCharType="separate"/>
    </w:r>
    <w:r>
      <w:t>FNSICORG516B Prepare financial reports to meet statutory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72E2" w:rsidP="00AF59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9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5942"/>
    <w:pPr>
      <w:spacing w:before="360" w:after="60"/>
      <w:outlineLvl w:val="0"/>
    </w:pPr>
    <w:rPr>
      <w:sz w:val="32"/>
    </w:rPr>
  </w:style>
  <w:style w:type="paragraph" w:styleId="Heading2">
    <w:name w:val="heading 2"/>
    <w:basedOn w:val="HeadingBase"/>
    <w:next w:val="BodyText"/>
    <w:link w:val="Heading2Char"/>
    <w:qFormat/>
    <w:rsid w:val="00AF5942"/>
    <w:pPr>
      <w:keepLines/>
      <w:spacing w:before="240" w:after="120"/>
      <w:outlineLvl w:val="1"/>
    </w:pPr>
    <w:rPr>
      <w:sz w:val="28"/>
      <w:szCs w:val="40"/>
    </w:rPr>
  </w:style>
  <w:style w:type="paragraph" w:styleId="Heading3">
    <w:name w:val="heading 3"/>
    <w:basedOn w:val="HeadingBase"/>
    <w:next w:val="BodyText"/>
    <w:link w:val="Heading3Char"/>
    <w:qFormat/>
    <w:rsid w:val="00AF5942"/>
    <w:pPr>
      <w:spacing w:before="180" w:after="120"/>
      <w:outlineLvl w:val="2"/>
    </w:pPr>
    <w:rPr>
      <w:spacing w:val="-10"/>
      <w:kern w:val="32"/>
    </w:rPr>
  </w:style>
  <w:style w:type="paragraph" w:styleId="Heading4">
    <w:name w:val="heading 4"/>
    <w:basedOn w:val="HeadingBase"/>
    <w:next w:val="BodyText"/>
    <w:link w:val="Heading4Char"/>
    <w:qFormat/>
    <w:rsid w:val="00AF5942"/>
    <w:pPr>
      <w:spacing w:before="160" w:after="120"/>
      <w:outlineLvl w:val="3"/>
    </w:pPr>
    <w:rPr>
      <w:sz w:val="22"/>
    </w:rPr>
  </w:style>
  <w:style w:type="paragraph" w:styleId="Heading5">
    <w:name w:val="heading 5"/>
    <w:basedOn w:val="HeadingBase"/>
    <w:next w:val="Normal"/>
    <w:link w:val="Heading5Char"/>
    <w:qFormat/>
    <w:rsid w:val="00AF5942"/>
    <w:pPr>
      <w:spacing w:before="80"/>
      <w:outlineLvl w:val="4"/>
    </w:pPr>
    <w:rPr>
      <w:color w:val="918585"/>
      <w:sz w:val="20"/>
    </w:rPr>
  </w:style>
  <w:style w:type="paragraph" w:styleId="Heading6">
    <w:name w:val="heading 6"/>
    <w:basedOn w:val="HeadingBase"/>
    <w:next w:val="Normal"/>
    <w:link w:val="Heading6Char"/>
    <w:qFormat/>
    <w:rsid w:val="00AF5942"/>
    <w:pPr>
      <w:spacing w:before="60"/>
      <w:outlineLvl w:val="5"/>
    </w:pPr>
    <w:rPr>
      <w:color w:val="918585"/>
      <w:sz w:val="20"/>
    </w:rPr>
  </w:style>
  <w:style w:type="paragraph" w:styleId="Heading7">
    <w:name w:val="heading 7"/>
    <w:basedOn w:val="Normal"/>
    <w:next w:val="Normal"/>
    <w:link w:val="Heading7Char"/>
    <w:qFormat/>
    <w:rsid w:val="00AF5942"/>
    <w:pPr>
      <w:ind w:left="720"/>
      <w:outlineLvl w:val="6"/>
    </w:pPr>
    <w:rPr>
      <w:i/>
    </w:rPr>
  </w:style>
  <w:style w:type="paragraph" w:styleId="Heading8">
    <w:name w:val="heading 8"/>
    <w:basedOn w:val="Normal"/>
    <w:next w:val="Normal"/>
    <w:link w:val="Heading8Char"/>
    <w:qFormat/>
    <w:rsid w:val="00AF5942"/>
    <w:pPr>
      <w:ind w:left="720"/>
      <w:outlineLvl w:val="7"/>
    </w:pPr>
    <w:rPr>
      <w:i/>
    </w:rPr>
  </w:style>
  <w:style w:type="paragraph" w:styleId="Heading9">
    <w:name w:val="heading 9"/>
    <w:basedOn w:val="Normal"/>
    <w:next w:val="Normal"/>
    <w:link w:val="Heading9Char"/>
    <w:qFormat/>
    <w:rsid w:val="00AF5942"/>
    <w:pPr>
      <w:ind w:left="720"/>
      <w:outlineLvl w:val="8"/>
    </w:pPr>
    <w:rPr>
      <w:i/>
    </w:rPr>
  </w:style>
  <w:style w:type="character" w:default="1" w:styleId="DefaultParagraphFont">
    <w:name w:val="Default Paragraph Font"/>
    <w:uiPriority w:val="1"/>
    <w:unhideWhenUsed/>
    <w:rsid w:val="00AF5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942"/>
  </w:style>
  <w:style w:type="character" w:customStyle="1" w:styleId="Heading1Char">
    <w:name w:val="Heading 1 Char"/>
    <w:basedOn w:val="DefaultParagraphFont"/>
    <w:link w:val="Heading1"/>
    <w:rsid w:val="00AF5942"/>
    <w:rPr>
      <w:rFonts w:ascii="Times New Roman" w:eastAsia="Times New Roman" w:hAnsi="Times New Roman" w:cs="Times New Roman"/>
      <w:b/>
      <w:sz w:val="32"/>
      <w:szCs w:val="20"/>
      <w:lang w:eastAsia="en-US"/>
    </w:rPr>
  </w:style>
  <w:style w:type="paragraph" w:styleId="BodyText">
    <w:name w:val="Body Text"/>
    <w:basedOn w:val="Normal"/>
    <w:link w:val="BodyTextChar"/>
    <w:rsid w:val="00AF59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942"/>
    <w:rPr>
      <w:rFonts w:ascii="Times New Roman" w:eastAsia="Times New Roman" w:hAnsi="Times New Roman" w:cs="Times New Roman"/>
      <w:sz w:val="24"/>
      <w:lang w:val="en-US" w:eastAsia="en-US"/>
    </w:rPr>
  </w:style>
  <w:style w:type="paragraph" w:styleId="Footer">
    <w:name w:val="footer"/>
    <w:basedOn w:val="Normal"/>
    <w:link w:val="FooterChar"/>
    <w:rsid w:val="00AF5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94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F5942"/>
    <w:rPr>
      <w:b/>
      <w:spacing w:val="0"/>
    </w:rPr>
  </w:style>
  <w:style w:type="paragraph" w:styleId="Header">
    <w:name w:val="header"/>
    <w:basedOn w:val="Normal"/>
    <w:link w:val="HeaderChar"/>
    <w:rsid w:val="00AF5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9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5942"/>
    <w:pPr>
      <w:spacing w:before="240" w:after="120"/>
      <w:outlineLvl w:val="0"/>
    </w:pPr>
    <w:rPr>
      <w:rFonts w:ascii="Times New Roman" w:hAnsi="Times New Roman"/>
      <w:b/>
      <w:sz w:val="28"/>
    </w:rPr>
  </w:style>
  <w:style w:type="paragraph" w:customStyle="1" w:styleId="AllowPageBreak">
    <w:name w:val="AllowPageBreak"/>
    <w:rsid w:val="00AF59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9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59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5942"/>
    <w:rPr>
      <w:rFonts w:ascii="Courier New" w:eastAsia="Times New Roman" w:hAnsi="Courier New" w:cs="Times New Roman"/>
      <w:i/>
      <w:szCs w:val="20"/>
      <w:lang w:val="en-US" w:eastAsia="en-US"/>
    </w:rPr>
  </w:style>
  <w:style w:type="paragraph" w:customStyle="1" w:styleId="HeadingBase">
    <w:name w:val="Heading Base"/>
    <w:rsid w:val="00AF5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942"/>
    <w:pPr>
      <w:tabs>
        <w:tab w:val="right" w:leader="dot" w:pos="9072"/>
      </w:tabs>
      <w:ind w:left="567"/>
    </w:pPr>
    <w:rPr>
      <w:szCs w:val="22"/>
    </w:rPr>
  </w:style>
  <w:style w:type="paragraph" w:customStyle="1" w:styleId="TOCBase">
    <w:name w:val="TOC Base"/>
    <w:rsid w:val="00AF5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942"/>
    <w:pPr>
      <w:tabs>
        <w:tab w:val="right" w:leader="dot" w:pos="9072"/>
      </w:tabs>
      <w:spacing w:before="40" w:after="40"/>
      <w:ind w:left="284"/>
    </w:pPr>
    <w:rPr>
      <w:rFonts w:ascii="Times New Roman" w:hAnsi="Times New Roman"/>
    </w:rPr>
  </w:style>
  <w:style w:type="paragraph" w:styleId="TOC1">
    <w:name w:val="toc 1"/>
    <w:basedOn w:val="TOCBase"/>
    <w:next w:val="Normal"/>
    <w:rsid w:val="00AF59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942"/>
    <w:pPr>
      <w:spacing w:before="5040"/>
      <w:jc w:val="center"/>
    </w:pPr>
    <w:rPr>
      <w:sz w:val="48"/>
      <w:szCs w:val="72"/>
      <w:lang w:val="en-US"/>
    </w:rPr>
  </w:style>
  <w:style w:type="character" w:customStyle="1" w:styleId="TitleChar">
    <w:name w:val="Title Char"/>
    <w:basedOn w:val="DefaultParagraphFont"/>
    <w:link w:val="Title"/>
    <w:rsid w:val="00AF5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942"/>
    <w:pPr>
      <w:tabs>
        <w:tab w:val="left" w:pos="3600"/>
        <w:tab w:val="left" w:pos="3958"/>
      </w:tabs>
    </w:pPr>
  </w:style>
  <w:style w:type="paragraph" w:styleId="List">
    <w:name w:val="List"/>
    <w:basedOn w:val="BodyText"/>
    <w:next w:val="BodyText"/>
    <w:rsid w:val="00AF5942"/>
    <w:pPr>
      <w:tabs>
        <w:tab w:val="left" w:pos="340"/>
      </w:tabs>
      <w:spacing w:before="60" w:after="60"/>
      <w:ind w:left="340" w:hanging="340"/>
    </w:pPr>
  </w:style>
  <w:style w:type="paragraph" w:styleId="ListBullet">
    <w:name w:val="List Bullet"/>
    <w:basedOn w:val="List"/>
    <w:rsid w:val="00AF5942"/>
    <w:pPr>
      <w:numPr>
        <w:numId w:val="11"/>
      </w:numPr>
      <w:tabs>
        <w:tab w:val="clear" w:pos="340"/>
      </w:tabs>
      <w:spacing w:before="40" w:after="40"/>
    </w:pPr>
  </w:style>
  <w:style w:type="paragraph" w:customStyle="1" w:styleId="Note">
    <w:name w:val="Note"/>
    <w:basedOn w:val="BodyText"/>
    <w:rsid w:val="00AF5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942"/>
    <w:pPr>
      <w:framePr w:wrap="auto" w:hAnchor="text" w:y="6049"/>
    </w:pPr>
    <w:rPr>
      <w:color w:val="000000"/>
      <w:sz w:val="40"/>
    </w:rPr>
  </w:style>
  <w:style w:type="paragraph" w:customStyle="1" w:styleId="TOCTitle">
    <w:name w:val="TOCTitle"/>
    <w:basedOn w:val="Heading1"/>
    <w:rsid w:val="00AF5942"/>
    <w:pPr>
      <w:spacing w:after="240"/>
      <w:jc w:val="center"/>
      <w:outlineLvl w:val="9"/>
    </w:pPr>
    <w:rPr>
      <w:caps/>
    </w:rPr>
  </w:style>
  <w:style w:type="paragraph" w:customStyle="1" w:styleId="Version">
    <w:name w:val="Version"/>
    <w:rsid w:val="00AF59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942"/>
    <w:pPr>
      <w:numPr>
        <w:numId w:val="12"/>
      </w:numPr>
      <w:tabs>
        <w:tab w:val="clear" w:pos="680"/>
      </w:tabs>
    </w:pPr>
  </w:style>
  <w:style w:type="paragraph" w:styleId="Index1">
    <w:name w:val="index 1"/>
    <w:basedOn w:val="Normal"/>
    <w:next w:val="Normal"/>
    <w:semiHidden/>
    <w:rsid w:val="00AF5942"/>
    <w:pPr>
      <w:keepNext w:val="0"/>
      <w:tabs>
        <w:tab w:val="right" w:pos="4176"/>
      </w:tabs>
      <w:ind w:left="198" w:hanging="198"/>
    </w:pPr>
    <w:rPr>
      <w:rFonts w:ascii="Garamond" w:hAnsi="Garamond"/>
    </w:rPr>
  </w:style>
  <w:style w:type="paragraph" w:styleId="IndexHeading">
    <w:name w:val="index heading"/>
    <w:basedOn w:val="Normal"/>
    <w:next w:val="Index1"/>
    <w:semiHidden/>
    <w:rsid w:val="00AF5942"/>
    <w:pPr>
      <w:spacing w:before="120" w:after="120"/>
    </w:pPr>
    <w:rPr>
      <w:rFonts w:ascii="Arial" w:hAnsi="Arial"/>
      <w:b/>
      <w:color w:val="918585"/>
      <w:sz w:val="24"/>
    </w:rPr>
  </w:style>
  <w:style w:type="paragraph" w:customStyle="1" w:styleId="Chapter">
    <w:name w:val="Chapter"/>
    <w:basedOn w:val="Normal"/>
    <w:rsid w:val="00AF5942"/>
    <w:pPr>
      <w:spacing w:before="240"/>
    </w:pPr>
    <w:rPr>
      <w:rFonts w:ascii="Times New Roman" w:hAnsi="Times New Roman"/>
      <w:smallCaps/>
      <w:spacing w:val="80"/>
      <w:sz w:val="28"/>
    </w:rPr>
  </w:style>
  <w:style w:type="paragraph" w:customStyle="1" w:styleId="InChapter">
    <w:name w:val="InChapter"/>
    <w:basedOn w:val="Heading3"/>
    <w:rsid w:val="00AF5942"/>
    <w:pPr>
      <w:spacing w:after="240"/>
      <w:outlineLvl w:val="9"/>
    </w:pPr>
    <w:rPr>
      <w:noProof/>
    </w:rPr>
  </w:style>
  <w:style w:type="paragraph" w:styleId="Index2">
    <w:name w:val="index 2"/>
    <w:basedOn w:val="Normal"/>
    <w:next w:val="Normal"/>
    <w:semiHidden/>
    <w:rsid w:val="00AF5942"/>
    <w:pPr>
      <w:tabs>
        <w:tab w:val="right" w:pos="4176"/>
      </w:tabs>
      <w:ind w:left="568" w:hanging="284"/>
    </w:pPr>
    <w:rPr>
      <w:rFonts w:ascii="Garamond" w:hAnsi="Garamond"/>
    </w:rPr>
  </w:style>
  <w:style w:type="paragraph" w:customStyle="1" w:styleId="Byline">
    <w:name w:val="Byline"/>
    <w:rsid w:val="00AF5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942"/>
    <w:pPr>
      <w:tabs>
        <w:tab w:val="clear" w:pos="3600"/>
        <w:tab w:val="clear" w:pos="3958"/>
      </w:tabs>
      <w:jc w:val="right"/>
    </w:pPr>
  </w:style>
  <w:style w:type="character" w:styleId="Emphasis">
    <w:name w:val="Emphasis"/>
    <w:basedOn w:val="DefaultParagraphFont"/>
    <w:qFormat/>
    <w:rsid w:val="00AF5942"/>
    <w:rPr>
      <w:i/>
    </w:rPr>
  </w:style>
  <w:style w:type="paragraph" w:styleId="Caption">
    <w:name w:val="caption"/>
    <w:basedOn w:val="BodyText"/>
    <w:next w:val="Normal"/>
    <w:qFormat/>
    <w:rsid w:val="00AF5942"/>
    <w:pPr>
      <w:framePr w:w="2268" w:hSpace="181" w:vSpace="181" w:wrap="around" w:vAnchor="text" w:hAnchor="page" w:x="1135" w:y="285" w:anchorLock="1"/>
    </w:pPr>
    <w:rPr>
      <w:i/>
    </w:rPr>
  </w:style>
  <w:style w:type="paragraph" w:customStyle="1" w:styleId="MiniTOCTitle">
    <w:name w:val="MiniTOCTitle"/>
    <w:basedOn w:val="Heading4"/>
    <w:rsid w:val="00AF5942"/>
    <w:pPr>
      <w:spacing w:before="240"/>
      <w:outlineLvl w:val="9"/>
    </w:pPr>
    <w:rPr>
      <w:noProof/>
      <w:sz w:val="24"/>
    </w:rPr>
  </w:style>
  <w:style w:type="paragraph" w:customStyle="1" w:styleId="MiniTOCItem">
    <w:name w:val="MiniTOCItem"/>
    <w:basedOn w:val="ListBullet"/>
    <w:rsid w:val="00AF5942"/>
    <w:pPr>
      <w:numPr>
        <w:numId w:val="0"/>
      </w:numPr>
      <w:tabs>
        <w:tab w:val="right" w:leader="dot" w:pos="6521"/>
      </w:tabs>
      <w:spacing w:before="0" w:after="0"/>
    </w:pPr>
  </w:style>
  <w:style w:type="paragraph" w:customStyle="1" w:styleId="TOFTitle">
    <w:name w:val="TOFTitle"/>
    <w:basedOn w:val="TOCTitle"/>
    <w:rsid w:val="00AF5942"/>
  </w:style>
  <w:style w:type="paragraph" w:styleId="TableofFigures">
    <w:name w:val="table of figures"/>
    <w:basedOn w:val="Normal"/>
    <w:next w:val="Normal"/>
    <w:semiHidden/>
    <w:rsid w:val="00AF5942"/>
    <w:pPr>
      <w:tabs>
        <w:tab w:val="right" w:leader="dot" w:pos="9072"/>
      </w:tabs>
      <w:ind w:left="970" w:hanging="403"/>
    </w:pPr>
    <w:rPr>
      <w:rFonts w:ascii="Times New Roman" w:hAnsi="Times New Roman"/>
      <w:b/>
    </w:rPr>
  </w:style>
  <w:style w:type="paragraph" w:styleId="ListNumber">
    <w:name w:val="List Number"/>
    <w:basedOn w:val="List"/>
    <w:rsid w:val="00AF5942"/>
    <w:pPr>
      <w:numPr>
        <w:numId w:val="9"/>
      </w:numPr>
    </w:pPr>
  </w:style>
  <w:style w:type="character" w:customStyle="1" w:styleId="WingdingSymbols">
    <w:name w:val="Wingding Symbols"/>
    <w:rsid w:val="00AF5942"/>
    <w:rPr>
      <w:rFonts w:ascii="Wingdings" w:hAnsi="Wingdings"/>
    </w:rPr>
  </w:style>
  <w:style w:type="paragraph" w:customStyle="1" w:styleId="TableHeading">
    <w:name w:val="Table Heading"/>
    <w:basedOn w:val="HeadingBase"/>
    <w:rsid w:val="00AF5942"/>
    <w:pPr>
      <w:keepLines/>
      <w:pBdr>
        <w:bottom w:val="single" w:sz="6" w:space="1" w:color="918585"/>
      </w:pBdr>
      <w:spacing w:before="240"/>
    </w:pPr>
  </w:style>
  <w:style w:type="character" w:customStyle="1" w:styleId="HotSpot">
    <w:name w:val="HotSpot"/>
    <w:rsid w:val="00AF5942"/>
    <w:rPr>
      <w:color w:val="0033CC"/>
      <w:u w:val="none"/>
    </w:rPr>
  </w:style>
  <w:style w:type="paragraph" w:customStyle="1" w:styleId="BodyTextRight">
    <w:name w:val="Body Text Right"/>
    <w:basedOn w:val="BodyText"/>
    <w:rsid w:val="00AF5942"/>
    <w:pPr>
      <w:spacing w:before="0" w:after="0"/>
      <w:jc w:val="right"/>
    </w:pPr>
  </w:style>
  <w:style w:type="paragraph" w:styleId="Index3">
    <w:name w:val="index 3"/>
    <w:basedOn w:val="ListNumber2"/>
    <w:next w:val="Normal"/>
    <w:semiHidden/>
    <w:rsid w:val="00AF5942"/>
    <w:pPr>
      <w:numPr>
        <w:numId w:val="0"/>
      </w:numPr>
      <w:tabs>
        <w:tab w:val="right" w:leader="dot" w:pos="4176"/>
      </w:tabs>
    </w:pPr>
  </w:style>
  <w:style w:type="paragraph" w:styleId="ListNumber2">
    <w:name w:val="List Number 2"/>
    <w:basedOn w:val="List2"/>
    <w:rsid w:val="00AF5942"/>
    <w:pPr>
      <w:numPr>
        <w:numId w:val="8"/>
      </w:numPr>
      <w:tabs>
        <w:tab w:val="clear" w:pos="1060"/>
      </w:tabs>
    </w:pPr>
  </w:style>
  <w:style w:type="paragraph" w:customStyle="1" w:styleId="MarginNote">
    <w:name w:val="Margin Note"/>
    <w:basedOn w:val="BodyText"/>
    <w:rsid w:val="00AF5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9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5942"/>
    <w:rPr>
      <w:sz w:val="32"/>
    </w:rPr>
  </w:style>
  <w:style w:type="paragraph" w:customStyle="1" w:styleId="HeadingProcedure">
    <w:name w:val="Heading Procedure"/>
    <w:basedOn w:val="HeadingBase"/>
    <w:next w:val="Normal"/>
    <w:rsid w:val="00AF5942"/>
    <w:pPr>
      <w:tabs>
        <w:tab w:val="left" w:pos="0"/>
      </w:tabs>
      <w:spacing w:before="120" w:after="60"/>
    </w:pPr>
    <w:rPr>
      <w:i/>
      <w:color w:val="918585"/>
      <w:sz w:val="22"/>
    </w:rPr>
  </w:style>
  <w:style w:type="paragraph" w:customStyle="1" w:styleId="TableBodyText">
    <w:name w:val="Table Body Text"/>
    <w:basedOn w:val="BodyText"/>
    <w:rsid w:val="00AF5942"/>
    <w:pPr>
      <w:spacing w:before="60" w:after="60"/>
    </w:pPr>
  </w:style>
  <w:style w:type="paragraph" w:styleId="ListContinue">
    <w:name w:val="List Continue"/>
    <w:basedOn w:val="List"/>
    <w:rsid w:val="00AF5942"/>
    <w:pPr>
      <w:ind w:firstLine="0"/>
    </w:pPr>
  </w:style>
  <w:style w:type="paragraph" w:customStyle="1" w:styleId="ListNote">
    <w:name w:val="List Note"/>
    <w:basedOn w:val="List"/>
    <w:rsid w:val="00AF5942"/>
    <w:pPr>
      <w:pBdr>
        <w:top w:val="single" w:sz="6" w:space="2" w:color="918585"/>
        <w:bottom w:val="single" w:sz="6" w:space="2" w:color="918585"/>
      </w:pBdr>
      <w:tabs>
        <w:tab w:val="left" w:pos="1021"/>
      </w:tabs>
      <w:ind w:firstLine="0"/>
    </w:pPr>
  </w:style>
  <w:style w:type="paragraph" w:customStyle="1" w:styleId="Warning">
    <w:name w:val="Warning"/>
    <w:basedOn w:val="BodyText"/>
    <w:rsid w:val="00AF5942"/>
    <w:pPr>
      <w:shd w:val="clear" w:color="auto" w:fill="D9D9D9"/>
      <w:tabs>
        <w:tab w:val="left" w:pos="992"/>
      </w:tabs>
      <w:ind w:left="119" w:right="119"/>
    </w:pPr>
    <w:rPr>
      <w:sz w:val="20"/>
    </w:rPr>
  </w:style>
  <w:style w:type="paragraph" w:customStyle="1" w:styleId="MarginIcons">
    <w:name w:val="Margin Icons"/>
    <w:basedOn w:val="BodyText"/>
    <w:rsid w:val="00AF5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942"/>
    <w:rPr>
      <w:rFonts w:ascii="Courier New" w:hAnsi="Courier New"/>
    </w:rPr>
  </w:style>
  <w:style w:type="paragraph" w:customStyle="1" w:styleId="NoteBullet">
    <w:name w:val="Note Bullet"/>
    <w:basedOn w:val="Note"/>
    <w:rsid w:val="00AF5942"/>
    <w:pPr>
      <w:tabs>
        <w:tab w:val="clear" w:pos="680"/>
      </w:tabs>
      <w:spacing w:before="60" w:after="60"/>
    </w:pPr>
  </w:style>
  <w:style w:type="paragraph" w:customStyle="1" w:styleId="SubHeading2">
    <w:name w:val="SubHeading2"/>
    <w:basedOn w:val="HeadingBase"/>
    <w:rsid w:val="00AF5942"/>
    <w:pPr>
      <w:spacing w:before="240" w:after="60"/>
    </w:pPr>
    <w:rPr>
      <w:sz w:val="20"/>
    </w:rPr>
  </w:style>
  <w:style w:type="paragraph" w:customStyle="1" w:styleId="SubHeading1">
    <w:name w:val="SubHeading1"/>
    <w:basedOn w:val="HeadingBase"/>
    <w:rsid w:val="00AF5942"/>
    <w:pPr>
      <w:spacing w:before="240" w:after="60"/>
    </w:pPr>
    <w:rPr>
      <w:color w:val="918585"/>
      <w:sz w:val="22"/>
    </w:rPr>
  </w:style>
  <w:style w:type="paragraph" w:customStyle="1" w:styleId="SideHeading">
    <w:name w:val="Side Heading"/>
    <w:basedOn w:val="HeadingBase"/>
    <w:rsid w:val="00AF5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942"/>
    <w:pPr>
      <w:numPr>
        <w:numId w:val="10"/>
      </w:numPr>
    </w:pPr>
  </w:style>
  <w:style w:type="paragraph" w:styleId="PlainText">
    <w:name w:val="Plain Text"/>
    <w:basedOn w:val="Normal"/>
    <w:link w:val="PlainTextChar"/>
    <w:rsid w:val="00AF5942"/>
    <w:rPr>
      <w:sz w:val="20"/>
    </w:rPr>
  </w:style>
  <w:style w:type="character" w:customStyle="1" w:styleId="PlainTextChar">
    <w:name w:val="Plain Text Char"/>
    <w:basedOn w:val="DefaultParagraphFont"/>
    <w:link w:val="PlainText"/>
    <w:rsid w:val="00AF59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5942"/>
    <w:rPr>
      <w:b/>
      <w:smallCaps/>
    </w:rPr>
  </w:style>
  <w:style w:type="paragraph" w:customStyle="1" w:styleId="TableListNumber">
    <w:name w:val="Table List Number"/>
    <w:basedOn w:val="ListNumber"/>
    <w:rsid w:val="00AF5942"/>
    <w:pPr>
      <w:numPr>
        <w:numId w:val="0"/>
      </w:numPr>
    </w:pPr>
  </w:style>
  <w:style w:type="paragraph" w:styleId="TOC4">
    <w:name w:val="toc 4"/>
    <w:basedOn w:val="TOCBase"/>
    <w:next w:val="Normal"/>
    <w:semiHidden/>
    <w:rsid w:val="00AF5942"/>
    <w:pPr>
      <w:tabs>
        <w:tab w:val="right" w:leader="dot" w:pos="9071"/>
      </w:tabs>
      <w:ind w:left="1701"/>
    </w:pPr>
  </w:style>
  <w:style w:type="paragraph" w:customStyle="1" w:styleId="ListAlpha">
    <w:name w:val="List Alpha"/>
    <w:basedOn w:val="List"/>
    <w:rsid w:val="00AF5942"/>
    <w:pPr>
      <w:numPr>
        <w:numId w:val="7"/>
      </w:numPr>
    </w:pPr>
  </w:style>
  <w:style w:type="paragraph" w:customStyle="1" w:styleId="ListAlpha2">
    <w:name w:val="List Alpha 2"/>
    <w:basedOn w:val="List2"/>
    <w:rsid w:val="00AF5942"/>
    <w:pPr>
      <w:numPr>
        <w:numId w:val="6"/>
      </w:numPr>
    </w:pPr>
  </w:style>
  <w:style w:type="paragraph" w:styleId="List2">
    <w:name w:val="List 2"/>
    <w:basedOn w:val="BodyText"/>
    <w:rsid w:val="00AF5942"/>
    <w:pPr>
      <w:tabs>
        <w:tab w:val="left" w:pos="680"/>
      </w:tabs>
      <w:spacing w:before="60" w:after="60"/>
      <w:ind w:left="680" w:hanging="340"/>
    </w:pPr>
  </w:style>
  <w:style w:type="paragraph" w:styleId="List3">
    <w:name w:val="List 3"/>
    <w:basedOn w:val="BodyText"/>
    <w:rsid w:val="00AF5942"/>
    <w:pPr>
      <w:tabs>
        <w:tab w:val="left" w:pos="1021"/>
      </w:tabs>
      <w:spacing w:before="60" w:after="60"/>
      <w:ind w:left="1020" w:hanging="340"/>
    </w:pPr>
  </w:style>
  <w:style w:type="paragraph" w:styleId="List4">
    <w:name w:val="List 4"/>
    <w:basedOn w:val="BodyText"/>
    <w:rsid w:val="00AF5942"/>
    <w:pPr>
      <w:tabs>
        <w:tab w:val="left" w:pos="1361"/>
      </w:tabs>
      <w:spacing w:before="60" w:after="60"/>
      <w:ind w:left="1361" w:hanging="340"/>
    </w:pPr>
  </w:style>
  <w:style w:type="paragraph" w:styleId="List5">
    <w:name w:val="List 5"/>
    <w:basedOn w:val="BodyText"/>
    <w:rsid w:val="00AF5942"/>
    <w:pPr>
      <w:tabs>
        <w:tab w:val="left" w:pos="1701"/>
      </w:tabs>
      <w:spacing w:before="60" w:after="60"/>
      <w:ind w:left="1701" w:hanging="340"/>
    </w:pPr>
  </w:style>
  <w:style w:type="paragraph" w:styleId="ListBullet3">
    <w:name w:val="List Bullet 3"/>
    <w:basedOn w:val="List3"/>
    <w:rsid w:val="00AF5942"/>
    <w:pPr>
      <w:numPr>
        <w:numId w:val="13"/>
      </w:numPr>
      <w:tabs>
        <w:tab w:val="clear" w:pos="1021"/>
      </w:tabs>
      <w:ind w:left="1037" w:hanging="357"/>
    </w:pPr>
  </w:style>
  <w:style w:type="paragraph" w:styleId="ListBullet4">
    <w:name w:val="List Bullet 4"/>
    <w:basedOn w:val="List4"/>
    <w:rsid w:val="00AF5942"/>
    <w:pPr>
      <w:numPr>
        <w:numId w:val="1"/>
      </w:numPr>
    </w:pPr>
  </w:style>
  <w:style w:type="paragraph" w:styleId="ListBullet5">
    <w:name w:val="List Bullet 5"/>
    <w:basedOn w:val="List5"/>
    <w:rsid w:val="00AF5942"/>
    <w:pPr>
      <w:numPr>
        <w:numId w:val="2"/>
      </w:numPr>
    </w:pPr>
  </w:style>
  <w:style w:type="paragraph" w:styleId="ListContinue2">
    <w:name w:val="List Continue 2"/>
    <w:basedOn w:val="List2"/>
    <w:rsid w:val="00AF5942"/>
    <w:pPr>
      <w:ind w:firstLine="0"/>
    </w:pPr>
  </w:style>
  <w:style w:type="paragraph" w:styleId="ListContinue3">
    <w:name w:val="List Continue 3"/>
    <w:basedOn w:val="List3"/>
    <w:rsid w:val="00AF5942"/>
    <w:pPr>
      <w:ind w:left="1021" w:firstLine="0"/>
    </w:pPr>
  </w:style>
  <w:style w:type="paragraph" w:styleId="ListContinue4">
    <w:name w:val="List Continue 4"/>
    <w:basedOn w:val="List4"/>
    <w:rsid w:val="00AF5942"/>
    <w:pPr>
      <w:ind w:firstLine="0"/>
    </w:pPr>
  </w:style>
  <w:style w:type="paragraph" w:styleId="ListContinue5">
    <w:name w:val="List Continue 5"/>
    <w:basedOn w:val="List5"/>
    <w:rsid w:val="00AF5942"/>
    <w:pPr>
      <w:ind w:firstLine="0"/>
    </w:pPr>
  </w:style>
  <w:style w:type="paragraph" w:styleId="ListNumber3">
    <w:name w:val="List Number 3"/>
    <w:basedOn w:val="List3"/>
    <w:rsid w:val="00AF5942"/>
    <w:pPr>
      <w:numPr>
        <w:numId w:val="3"/>
      </w:numPr>
    </w:pPr>
  </w:style>
  <w:style w:type="paragraph" w:styleId="ListNumber4">
    <w:name w:val="List Number 4"/>
    <w:basedOn w:val="List4"/>
    <w:rsid w:val="00AF5942"/>
    <w:pPr>
      <w:numPr>
        <w:numId w:val="4"/>
      </w:numPr>
    </w:pPr>
  </w:style>
  <w:style w:type="paragraph" w:styleId="ListNumber5">
    <w:name w:val="List Number 5"/>
    <w:basedOn w:val="List5"/>
    <w:rsid w:val="00AF5942"/>
    <w:pPr>
      <w:numPr>
        <w:numId w:val="5"/>
      </w:numPr>
    </w:pPr>
  </w:style>
  <w:style w:type="paragraph" w:styleId="BlockText">
    <w:name w:val="Block Text"/>
    <w:basedOn w:val="Normal"/>
    <w:rsid w:val="00AF5942"/>
    <w:pPr>
      <w:spacing w:after="120"/>
      <w:ind w:left="1440" w:right="1440"/>
    </w:pPr>
  </w:style>
  <w:style w:type="character" w:customStyle="1" w:styleId="Subscript">
    <w:name w:val="Subscript"/>
    <w:basedOn w:val="DefaultParagraphFont"/>
    <w:rsid w:val="00AF5942"/>
    <w:rPr>
      <w:sz w:val="16"/>
      <w:vertAlign w:val="subscript"/>
    </w:rPr>
  </w:style>
  <w:style w:type="character" w:customStyle="1" w:styleId="Superscript">
    <w:name w:val="Superscript"/>
    <w:basedOn w:val="DefaultParagraphFont"/>
    <w:rsid w:val="00AF5942"/>
    <w:rPr>
      <w:sz w:val="16"/>
      <w:vertAlign w:val="superscript"/>
    </w:rPr>
  </w:style>
  <w:style w:type="character" w:customStyle="1" w:styleId="Symbols">
    <w:name w:val="Symbols"/>
    <w:basedOn w:val="DefaultParagraphFont"/>
    <w:rsid w:val="00AF5942"/>
    <w:rPr>
      <w:rFonts w:ascii="Symbol" w:hAnsi="Symbol"/>
    </w:rPr>
  </w:style>
  <w:style w:type="character" w:customStyle="1" w:styleId="MenuOptions">
    <w:name w:val="Menu Options"/>
    <w:basedOn w:val="DefaultParagraphFont"/>
    <w:rsid w:val="00AF5942"/>
    <w:rPr>
      <w:rFonts w:ascii="Arial Narrow" w:hAnsi="Arial Narrow"/>
      <w:smallCaps/>
    </w:rPr>
  </w:style>
  <w:style w:type="character" w:customStyle="1" w:styleId="Buttons">
    <w:name w:val="Buttons"/>
    <w:basedOn w:val="DefaultParagraphFont"/>
    <w:rsid w:val="00AF5942"/>
    <w:rPr>
      <w:b/>
    </w:rPr>
  </w:style>
  <w:style w:type="character" w:customStyle="1" w:styleId="Underlined">
    <w:name w:val="Underlined"/>
    <w:basedOn w:val="DefaultParagraphFont"/>
    <w:rsid w:val="00AF5942"/>
    <w:rPr>
      <w:u w:val="single"/>
    </w:rPr>
  </w:style>
  <w:style w:type="paragraph" w:customStyle="1" w:styleId="TableBodyTextRight">
    <w:name w:val="Table Body Text Right"/>
    <w:basedOn w:val="TableBodyText"/>
    <w:rsid w:val="00AF5942"/>
    <w:pPr>
      <w:widowControl w:val="0"/>
      <w:autoSpaceDE w:val="0"/>
      <w:autoSpaceDN w:val="0"/>
      <w:adjustRightInd w:val="0"/>
      <w:jc w:val="right"/>
    </w:pPr>
    <w:rPr>
      <w:rFonts w:cs="Arial"/>
      <w:szCs w:val="18"/>
    </w:rPr>
  </w:style>
  <w:style w:type="paragraph" w:customStyle="1" w:styleId="CopyrightText">
    <w:name w:val="Copyright Text"/>
    <w:basedOn w:val="BodyText"/>
    <w:rsid w:val="00AF5942"/>
    <w:rPr>
      <w:sz w:val="18"/>
    </w:rPr>
  </w:style>
  <w:style w:type="paragraph" w:customStyle="1" w:styleId="BodySmallRight">
    <w:name w:val="Body Small Right"/>
    <w:basedOn w:val="BodyTextRight"/>
    <w:rsid w:val="00AF5942"/>
    <w:rPr>
      <w:sz w:val="18"/>
      <w:szCs w:val="18"/>
    </w:rPr>
  </w:style>
  <w:style w:type="paragraph" w:customStyle="1" w:styleId="MarginEdition">
    <w:name w:val="Margin Edition"/>
    <w:basedOn w:val="MarginNote"/>
    <w:rsid w:val="00AF5942"/>
    <w:pPr>
      <w:spacing w:before="0" w:after="0"/>
    </w:pPr>
    <w:rPr>
      <w:rFonts w:ascii="Times New Roman" w:hAnsi="Times New Roman"/>
      <w:color w:val="999999"/>
    </w:rPr>
  </w:style>
  <w:style w:type="paragraph" w:customStyle="1" w:styleId="Spacer">
    <w:name w:val="Spacer"/>
    <w:basedOn w:val="Normal"/>
    <w:rsid w:val="00AF5942"/>
    <w:rPr>
      <w:sz w:val="2"/>
      <w:szCs w:val="2"/>
    </w:rPr>
  </w:style>
  <w:style w:type="character" w:customStyle="1" w:styleId="Small">
    <w:name w:val="Small"/>
    <w:basedOn w:val="DefaultParagraphFont"/>
    <w:rsid w:val="00AF5942"/>
    <w:rPr>
      <w:sz w:val="16"/>
    </w:rPr>
  </w:style>
  <w:style w:type="paragraph" w:customStyle="1" w:styleId="WideTable">
    <w:name w:val="Wide Table"/>
    <w:basedOn w:val="Normal"/>
    <w:rsid w:val="00AF5942"/>
    <w:pPr>
      <w:ind w:left="-1418"/>
    </w:pPr>
    <w:rPr>
      <w:sz w:val="2"/>
      <w:szCs w:val="2"/>
    </w:rPr>
  </w:style>
  <w:style w:type="character" w:styleId="PageNumber">
    <w:name w:val="page number"/>
    <w:basedOn w:val="DefaultParagraphFont"/>
    <w:rsid w:val="00AF5942"/>
  </w:style>
  <w:style w:type="paragraph" w:styleId="Quote">
    <w:name w:val="Quote"/>
    <w:basedOn w:val="Heading1"/>
    <w:link w:val="QuoteChar"/>
    <w:qFormat/>
    <w:rsid w:val="00AF5942"/>
    <w:rPr>
      <w:b w:val="0"/>
      <w:sz w:val="72"/>
      <w:szCs w:val="72"/>
      <w:lang w:val="en-NZ"/>
    </w:rPr>
  </w:style>
  <w:style w:type="character" w:customStyle="1" w:styleId="QuoteChar">
    <w:name w:val="Quote Char"/>
    <w:basedOn w:val="DefaultParagraphFont"/>
    <w:link w:val="Quote"/>
    <w:rsid w:val="00AF5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942"/>
    <w:pPr>
      <w:pageBreakBefore/>
    </w:pPr>
  </w:style>
  <w:style w:type="paragraph" w:customStyle="1" w:styleId="Border">
    <w:name w:val="Border"/>
    <w:basedOn w:val="Normal"/>
    <w:qFormat/>
    <w:rsid w:val="00AF5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942"/>
    <w:rPr>
      <w:b/>
      <w:bCs/>
      <w:i/>
      <w:iCs/>
      <w:color w:val="auto"/>
    </w:rPr>
  </w:style>
  <w:style w:type="paragraph" w:styleId="IntenseQuote">
    <w:name w:val="Intense Quote"/>
    <w:basedOn w:val="Normal"/>
    <w:next w:val="Normal"/>
    <w:link w:val="IntenseQuoteChar"/>
    <w:uiPriority w:val="30"/>
    <w:qFormat/>
    <w:rsid w:val="00AF5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9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5942"/>
    <w:rPr>
      <w:smallCaps/>
      <w:color w:val="auto"/>
      <w:u w:val="single"/>
    </w:rPr>
  </w:style>
  <w:style w:type="character" w:styleId="IntenseReference">
    <w:name w:val="Intense Reference"/>
    <w:basedOn w:val="DefaultParagraphFont"/>
    <w:uiPriority w:val="32"/>
    <w:qFormat/>
    <w:rsid w:val="00AF5942"/>
    <w:rPr>
      <w:b/>
      <w:bCs/>
      <w:smallCaps/>
      <w:color w:val="auto"/>
      <w:spacing w:val="5"/>
      <w:u w:val="single"/>
    </w:rPr>
  </w:style>
  <w:style w:type="paragraph" w:customStyle="1" w:styleId="2ColumnHeading">
    <w:name w:val="2Column Heading"/>
    <w:basedOn w:val="BodyText"/>
    <w:qFormat/>
    <w:rsid w:val="00AF5942"/>
    <w:pPr>
      <w:spacing w:after="60"/>
      <w:ind w:left="-2268"/>
    </w:pPr>
    <w:rPr>
      <w:b/>
    </w:rPr>
  </w:style>
  <w:style w:type="paragraph" w:customStyle="1" w:styleId="Heading1TOC">
    <w:name w:val="Heading1 TOC"/>
    <w:basedOn w:val="Normal"/>
    <w:qFormat/>
    <w:rsid w:val="00AF5942"/>
    <w:pPr>
      <w:spacing w:before="240" w:after="120"/>
    </w:pPr>
    <w:rPr>
      <w:rFonts w:ascii="Times New Roman" w:hAnsi="Times New Roman"/>
      <w:b/>
      <w:sz w:val="32"/>
    </w:rPr>
  </w:style>
  <w:style w:type="paragraph" w:customStyle="1" w:styleId="Heading2TOC">
    <w:name w:val="Heading2 TOC"/>
    <w:basedOn w:val="Normal"/>
    <w:qFormat/>
    <w:rsid w:val="00AF5942"/>
    <w:pPr>
      <w:spacing w:before="240" w:after="60"/>
    </w:pPr>
    <w:rPr>
      <w:rFonts w:ascii="Times New Roman" w:hAnsi="Times New Roman"/>
      <w:b/>
      <w:sz w:val="28"/>
    </w:rPr>
  </w:style>
  <w:style w:type="character" w:customStyle="1" w:styleId="Underline">
    <w:name w:val="Underline"/>
    <w:basedOn w:val="DefaultParagraphFont"/>
    <w:qFormat/>
    <w:rsid w:val="00AF5942"/>
    <w:rPr>
      <w:u w:val="single"/>
    </w:rPr>
  </w:style>
  <w:style w:type="character" w:customStyle="1" w:styleId="BoldandItalics">
    <w:name w:val="Bold and Italics"/>
    <w:qFormat/>
    <w:rsid w:val="00AF5942"/>
    <w:rPr>
      <w:b/>
      <w:i/>
      <w:u w:val="none"/>
    </w:rPr>
  </w:style>
  <w:style w:type="paragraph" w:styleId="BalloonText">
    <w:name w:val="Balloon Text"/>
    <w:basedOn w:val="Normal"/>
    <w:link w:val="BalloonTextChar"/>
    <w:rsid w:val="00AF5942"/>
    <w:rPr>
      <w:rFonts w:ascii="Tahoma" w:hAnsi="Tahoma" w:cs="Tahoma"/>
      <w:sz w:val="16"/>
      <w:szCs w:val="16"/>
    </w:rPr>
  </w:style>
  <w:style w:type="character" w:customStyle="1" w:styleId="BalloonTextChar">
    <w:name w:val="Balloon Text Char"/>
    <w:basedOn w:val="DefaultParagraphFont"/>
    <w:link w:val="BalloonText"/>
    <w:rsid w:val="00AF59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59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9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7767</Characters>
  <Application>Microsoft Office Word</Application>
  <DocSecurity>0</DocSecurity>
  <Lines>289</Lines>
  <Paragraphs>158</Paragraphs>
  <ScaleCrop>false</ScaleCrop>
  <Company>Author-it Software Corporation Ltd.</Company>
  <LinksUpToDate>false</LinksUpToDate>
  <CharactersWithSpaces>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FNSICORG516B Prepare financial reports to meet statutory requirements</dc:title>
  <dc:subject>Approved</dc:subject>
  <dc:creator>Government Skills Australia</dc:creator>
  <cp:keywords>Release: 1</cp:keywords>
  <dc:description>Copyright © 1996-2007 Author-it Software Corporation Ltd., all rights reserved.</dc:description>
  <cp:lastModifiedBy>Dennis Urbans</cp:lastModifiedBy>
  <cp:revision>3</cp:revision>
  <dcterms:created xsi:type="dcterms:W3CDTF">2012-05-26T03:54:00Z</dcterms:created>
  <dcterms:modified xsi:type="dcterms:W3CDTF">2012-05-26T03:54:00Z</dcterms:modified>
</cp:coreProperties>
</file>