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04E0" w:rsidP="002604E0">
      <w:pPr>
        <w:pStyle w:val="Title"/>
      </w:pPr>
      <w:r>
        <w:fldChar w:fldCharType="begin"/>
      </w:r>
      <w:r>
        <w:instrText xml:space="preserve"> TITLE   \* MERGEFORMAT </w:instrText>
      </w:r>
      <w:r>
        <w:fldChar w:fldCharType="separate"/>
      </w:r>
      <w:r>
        <w:t>FNSICORG301B Administer fixed asset register</w:t>
      </w:r>
      <w:r>
        <w:fldChar w:fldCharType="end"/>
      </w:r>
    </w:p>
    <w:p w:rsidR="002604E0" w:rsidP="002604E0">
      <w:pPr>
        <w:pStyle w:val="Version"/>
        <w:sectPr w:rsidSect="00D803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033A" w:rsidP="00D8033A">
      <w:pPr>
        <w:pStyle w:val="SuperHeading"/>
      </w:pPr>
      <w:r w:rsidRPr="00D8033A">
        <w:t>FNSICORG301B Administer fixed asset register</w:t>
      </w:r>
    </w:p>
    <w:p w:rsidR="00000000" w:rsidRPr="00D8033A" w:rsidP="00D8033A">
      <w:pPr>
        <w:pStyle w:val="Heading1"/>
      </w:pPr>
      <w:bookmarkStart w:id="1" w:name="O_318305"/>
      <w:bookmarkEnd w:id="1"/>
      <w:r w:rsidRPr="00D8033A">
        <w:t>Modification History</w:t>
      </w:r>
    </w:p>
    <w:p w:rsidR="00000000" w:rsidRPr="00D8033A" w:rsidP="00D8033A">
      <w:pPr>
        <w:pStyle w:val="BodyText"/>
      </w:pPr>
      <w:r w:rsidRPr="00D8033A">
        <w:t>Not applicable.</w:t>
      </w:r>
    </w:p>
    <w:p w:rsidR="00000000" w:rsidRPr="00D8033A" w:rsidP="00D8033A">
      <w:pPr>
        <w:pStyle w:val="AllowPageBreak"/>
      </w:pPr>
    </w:p>
    <w:p w:rsidR="00000000" w:rsidRPr="00D8033A" w:rsidP="00D8033A">
      <w:pPr>
        <w:pStyle w:val="Heading1"/>
      </w:pPr>
      <w:bookmarkStart w:id="2" w:name="O_318302"/>
      <w:bookmarkEnd w:id="2"/>
      <w:r w:rsidRPr="00D8033A">
        <w:t>Unit Descriptor</w:t>
      </w:r>
    </w:p>
    <w:p w:rsidR="00000000" w:rsidRPr="00D8033A" w:rsidP="00D8033A">
      <w:pPr>
        <w:pStyle w:val="BodyText"/>
      </w:pPr>
      <w:r w:rsidRPr="00D8033A">
        <w:t>This unit describes those functions associated with the maintenance of capital expenditure items.</w:t>
      </w:r>
    </w:p>
    <w:p w:rsidR="00000000" w:rsidRPr="00D8033A" w:rsidP="00D8033A">
      <w:pPr>
        <w:pStyle w:val="BodyText"/>
      </w:pPr>
      <w:r w:rsidRPr="00D8033A">
        <w:t>This unit d</w:t>
      </w:r>
      <w:r w:rsidRPr="00D8033A">
        <w:t>escribes those functions associated with the maintenance of capital expenditure items.</w:t>
      </w:r>
    </w:p>
    <w:p w:rsidR="00000000" w:rsidRPr="00D8033A" w:rsidP="00D8033A">
      <w:pPr>
        <w:pStyle w:val="AllowPageBreak"/>
      </w:pPr>
    </w:p>
    <w:p w:rsidR="00000000" w:rsidRPr="00D8033A" w:rsidP="00D8033A">
      <w:pPr>
        <w:pStyle w:val="Heading1"/>
      </w:pPr>
      <w:bookmarkStart w:id="3" w:name="O_318301"/>
      <w:bookmarkEnd w:id="3"/>
      <w:r w:rsidRPr="00D8033A">
        <w:t>Application of the Unit</w:t>
      </w:r>
    </w:p>
    <w:p w:rsidR="00000000" w:rsidRPr="00D8033A" w:rsidP="00D8033A">
      <w:pPr>
        <w:pStyle w:val="BodyText"/>
      </w:pPr>
      <w:r w:rsidRPr="00D8033A">
        <w:t>This unit requires the application of sound financial and accounting knowledge and the ability to interpret and apply relevant l</w:t>
      </w:r>
      <w:r w:rsidRPr="00D8033A">
        <w:t>egislation in the management of the fixed asset register. It may be applied within and across financial institutions of various sizes.</w:t>
      </w:r>
    </w:p>
    <w:p w:rsidR="00000000" w:rsidRPr="00D8033A" w:rsidP="00D8033A">
      <w:pPr>
        <w:pStyle w:val="BodyText"/>
      </w:pPr>
      <w:r w:rsidRPr="00D8033A">
        <w:t>This unit requires the application of sound financial and accounting knowledge and the ability to interpret and apply rel</w:t>
      </w:r>
      <w:r w:rsidRPr="00D8033A">
        <w:t>evant legislation in the management of the fixed asset register. It may be applied within and across financial institutions of various sizes.</w:t>
      </w:r>
    </w:p>
    <w:p w:rsidR="00000000" w:rsidRPr="00D8033A" w:rsidP="00D8033A">
      <w:pPr>
        <w:pStyle w:val="AllowPageBreak"/>
      </w:pPr>
    </w:p>
    <w:p w:rsidR="00000000" w:rsidRPr="00D8033A" w:rsidP="00D8033A">
      <w:pPr>
        <w:pStyle w:val="Heading1"/>
      </w:pPr>
      <w:bookmarkStart w:id="4" w:name="O_318300"/>
      <w:bookmarkEnd w:id="4"/>
      <w:r w:rsidRPr="00D8033A">
        <w:t>Licensing/Regulatory Information</w:t>
      </w:r>
    </w:p>
    <w:p w:rsidR="00000000" w:rsidRPr="00D8033A" w:rsidP="00D8033A">
      <w:pPr>
        <w:pStyle w:val="BodyText"/>
      </w:pPr>
      <w:r w:rsidRPr="00D8033A">
        <w:t>Not applicable.</w:t>
      </w:r>
    </w:p>
    <w:p w:rsidR="00000000" w:rsidRPr="00D8033A" w:rsidP="00D8033A">
      <w:pPr>
        <w:pStyle w:val="AllowPageBreak"/>
      </w:pPr>
    </w:p>
    <w:p w:rsidR="00000000" w:rsidRPr="00D8033A" w:rsidP="00D8033A">
      <w:pPr>
        <w:pStyle w:val="Heading1"/>
      </w:pPr>
      <w:bookmarkStart w:id="5" w:name="O_318299"/>
      <w:bookmarkEnd w:id="5"/>
      <w:r w:rsidRPr="00D8033A">
        <w:t>Pre-Requisites</w:t>
      </w:r>
    </w:p>
    <w:p w:rsidR="00000000" w:rsidRPr="00D8033A" w:rsidP="00D8033A">
      <w:pPr>
        <w:pStyle w:val="BodyText"/>
      </w:pPr>
      <w:r w:rsidRPr="00D8033A">
        <w:t>Not applicable.</w:t>
      </w:r>
    </w:p>
    <w:p w:rsidR="00000000" w:rsidRPr="00D8033A" w:rsidP="00D8033A">
      <w:pPr>
        <w:pStyle w:val="AllowPageBreak"/>
      </w:pPr>
    </w:p>
    <w:p w:rsidR="00000000" w:rsidRPr="00D8033A" w:rsidP="00D8033A">
      <w:pPr>
        <w:pStyle w:val="Heading1"/>
      </w:pPr>
      <w:bookmarkStart w:id="6" w:name="O_318293"/>
      <w:bookmarkEnd w:id="6"/>
      <w:r w:rsidRPr="00D8033A">
        <w:t>Employability Skills Information</w:t>
      </w:r>
    </w:p>
    <w:p w:rsidR="00000000" w:rsidRPr="00D8033A" w:rsidP="00D8033A">
      <w:pPr>
        <w:pStyle w:val="BodyText"/>
      </w:pPr>
      <w:r w:rsidRPr="00D8033A">
        <w:t>The required outcomes described in this unit of competency contain applicable facets of employability skills. The Employability Skills Summary for the qualification in which this unit of competency is packa</w:t>
      </w:r>
      <w:r w:rsidRPr="00D8033A">
        <w:t>ged, will assist in identifying employability skills requirements.</w:t>
      </w:r>
    </w:p>
    <w:p w:rsidR="00000000" w:rsidRPr="00D8033A" w:rsidP="00D8033A">
      <w:pPr>
        <w:pStyle w:val="BodyText"/>
      </w:pPr>
      <w:r w:rsidRPr="00D8033A">
        <w:t>The required outcomes described in this unit of competency contain applicable facets of employability skills. The Employability Skills Summary for the qualification in which this unit of co</w:t>
      </w:r>
      <w:r w:rsidRPr="00D8033A">
        <w:t>mpetency is packaged, will assist in identifying employability skills requirements.</w:t>
      </w:r>
    </w:p>
    <w:p w:rsidR="00000000" w:rsidRPr="00D8033A" w:rsidP="00D8033A">
      <w:pPr>
        <w:pStyle w:val="AllowPageBreak"/>
      </w:pPr>
    </w:p>
    <w:p w:rsidR="00000000" w:rsidRPr="00D8033A" w:rsidP="00D8033A">
      <w:pPr>
        <w:pStyle w:val="Heading1"/>
      </w:pPr>
      <w:bookmarkStart w:id="7" w:name="O_318298"/>
      <w:bookmarkEnd w:id="7"/>
      <w:r w:rsidRPr="00D8033A">
        <w:t>Elements and Performance Criteria Pre-Content</w:t>
      </w:r>
    </w:p>
    <w:p w:rsidR="00000000" w:rsidRPr="00D8033A" w:rsidP="00D8033A">
      <w:pPr>
        <w:pStyle w:val="BodyText"/>
      </w:pPr>
      <w:r w:rsidRPr="00D8033A">
        <w:t>Elements define the essential outcomes of a unit of competency.</w:t>
      </w:r>
    </w:p>
    <w:p w:rsidR="00000000" w:rsidRPr="00D8033A" w:rsidP="00D8033A">
      <w:pPr>
        <w:pStyle w:val="BodyText"/>
      </w:pPr>
      <w:r w:rsidRPr="00D8033A">
        <w:t xml:space="preserve">Performance Criteria describe the required performance needed to demonstrate achievement of the Element. </w:t>
      </w:r>
      <w:r w:rsidRPr="00D8033A">
        <w:rPr>
          <w:rStyle w:val="SpecialBold"/>
        </w:rPr>
        <w:t xml:space="preserve">Bold, italicised </w:t>
      </w:r>
      <w:r w:rsidRPr="00D8033A">
        <w:t>terms are elaborated in the Range Statement. Assessment of performance is to be consistent with the Evidence Guide.</w:t>
      </w:r>
    </w:p>
    <w:p w:rsidR="00000000" w:rsidRPr="00D8033A" w:rsidP="00D8033A">
      <w:pPr>
        <w:pStyle w:val="BodyText"/>
      </w:pPr>
      <w:r w:rsidRPr="00D8033A">
        <w:t>Elements define th</w:t>
      </w:r>
      <w:r w:rsidRPr="00D8033A">
        <w:t>e essential outcomes of a unit of competency.</w:t>
      </w:r>
    </w:p>
    <w:p w:rsidR="00000000" w:rsidRPr="00D8033A" w:rsidP="00D8033A">
      <w:pPr>
        <w:pStyle w:val="BodyText"/>
      </w:pPr>
      <w:r w:rsidRPr="00D8033A">
        <w:t xml:space="preserve">Performance Criteria describe the required performance needed to demonstrate achievement of the Element. </w:t>
      </w:r>
      <w:r w:rsidRPr="00D8033A">
        <w:rPr>
          <w:rStyle w:val="SpecialBold"/>
        </w:rPr>
        <w:t xml:space="preserve">Bold, italicised </w:t>
      </w:r>
      <w:r w:rsidRPr="00D8033A">
        <w:t>terms are elaborated in the Range Statement. Assessment of performance is to be consiste</w:t>
      </w:r>
      <w:r w:rsidRPr="00D8033A">
        <w:t>nt with the Evidence Guide.</w:t>
      </w:r>
    </w:p>
    <w:p w:rsidR="00000000" w:rsidRPr="00D8033A" w:rsidP="00D8033A">
      <w:pPr>
        <w:pStyle w:val="AllowPageBreak"/>
      </w:pPr>
    </w:p>
    <w:p w:rsidR="00000000" w:rsidRPr="00D8033A" w:rsidP="00D8033A">
      <w:pPr>
        <w:pStyle w:val="Heading1"/>
      </w:pPr>
      <w:bookmarkStart w:id="8" w:name="O_318297"/>
      <w:bookmarkEnd w:id="8"/>
      <w:r w:rsidRPr="00D8033A">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2604E0">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D8033A">
            <w:pPr>
              <w:pStyle w:val="BodyText"/>
              <w:rPr>
                <w:lang w:val="en-NZ"/>
              </w:rPr>
            </w:pPr>
            <w:r w:rsidRPr="00D8033A">
              <w:rPr>
                <w:rStyle w:val="SpecialBold"/>
              </w:rPr>
              <w:t>Elements and Performance Criteria</w:t>
            </w:r>
          </w:p>
        </w:tc>
      </w:tr>
      <w:tr w:rsidTr="002604E0">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D8033A" w:rsidP="00D8033A">
            <w:pPr>
              <w:pStyle w:val="BodyText"/>
            </w:pPr>
            <w:r w:rsidRPr="00D8033A">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D8033A">
            <w:pPr>
              <w:pStyle w:val="BodyText"/>
              <w:rPr>
                <w:lang w:val="en-NZ"/>
              </w:rPr>
            </w:pPr>
            <w:r w:rsidRPr="00D8033A">
              <w:rPr>
                <w:rStyle w:val="SpecialBold"/>
              </w:rPr>
              <w:t>Performance Criteria</w:t>
            </w:r>
          </w:p>
        </w:tc>
      </w:tr>
      <w:tr w:rsidTr="002604E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8033A">
            <w:pPr>
              <w:pStyle w:val="BodyText"/>
              <w:rPr>
                <w:lang w:val="en-NZ"/>
              </w:rPr>
            </w:pPr>
            <w:r w:rsidRPr="00D8033A">
              <w:t>1</w:t>
            </w:r>
          </w:p>
        </w:tc>
        <w:tc>
          <w:tcPr>
            <w:tcW w:w="3000" w:type="dxa"/>
            <w:vMerge w:val="restart"/>
            <w:tcBorders>
              <w:top w:val="nil"/>
              <w:left w:val="nil"/>
              <w:bottom w:val="nil"/>
              <w:right w:val="nil"/>
            </w:tcBorders>
            <w:tcMar>
              <w:top w:w="0" w:type="dxa"/>
              <w:left w:w="62" w:type="dxa"/>
              <w:bottom w:w="0" w:type="dxa"/>
              <w:right w:w="62" w:type="dxa"/>
            </w:tcMar>
          </w:tcPr>
          <w:p w:rsidR="00000000" w:rsidP="00D8033A">
            <w:pPr>
              <w:pStyle w:val="BodyText"/>
              <w:rPr>
                <w:lang w:val="en-NZ"/>
              </w:rPr>
            </w:pPr>
            <w:r w:rsidRPr="00D8033A">
              <w:t>Reconcile asset register to general ledgers</w:t>
            </w:r>
          </w:p>
        </w:tc>
        <w:tc>
          <w:tcPr>
            <w:tcW w:w="500" w:type="dxa"/>
            <w:tcBorders>
              <w:top w:val="nil"/>
              <w:left w:val="nil"/>
              <w:bottom w:val="nil"/>
              <w:right w:val="nil"/>
            </w:tcBorders>
            <w:tcMar>
              <w:top w:w="0" w:type="dxa"/>
              <w:left w:w="62" w:type="dxa"/>
              <w:bottom w:w="0" w:type="dxa"/>
              <w:right w:w="62" w:type="dxa"/>
            </w:tcMar>
          </w:tcPr>
          <w:p w:rsidR="00000000" w:rsidP="00D8033A">
            <w:pPr>
              <w:pStyle w:val="BodyText"/>
              <w:rPr>
                <w:lang w:val="en-NZ"/>
              </w:rPr>
            </w:pPr>
            <w:r w:rsidRPr="00D8033A">
              <w:t>1.1</w:t>
            </w:r>
          </w:p>
        </w:tc>
        <w:tc>
          <w:tcPr>
            <w:tcW w:w="5100" w:type="dxa"/>
            <w:tcBorders>
              <w:top w:val="nil"/>
              <w:left w:val="nil"/>
              <w:bottom w:val="nil"/>
              <w:right w:val="nil"/>
            </w:tcBorders>
            <w:tcMar>
              <w:top w:w="0" w:type="dxa"/>
              <w:left w:w="62" w:type="dxa"/>
              <w:bottom w:w="0" w:type="dxa"/>
              <w:right w:w="62" w:type="dxa"/>
            </w:tcMar>
          </w:tcPr>
          <w:p w:rsidR="00000000" w:rsidP="00D8033A">
            <w:pPr>
              <w:pStyle w:val="BodyText"/>
              <w:rPr>
                <w:lang w:val="en-NZ"/>
              </w:rPr>
            </w:pPr>
            <w:r w:rsidRPr="00D8033A">
              <w:t xml:space="preserve">All </w:t>
            </w:r>
            <w:r w:rsidRPr="00D8033A">
              <w:rPr>
                <w:rStyle w:val="SpecialBold"/>
              </w:rPr>
              <w:t xml:space="preserve">expenditure items </w:t>
            </w:r>
            <w:r w:rsidRPr="00D8033A">
              <w:t xml:space="preserve">are reconciled in accordance with </w:t>
            </w:r>
            <w:r w:rsidRPr="00D8033A">
              <w:rPr>
                <w:rStyle w:val="SpecialBold"/>
              </w:rPr>
              <w:t>organisation's policies, procedures and practices</w:t>
            </w:r>
          </w:p>
        </w:tc>
      </w:tr>
      <w:tr w:rsidTr="002604E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8033A">
            <w:pPr>
              <w:pStyle w:val="BodyText"/>
              <w:rPr>
                <w:lang w:val="en-NZ"/>
              </w:rPr>
            </w:pPr>
            <w:r w:rsidRPr="00D8033A">
              <w:t>1.2</w:t>
            </w:r>
          </w:p>
        </w:tc>
        <w:tc>
          <w:tcPr>
            <w:tcW w:w="5100" w:type="dxa"/>
            <w:tcBorders>
              <w:top w:val="nil"/>
              <w:left w:val="nil"/>
              <w:bottom w:val="nil"/>
              <w:right w:val="nil"/>
            </w:tcBorders>
            <w:tcMar>
              <w:top w:w="0" w:type="dxa"/>
              <w:left w:w="62" w:type="dxa"/>
              <w:bottom w:w="0" w:type="dxa"/>
              <w:right w:w="62" w:type="dxa"/>
            </w:tcMar>
          </w:tcPr>
          <w:p w:rsidR="00000000" w:rsidP="00D8033A">
            <w:pPr>
              <w:pStyle w:val="BodyText"/>
              <w:rPr>
                <w:lang w:val="en-NZ"/>
              </w:rPr>
            </w:pPr>
            <w:r w:rsidRPr="00D8033A">
              <w:t>Discrepancies are identified and actioned according to organisation's policies, procedures and practices</w:t>
            </w:r>
          </w:p>
        </w:tc>
      </w:tr>
      <w:tr w:rsidTr="002604E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8033A">
            <w:pPr>
              <w:pStyle w:val="BodyText"/>
              <w:rPr>
                <w:lang w:val="en-NZ"/>
              </w:rPr>
            </w:pPr>
            <w:r w:rsidRPr="00D8033A">
              <w:t>2</w:t>
            </w:r>
          </w:p>
        </w:tc>
        <w:tc>
          <w:tcPr>
            <w:tcW w:w="3000" w:type="dxa"/>
            <w:vMerge w:val="restart"/>
            <w:tcBorders>
              <w:top w:val="nil"/>
              <w:left w:val="nil"/>
              <w:bottom w:val="nil"/>
              <w:right w:val="nil"/>
            </w:tcBorders>
            <w:tcMar>
              <w:top w:w="0" w:type="dxa"/>
              <w:left w:w="62" w:type="dxa"/>
              <w:bottom w:w="0" w:type="dxa"/>
              <w:right w:w="62" w:type="dxa"/>
            </w:tcMar>
          </w:tcPr>
          <w:p w:rsidR="00000000" w:rsidP="00D8033A">
            <w:pPr>
              <w:pStyle w:val="BodyText"/>
              <w:rPr>
                <w:lang w:val="en-NZ"/>
              </w:rPr>
            </w:pPr>
            <w:r w:rsidRPr="00D8033A">
              <w:t>Recognise new assets and asset categories</w:t>
            </w:r>
          </w:p>
        </w:tc>
        <w:tc>
          <w:tcPr>
            <w:tcW w:w="500" w:type="dxa"/>
            <w:tcBorders>
              <w:top w:val="nil"/>
              <w:left w:val="nil"/>
              <w:bottom w:val="nil"/>
              <w:right w:val="nil"/>
            </w:tcBorders>
            <w:tcMar>
              <w:top w:w="0" w:type="dxa"/>
              <w:left w:w="62" w:type="dxa"/>
              <w:bottom w:w="0" w:type="dxa"/>
              <w:right w:w="62" w:type="dxa"/>
            </w:tcMar>
          </w:tcPr>
          <w:p w:rsidR="00000000" w:rsidP="00D8033A">
            <w:pPr>
              <w:pStyle w:val="BodyText"/>
              <w:rPr>
                <w:lang w:val="en-NZ"/>
              </w:rPr>
            </w:pPr>
            <w:r w:rsidRPr="00D8033A">
              <w:t>2.1</w:t>
            </w:r>
          </w:p>
        </w:tc>
        <w:tc>
          <w:tcPr>
            <w:tcW w:w="5100" w:type="dxa"/>
            <w:tcBorders>
              <w:top w:val="nil"/>
              <w:left w:val="nil"/>
              <w:bottom w:val="nil"/>
              <w:right w:val="nil"/>
            </w:tcBorders>
            <w:tcMar>
              <w:top w:w="0" w:type="dxa"/>
              <w:left w:w="62" w:type="dxa"/>
              <w:bottom w:w="0" w:type="dxa"/>
              <w:right w:w="62" w:type="dxa"/>
            </w:tcMar>
          </w:tcPr>
          <w:p w:rsidR="00000000" w:rsidP="00D8033A">
            <w:pPr>
              <w:pStyle w:val="BodyText"/>
              <w:rPr>
                <w:lang w:val="en-NZ"/>
              </w:rPr>
            </w:pPr>
            <w:r w:rsidRPr="00D8033A">
              <w:t>New asset categories are identified</w:t>
            </w:r>
          </w:p>
        </w:tc>
      </w:tr>
      <w:tr w:rsidTr="002604E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8033A">
            <w:pPr>
              <w:pStyle w:val="BodyText"/>
              <w:rPr>
                <w:lang w:val="en-NZ"/>
              </w:rPr>
            </w:pPr>
            <w:r w:rsidRPr="00D8033A">
              <w:t>2.2</w:t>
            </w:r>
          </w:p>
        </w:tc>
        <w:tc>
          <w:tcPr>
            <w:tcW w:w="5100" w:type="dxa"/>
            <w:tcBorders>
              <w:top w:val="nil"/>
              <w:left w:val="nil"/>
              <w:bottom w:val="nil"/>
              <w:right w:val="nil"/>
            </w:tcBorders>
            <w:tcMar>
              <w:top w:w="0" w:type="dxa"/>
              <w:left w:w="62" w:type="dxa"/>
              <w:bottom w:w="0" w:type="dxa"/>
              <w:right w:w="62" w:type="dxa"/>
            </w:tcMar>
          </w:tcPr>
          <w:p w:rsidR="00000000" w:rsidP="00D8033A">
            <w:pPr>
              <w:pStyle w:val="BodyText"/>
              <w:rPr>
                <w:lang w:val="en-NZ"/>
              </w:rPr>
            </w:pPr>
            <w:r w:rsidRPr="00D8033A">
              <w:t>Pro-forma for input of asset details is prepared and processed within the month of purchase</w:t>
            </w:r>
          </w:p>
        </w:tc>
      </w:tr>
      <w:tr w:rsidTr="002604E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8033A">
            <w:pPr>
              <w:pStyle w:val="BodyText"/>
              <w:rPr>
                <w:lang w:val="en-NZ"/>
              </w:rPr>
            </w:pPr>
            <w:r w:rsidRPr="00D8033A">
              <w:t>3</w:t>
            </w:r>
          </w:p>
        </w:tc>
        <w:tc>
          <w:tcPr>
            <w:tcW w:w="3000" w:type="dxa"/>
            <w:vMerge w:val="restart"/>
            <w:tcBorders>
              <w:top w:val="nil"/>
              <w:left w:val="nil"/>
              <w:bottom w:val="nil"/>
              <w:right w:val="nil"/>
            </w:tcBorders>
            <w:tcMar>
              <w:top w:w="0" w:type="dxa"/>
              <w:left w:w="62" w:type="dxa"/>
              <w:bottom w:w="0" w:type="dxa"/>
              <w:right w:w="62" w:type="dxa"/>
            </w:tcMar>
          </w:tcPr>
          <w:p w:rsidR="00000000" w:rsidP="00D8033A">
            <w:pPr>
              <w:pStyle w:val="BodyText"/>
              <w:rPr>
                <w:lang w:val="en-NZ"/>
              </w:rPr>
            </w:pPr>
            <w:r w:rsidRPr="00D8033A">
              <w:t>Prepare schedules and ad hoc reports</w:t>
            </w:r>
          </w:p>
        </w:tc>
        <w:tc>
          <w:tcPr>
            <w:tcW w:w="500" w:type="dxa"/>
            <w:tcBorders>
              <w:top w:val="nil"/>
              <w:left w:val="nil"/>
              <w:bottom w:val="nil"/>
              <w:right w:val="nil"/>
            </w:tcBorders>
            <w:tcMar>
              <w:top w:w="0" w:type="dxa"/>
              <w:left w:w="62" w:type="dxa"/>
              <w:bottom w:w="0" w:type="dxa"/>
              <w:right w:w="62" w:type="dxa"/>
            </w:tcMar>
          </w:tcPr>
          <w:p w:rsidR="00000000" w:rsidP="00D8033A">
            <w:pPr>
              <w:pStyle w:val="BodyText"/>
              <w:rPr>
                <w:lang w:val="en-NZ"/>
              </w:rPr>
            </w:pPr>
            <w:r w:rsidRPr="00D8033A">
              <w:t>3.1</w:t>
            </w:r>
          </w:p>
        </w:tc>
        <w:tc>
          <w:tcPr>
            <w:tcW w:w="5100" w:type="dxa"/>
            <w:tcBorders>
              <w:top w:val="nil"/>
              <w:left w:val="nil"/>
              <w:bottom w:val="nil"/>
              <w:right w:val="nil"/>
            </w:tcBorders>
            <w:tcMar>
              <w:top w:w="0" w:type="dxa"/>
              <w:left w:w="62" w:type="dxa"/>
              <w:bottom w:w="0" w:type="dxa"/>
              <w:right w:w="62" w:type="dxa"/>
            </w:tcMar>
          </w:tcPr>
          <w:p w:rsidR="00000000" w:rsidP="00D8033A">
            <w:pPr>
              <w:pStyle w:val="BodyText"/>
              <w:rPr>
                <w:lang w:val="en-NZ"/>
              </w:rPr>
            </w:pPr>
            <w:r w:rsidRPr="00D8033A">
              <w:t>Depreciation expense is updated regularly according to depreciation schedule</w:t>
            </w:r>
          </w:p>
        </w:tc>
      </w:tr>
      <w:tr w:rsidTr="002604E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D8033A" w:rsidP="00D8033A">
            <w:pPr>
              <w:pStyle w:val="BodyText"/>
            </w:pPr>
            <w:r w:rsidRPr="00D8033A">
              <w:t>3.2</w:t>
            </w:r>
          </w:p>
        </w:tc>
        <w:tc>
          <w:tcPr>
            <w:tcW w:w="5100" w:type="dxa"/>
            <w:tcBorders>
              <w:top w:val="nil"/>
              <w:left w:val="nil"/>
              <w:bottom w:val="nil"/>
              <w:right w:val="nil"/>
            </w:tcBorders>
            <w:tcMar>
              <w:top w:w="0" w:type="dxa"/>
              <w:left w:w="62" w:type="dxa"/>
              <w:bottom w:w="0" w:type="dxa"/>
              <w:right w:w="62" w:type="dxa"/>
            </w:tcMar>
          </w:tcPr>
          <w:p w:rsidR="00000000" w:rsidP="00D8033A">
            <w:pPr>
              <w:pStyle w:val="BodyText"/>
              <w:rPr>
                <w:lang w:val="en-NZ"/>
              </w:rPr>
            </w:pPr>
            <w:r w:rsidRPr="00D8033A">
              <w:rPr>
                <w:rStyle w:val="SpecialBold"/>
              </w:rPr>
              <w:t xml:space="preserve">Spreadsheets </w:t>
            </w:r>
            <w:r w:rsidRPr="00D8033A">
              <w:t>and reconciliations are prepared in accordance with annual tax schedule, with allowance made for permanent differences</w:t>
            </w:r>
          </w:p>
        </w:tc>
      </w:tr>
      <w:tr w:rsidTr="002604E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8033A">
            <w:pPr>
              <w:pStyle w:val="BodyText"/>
              <w:rPr>
                <w:lang w:val="en-NZ"/>
              </w:rPr>
            </w:pPr>
            <w:r w:rsidRPr="00D8033A">
              <w:t>3.3</w:t>
            </w:r>
          </w:p>
        </w:tc>
        <w:tc>
          <w:tcPr>
            <w:tcW w:w="5100" w:type="dxa"/>
            <w:tcBorders>
              <w:top w:val="nil"/>
              <w:left w:val="nil"/>
              <w:bottom w:val="nil"/>
              <w:right w:val="nil"/>
            </w:tcBorders>
            <w:tcMar>
              <w:top w:w="0" w:type="dxa"/>
              <w:left w:w="62" w:type="dxa"/>
              <w:bottom w:w="0" w:type="dxa"/>
              <w:right w:w="62" w:type="dxa"/>
            </w:tcMar>
          </w:tcPr>
          <w:p w:rsidR="00000000" w:rsidRPr="00D8033A" w:rsidP="00D8033A">
            <w:pPr>
              <w:pStyle w:val="BodyText"/>
            </w:pPr>
            <w:r w:rsidRPr="00D8033A">
              <w:t>Spreadsheets</w:t>
            </w:r>
            <w:r w:rsidRPr="00D8033A">
              <w:rPr>
                <w:rStyle w:val="SpecialBold"/>
              </w:rPr>
              <w:t xml:space="preserve">/ad hoc reports </w:t>
            </w:r>
            <w:r w:rsidRPr="00D8033A">
              <w:t>are prepared as requested</w:t>
            </w:r>
          </w:p>
        </w:tc>
      </w:tr>
    </w:tbl>
    <w:p w:rsidR="00000000" w:rsidRPr="00D8033A" w:rsidP="00D8033A">
      <w:pPr>
        <w:pStyle w:val="BodyText"/>
      </w:pPr>
    </w:p>
    <w:p w:rsidR="00000000" w:rsidRPr="00D8033A" w:rsidP="00D8033A">
      <w:pPr>
        <w:pStyle w:val="AllowPageBreak"/>
      </w:pPr>
    </w:p>
    <w:p w:rsidR="00000000" w:rsidRPr="00D8033A" w:rsidP="00D8033A">
      <w:pPr>
        <w:pStyle w:val="Heading1"/>
      </w:pPr>
      <w:bookmarkStart w:id="9" w:name="O_318296"/>
      <w:bookmarkEnd w:id="9"/>
      <w:r w:rsidRPr="00D8033A">
        <w:t>Required Skills and Knowledge</w:t>
      </w:r>
    </w:p>
    <w:tbl>
      <w:tblPr>
        <w:tblW w:w="0" w:type="auto"/>
        <w:tblLayout w:type="fixed"/>
        <w:tblCellMar>
          <w:left w:w="62" w:type="dxa"/>
          <w:right w:w="62" w:type="dxa"/>
        </w:tblCellMar>
        <w:tblLook w:val="0000"/>
      </w:tblPr>
      <w:tblGrid>
        <w:gridCol w:w="9000"/>
      </w:tblGrid>
      <w:tr w:rsidTr="002604E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8033A">
            <w:pPr>
              <w:pStyle w:val="BodyText"/>
              <w:rPr>
                <w:lang w:val="en-NZ"/>
              </w:rPr>
            </w:pPr>
            <w:r w:rsidRPr="00D8033A">
              <w:rPr>
                <w:rStyle w:val="SpecialBold"/>
              </w:rPr>
              <w:t>REQUIRED KNOWLEDGE</w:t>
            </w:r>
            <w:r w:rsidRPr="00D8033A">
              <w:t>&amp;</w:t>
            </w:r>
            <w:r w:rsidRPr="00D8033A">
              <w:rPr>
                <w:rStyle w:val="SpecialBold"/>
              </w:rPr>
              <w:t>SKILLS</w:t>
            </w:r>
          </w:p>
        </w:tc>
      </w:tr>
      <w:tr w:rsidTr="002604E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D8033A" w:rsidP="00D8033A">
            <w:pPr>
              <w:pStyle w:val="BodyText"/>
            </w:pPr>
            <w:r w:rsidRPr="00D8033A">
              <w:rPr>
                <w:rStyle w:val="SpecialBold"/>
              </w:rPr>
              <w:t>Knowledge requirements include</w:t>
            </w:r>
            <w:r w:rsidRPr="00D8033A">
              <w:t xml:space="preserve">: </w:t>
            </w:r>
          </w:p>
          <w:p w:rsidR="00000000" w:rsidRPr="00D8033A" w:rsidP="00D8033A">
            <w:pPr>
              <w:pStyle w:val="BodyText"/>
            </w:pPr>
            <w:r w:rsidRPr="00D8033A">
              <w:t>knowledge of teller and banking processes</w:t>
            </w:r>
          </w:p>
          <w:p w:rsidR="00000000" w:rsidRPr="00D8033A" w:rsidP="00D8033A">
            <w:pPr>
              <w:pStyle w:val="BodyText"/>
            </w:pPr>
            <w:r w:rsidRPr="00D8033A">
              <w:t>knowledge of fixed asset register software</w:t>
            </w:r>
          </w:p>
          <w:p w:rsidR="00000000" w:rsidRPr="00D8033A" w:rsidP="00D8033A">
            <w:pPr>
              <w:pStyle w:val="BodyText"/>
            </w:pPr>
            <w:r w:rsidRPr="00D8033A">
              <w:t>knowledge of information systems including spreadsheets</w:t>
            </w:r>
          </w:p>
          <w:p w:rsidR="00000000" w:rsidRPr="00D8033A" w:rsidP="00D8033A">
            <w:pPr>
              <w:pStyle w:val="BodyText"/>
            </w:pPr>
            <w:r w:rsidRPr="00D8033A">
              <w:t>knowledge of general ledgers</w:t>
            </w:r>
          </w:p>
          <w:p w:rsidR="00000000" w:rsidRPr="00D8033A" w:rsidP="00D8033A">
            <w:pPr>
              <w:pStyle w:val="BodyText"/>
            </w:pPr>
            <w:r w:rsidRPr="00D8033A">
              <w:t>introductory knowledge of the finance industry, accou</w:t>
            </w:r>
            <w:r w:rsidRPr="00D8033A">
              <w:t>nting principles, business communication, business law and business accounting</w:t>
            </w:r>
          </w:p>
          <w:p w:rsidR="00000000" w:rsidRPr="00D8033A" w:rsidP="00D8033A">
            <w:pPr>
              <w:pStyle w:val="BodyText"/>
            </w:pPr>
            <w:r w:rsidRPr="00D8033A">
              <w:t>knowledge of the working environment</w:t>
            </w:r>
          </w:p>
          <w:p w:rsidR="00000000" w:rsidP="00D8033A">
            <w:pPr>
              <w:pStyle w:val="BodyText"/>
              <w:rPr>
                <w:lang w:val="en-NZ"/>
              </w:rPr>
            </w:pPr>
            <w:r w:rsidRPr="00D8033A">
              <w:t xml:space="preserve">information technology </w:t>
            </w:r>
          </w:p>
        </w:tc>
      </w:tr>
      <w:tr w:rsidTr="002604E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D8033A" w:rsidP="00D8033A">
            <w:pPr>
              <w:pStyle w:val="BodyText"/>
            </w:pPr>
            <w:r w:rsidRPr="00D8033A">
              <w:rPr>
                <w:rStyle w:val="SpecialBold"/>
              </w:rPr>
              <w:t>Skills requirements include</w:t>
            </w:r>
            <w:r w:rsidRPr="00D8033A">
              <w:t xml:space="preserve">: </w:t>
            </w:r>
          </w:p>
          <w:p w:rsidR="00000000" w:rsidRPr="00D8033A" w:rsidP="00D8033A">
            <w:pPr>
              <w:pStyle w:val="BodyText"/>
            </w:pPr>
            <w:r w:rsidRPr="00D8033A">
              <w:t>organising planning and controlling skills</w:t>
            </w:r>
          </w:p>
          <w:p w:rsidR="00000000" w:rsidRPr="00D8033A" w:rsidP="00D8033A">
            <w:pPr>
              <w:pStyle w:val="BodyText"/>
            </w:pPr>
            <w:r w:rsidRPr="00D8033A">
              <w:t>reporting skills</w:t>
            </w:r>
          </w:p>
          <w:p w:rsidR="00000000" w:rsidRPr="00D8033A" w:rsidP="00D8033A">
            <w:pPr>
              <w:pStyle w:val="BodyText"/>
            </w:pPr>
            <w:r w:rsidRPr="00D8033A">
              <w:t>problem solving skills</w:t>
            </w:r>
          </w:p>
          <w:p w:rsidR="00000000" w:rsidRPr="00D8033A" w:rsidP="00D8033A">
            <w:pPr>
              <w:pStyle w:val="BodyText"/>
            </w:pPr>
            <w:r w:rsidRPr="00D8033A">
              <w:t>researching, observing and analysing skills</w:t>
            </w:r>
          </w:p>
          <w:p w:rsidR="00000000" w:rsidRPr="00D8033A" w:rsidP="00D8033A">
            <w:pPr>
              <w:pStyle w:val="BodyText"/>
            </w:pPr>
            <w:r w:rsidRPr="00D8033A">
              <w:t>written and verbal communication skills</w:t>
            </w:r>
          </w:p>
          <w:p w:rsidR="00000000" w:rsidRPr="00D8033A" w:rsidP="00D8033A">
            <w:pPr>
              <w:pStyle w:val="BodyText"/>
            </w:pPr>
            <w:r w:rsidRPr="00D8033A">
              <w:t xml:space="preserve">numeracy skills </w:t>
            </w:r>
          </w:p>
        </w:tc>
      </w:tr>
    </w:tbl>
    <w:p w:rsidR="00000000" w:rsidRPr="00D8033A" w:rsidP="00D8033A">
      <w:pPr>
        <w:pStyle w:val="BodyText"/>
      </w:pPr>
    </w:p>
    <w:p w:rsidR="00000000" w:rsidRPr="00D8033A" w:rsidP="00D8033A">
      <w:pPr>
        <w:pStyle w:val="AllowPageBreak"/>
      </w:pPr>
    </w:p>
    <w:p w:rsidR="00000000" w:rsidRPr="00D8033A" w:rsidP="00D8033A">
      <w:pPr>
        <w:pStyle w:val="Heading1"/>
      </w:pPr>
      <w:bookmarkStart w:id="10" w:name="O_318295"/>
      <w:bookmarkEnd w:id="10"/>
      <w:r w:rsidRPr="00D8033A">
        <w:t>Evidence Guide</w:t>
      </w:r>
    </w:p>
    <w:tbl>
      <w:tblPr>
        <w:tblW w:w="0" w:type="auto"/>
        <w:tblLayout w:type="fixed"/>
        <w:tblCellMar>
          <w:left w:w="62" w:type="dxa"/>
          <w:right w:w="62" w:type="dxa"/>
        </w:tblCellMar>
        <w:tblLook w:val="0000"/>
      </w:tblPr>
      <w:tblGrid>
        <w:gridCol w:w="4500"/>
        <w:gridCol w:w="4500"/>
      </w:tblGrid>
      <w:tr w:rsidTr="002604E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8033A">
            <w:pPr>
              <w:pStyle w:val="BodyText"/>
              <w:rPr>
                <w:lang w:val="en-NZ"/>
              </w:rPr>
            </w:pPr>
            <w:r w:rsidRPr="00D8033A">
              <w:rPr>
                <w:rStyle w:val="SpecialBold"/>
              </w:rPr>
              <w:t xml:space="preserve"> EVIDENCE GUIDE</w:t>
            </w:r>
          </w:p>
        </w:tc>
      </w:tr>
      <w:tr w:rsidTr="002604E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8033A">
            <w:pPr>
              <w:pStyle w:val="BodyText"/>
              <w:rPr>
                <w:lang w:val="en-NZ"/>
              </w:rPr>
            </w:pPr>
            <w:r w:rsidRPr="00D8033A">
              <w:t>Assessment of performance requirements in the unit should be undertaken in an industry context. The Evi</w:t>
            </w:r>
            <w:r w:rsidRPr="00D8033A">
              <w:t xml:space="preserve">dence Guide identifies the critical aspects, knowledge and skills to be demonstrated to confirm competency for the unit. Competency is demonstrated by performance of all stated criteria including the Range Statement applicable to the workplace. </w:t>
            </w:r>
          </w:p>
        </w:tc>
      </w:tr>
      <w:tr w:rsidTr="002604E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8033A">
            <w:pPr>
              <w:pStyle w:val="BodyText"/>
              <w:rPr>
                <w:lang w:val="en-NZ"/>
              </w:rPr>
            </w:pPr>
            <w:r w:rsidRPr="00D8033A">
              <w:rPr>
                <w:rStyle w:val="SpecialBold"/>
              </w:rPr>
              <w:t>Overview of assessment requirements</w:t>
            </w:r>
          </w:p>
        </w:tc>
      </w:tr>
      <w:tr w:rsidTr="002604E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8033A" w:rsidP="00D8033A">
            <w:pPr>
              <w:pStyle w:val="BodyText"/>
            </w:pPr>
            <w:r w:rsidRPr="00D8033A">
              <w:t xml:space="preserve">To achieve competency in this unit, a person must be able to demonstrate: </w:t>
            </w:r>
          </w:p>
          <w:p w:rsidR="00000000" w:rsidRPr="00D8033A" w:rsidP="00D8033A">
            <w:pPr>
              <w:pStyle w:val="BodyText"/>
            </w:pPr>
            <w:r w:rsidRPr="00D8033A">
              <w:t>thorough checking of transaction details and reconciliation reports</w:t>
            </w:r>
          </w:p>
          <w:p w:rsidR="00000000" w:rsidRPr="00D8033A" w:rsidP="00D8033A">
            <w:pPr>
              <w:pStyle w:val="BodyText"/>
            </w:pPr>
            <w:r w:rsidRPr="00D8033A">
              <w:t>sound knowledge of relevant legislation</w:t>
            </w:r>
          </w:p>
          <w:p w:rsidR="00000000" w:rsidRPr="00D8033A" w:rsidP="00D8033A">
            <w:pPr>
              <w:pStyle w:val="BodyText"/>
            </w:pPr>
            <w:r w:rsidRPr="00D8033A">
              <w:t>effective communication skills</w:t>
            </w:r>
          </w:p>
          <w:p w:rsidR="00000000" w:rsidRPr="00D8033A" w:rsidP="00D8033A">
            <w:pPr>
              <w:pStyle w:val="BodyText"/>
            </w:pPr>
            <w:r w:rsidRPr="00D8033A">
              <w:t>thor</w:t>
            </w:r>
            <w:r w:rsidRPr="00D8033A">
              <w:t>ough understanding of reconciliation processes</w:t>
            </w:r>
          </w:p>
          <w:p w:rsidR="00000000" w:rsidRPr="00D8033A" w:rsidP="00D8033A">
            <w:pPr>
              <w:pStyle w:val="BodyText"/>
            </w:pPr>
            <w:r w:rsidRPr="00D8033A">
              <w:t>thorough understanding of depreciation schedules</w:t>
            </w:r>
          </w:p>
          <w:p w:rsidR="00000000" w:rsidRPr="00D8033A" w:rsidP="00D8033A">
            <w:pPr>
              <w:pStyle w:val="BodyText"/>
            </w:pPr>
            <w:r w:rsidRPr="00D8033A">
              <w:t>familiarity with fixed asset register software</w:t>
            </w:r>
          </w:p>
          <w:p w:rsidR="00000000" w:rsidP="00D8033A">
            <w:pPr>
              <w:pStyle w:val="BodyText"/>
              <w:rPr>
                <w:lang w:val="en-NZ"/>
              </w:rPr>
            </w:pPr>
            <w:r w:rsidRPr="00D8033A">
              <w:t xml:space="preserve">ability to use relevant data entry and office equipment </w:t>
            </w:r>
          </w:p>
        </w:tc>
      </w:tr>
      <w:tr w:rsidTr="002604E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8033A">
            <w:pPr>
              <w:pStyle w:val="BodyText"/>
              <w:rPr>
                <w:lang w:val="en-NZ"/>
              </w:rPr>
            </w:pPr>
            <w:r w:rsidRPr="00D8033A">
              <w:rPr>
                <w:rStyle w:val="SpecialBold"/>
              </w:rPr>
              <w:t>Critical aspects of evidence</w:t>
            </w:r>
          </w:p>
        </w:tc>
      </w:tr>
      <w:tr w:rsidTr="002604E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8033A">
            <w:pPr>
              <w:pStyle w:val="BodyText"/>
              <w:rPr>
                <w:lang w:val="en-NZ"/>
              </w:rPr>
            </w:pPr>
            <w:r w:rsidRPr="00D8033A">
              <w:rPr>
                <w:rStyle w:val="SpecialBold"/>
              </w:rPr>
              <w:t>Evidence required for d</w:t>
            </w:r>
            <w:r w:rsidRPr="00D8033A">
              <w:rPr>
                <w:rStyle w:val="SpecialBold"/>
              </w:rPr>
              <w:t>emonstration of consistent performance</w:t>
            </w:r>
            <w:r w:rsidRPr="00D8033A">
              <w:t xml:space="preserve">: </w:t>
            </w:r>
          </w:p>
        </w:tc>
        <w:tc>
          <w:tcPr>
            <w:tcW w:w="4500" w:type="dxa"/>
            <w:tcBorders>
              <w:top w:val="nil"/>
              <w:left w:val="nil"/>
              <w:bottom w:val="nil"/>
              <w:right w:val="nil"/>
            </w:tcBorders>
            <w:tcMar>
              <w:top w:w="0" w:type="dxa"/>
              <w:left w:w="62" w:type="dxa"/>
              <w:bottom w:w="0" w:type="dxa"/>
              <w:right w:w="62" w:type="dxa"/>
            </w:tcMar>
          </w:tcPr>
          <w:p w:rsidR="00000000" w:rsidP="00D8033A">
            <w:pPr>
              <w:pStyle w:val="BodyText"/>
              <w:rPr>
                <w:lang w:val="en-NZ"/>
              </w:rPr>
            </w:pPr>
            <w:r w:rsidRPr="00D8033A">
              <w:t>Assessment of performance requirements in the unit should be undertaken in an industry context. Competency is demonstrated by performance of all stated criteria according to the Range Statement applicable to the wor</w:t>
            </w:r>
            <w:r w:rsidRPr="00D8033A">
              <w:t xml:space="preserve">kplace. </w:t>
            </w:r>
          </w:p>
        </w:tc>
      </w:tr>
      <w:tr w:rsidTr="002604E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8033A">
            <w:pPr>
              <w:pStyle w:val="BodyText"/>
              <w:rPr>
                <w:lang w:val="en-NZ"/>
              </w:rPr>
            </w:pPr>
            <w:r w:rsidRPr="00D8033A">
              <w:rPr>
                <w:rStyle w:val="SpecialBold"/>
              </w:rPr>
              <w:t>Delivery</w:t>
            </w:r>
            <w:r w:rsidRPr="00D8033A">
              <w:t>/</w:t>
            </w:r>
            <w:r w:rsidRPr="00D8033A">
              <w:rPr>
                <w:rStyle w:val="SpecialBold"/>
              </w:rPr>
              <w:t>assessment relationship to other units</w:t>
            </w:r>
            <w:r w:rsidRPr="00D8033A">
              <w:t xml:space="preserve">: </w:t>
            </w:r>
          </w:p>
        </w:tc>
        <w:tc>
          <w:tcPr>
            <w:tcW w:w="4500" w:type="dxa"/>
            <w:tcBorders>
              <w:top w:val="nil"/>
              <w:left w:val="nil"/>
              <w:bottom w:val="nil"/>
              <w:right w:val="nil"/>
            </w:tcBorders>
            <w:tcMar>
              <w:top w:w="0" w:type="dxa"/>
              <w:left w:w="62" w:type="dxa"/>
              <w:bottom w:w="0" w:type="dxa"/>
              <w:right w:w="62" w:type="dxa"/>
            </w:tcMar>
          </w:tcPr>
          <w:p w:rsidR="00000000" w:rsidP="00D8033A">
            <w:pPr>
              <w:pStyle w:val="BodyText"/>
              <w:rPr>
                <w:lang w:val="en-NZ"/>
              </w:rPr>
            </w:pPr>
            <w:r w:rsidRPr="00D8033A">
              <w:t xml:space="preserve">This unit may be assessed independently. </w:t>
            </w:r>
          </w:p>
        </w:tc>
      </w:tr>
      <w:tr w:rsidTr="002604E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8033A">
            <w:pPr>
              <w:pStyle w:val="BodyText"/>
              <w:rPr>
                <w:lang w:val="en-NZ"/>
              </w:rPr>
            </w:pPr>
            <w:r w:rsidRPr="00D8033A">
              <w:rPr>
                <w:rStyle w:val="SpecialBold"/>
              </w:rPr>
              <w:t>Assessment requirements</w:t>
            </w:r>
          </w:p>
        </w:tc>
      </w:tr>
      <w:tr w:rsidTr="002604E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8033A">
            <w:pPr>
              <w:pStyle w:val="BodyText"/>
              <w:rPr>
                <w:lang w:val="en-NZ"/>
              </w:rPr>
            </w:pPr>
            <w:r w:rsidRPr="00D8033A">
              <w:rPr>
                <w:rStyle w:val="SpecialBold"/>
              </w:rPr>
              <w:t>Method of assessment</w:t>
            </w:r>
            <w:r w:rsidRPr="00D8033A">
              <w:t xml:space="preserve">: </w:t>
            </w:r>
          </w:p>
        </w:tc>
        <w:tc>
          <w:tcPr>
            <w:tcW w:w="4500" w:type="dxa"/>
            <w:tcBorders>
              <w:top w:val="nil"/>
              <w:left w:val="nil"/>
              <w:bottom w:val="nil"/>
              <w:right w:val="nil"/>
            </w:tcBorders>
            <w:tcMar>
              <w:top w:w="0" w:type="dxa"/>
              <w:left w:w="62" w:type="dxa"/>
              <w:bottom w:w="0" w:type="dxa"/>
              <w:right w:w="62" w:type="dxa"/>
            </w:tcMar>
          </w:tcPr>
          <w:p w:rsidR="00000000" w:rsidRPr="00D8033A" w:rsidP="00D8033A">
            <w:pPr>
              <w:pStyle w:val="BodyText"/>
            </w:pPr>
            <w:r w:rsidRPr="00D8033A">
              <w:t>For valid and reliable assessment of this unit, evidence should be gathered through a range of methods to indicate consistent performance.</w:t>
            </w:r>
          </w:p>
          <w:p w:rsidR="00000000" w:rsidP="00D8033A">
            <w:pPr>
              <w:pStyle w:val="BodyText"/>
              <w:rPr>
                <w:lang w:val="en-NZ"/>
              </w:rPr>
            </w:pPr>
            <w:r w:rsidRPr="00D8033A">
              <w:t>Assessment of this unit of competence will usually include observation of processes and procedures, oral and/or writt</w:t>
            </w:r>
            <w:r w:rsidRPr="00D8033A">
              <w:t xml:space="preserve">en questioning on underpinning knowledge and skills and other methods as required. </w:t>
            </w:r>
          </w:p>
        </w:tc>
      </w:tr>
      <w:tr w:rsidTr="002604E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8033A">
            <w:pPr>
              <w:pStyle w:val="BodyText"/>
              <w:rPr>
                <w:lang w:val="en-NZ"/>
              </w:rPr>
            </w:pPr>
            <w:r w:rsidRPr="00D8033A">
              <w:rPr>
                <w:rStyle w:val="SpecialBold"/>
              </w:rPr>
              <w:t>Context of assessment</w:t>
            </w:r>
            <w:r w:rsidRPr="00D8033A">
              <w:t xml:space="preserve">: </w:t>
            </w:r>
          </w:p>
        </w:tc>
        <w:tc>
          <w:tcPr>
            <w:tcW w:w="4500" w:type="dxa"/>
            <w:tcBorders>
              <w:top w:val="nil"/>
              <w:left w:val="nil"/>
              <w:bottom w:val="nil"/>
              <w:right w:val="nil"/>
            </w:tcBorders>
            <w:tcMar>
              <w:top w:w="0" w:type="dxa"/>
              <w:left w:w="62" w:type="dxa"/>
              <w:bottom w:w="0" w:type="dxa"/>
              <w:right w:w="62" w:type="dxa"/>
            </w:tcMar>
          </w:tcPr>
          <w:p w:rsidR="00000000" w:rsidP="00D8033A">
            <w:pPr>
              <w:pStyle w:val="BodyText"/>
              <w:rPr>
                <w:lang w:val="en-NZ"/>
              </w:rPr>
            </w:pPr>
            <w:r w:rsidRPr="00D8033A">
              <w:t xml:space="preserve">This unit may be assessed in the workplace or in a simulated environment </w:t>
            </w:r>
          </w:p>
        </w:tc>
      </w:tr>
      <w:tr w:rsidTr="002604E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8033A">
            <w:pPr>
              <w:pStyle w:val="BodyText"/>
              <w:rPr>
                <w:lang w:val="en-NZ"/>
              </w:rPr>
            </w:pPr>
            <w:r w:rsidRPr="00D8033A">
              <w:rPr>
                <w:rStyle w:val="SpecialBold"/>
              </w:rPr>
              <w:t>Resources required for assessment</w:t>
            </w:r>
            <w:r w:rsidRPr="00D8033A">
              <w:t xml:space="preserve">: </w:t>
            </w:r>
          </w:p>
        </w:tc>
        <w:tc>
          <w:tcPr>
            <w:tcW w:w="4500" w:type="dxa"/>
            <w:tcBorders>
              <w:top w:val="nil"/>
              <w:left w:val="nil"/>
              <w:bottom w:val="nil"/>
              <w:right w:val="nil"/>
            </w:tcBorders>
            <w:tcMar>
              <w:top w:w="0" w:type="dxa"/>
              <w:left w:w="62" w:type="dxa"/>
              <w:bottom w:w="0" w:type="dxa"/>
              <w:right w:w="62" w:type="dxa"/>
            </w:tcMar>
          </w:tcPr>
          <w:p w:rsidR="00000000" w:rsidRPr="00D8033A" w:rsidP="00D8033A">
            <w:pPr>
              <w:pStyle w:val="BodyText"/>
            </w:pPr>
            <w:r w:rsidRPr="00D8033A">
              <w:t>Assessment of this unit of competenc</w:t>
            </w:r>
            <w:r w:rsidRPr="00D8033A">
              <w:t xml:space="preserve">e requires access to company policies and practices, relevant IT systems and the databases of the financial services company. </w:t>
            </w:r>
          </w:p>
        </w:tc>
      </w:tr>
    </w:tbl>
    <w:p w:rsidR="00000000" w:rsidRPr="00D8033A" w:rsidP="00D8033A">
      <w:pPr>
        <w:pStyle w:val="BodyText"/>
      </w:pPr>
    </w:p>
    <w:p w:rsidR="00000000" w:rsidRPr="00D8033A" w:rsidP="00D8033A">
      <w:pPr>
        <w:pStyle w:val="AllowPageBreak"/>
      </w:pPr>
    </w:p>
    <w:p w:rsidR="00000000" w:rsidRPr="00D8033A" w:rsidP="00D8033A">
      <w:pPr>
        <w:pStyle w:val="Heading1"/>
      </w:pPr>
      <w:bookmarkStart w:id="11" w:name="O_318294"/>
      <w:bookmarkEnd w:id="11"/>
      <w:r w:rsidRPr="00D8033A">
        <w:t>Range Statement</w:t>
      </w:r>
    </w:p>
    <w:tbl>
      <w:tblPr>
        <w:tblW w:w="0" w:type="auto"/>
        <w:tblLayout w:type="fixed"/>
        <w:tblCellMar>
          <w:left w:w="62" w:type="dxa"/>
          <w:right w:w="62" w:type="dxa"/>
        </w:tblCellMar>
        <w:tblLook w:val="0000"/>
      </w:tblPr>
      <w:tblGrid>
        <w:gridCol w:w="4500"/>
        <w:gridCol w:w="4500"/>
      </w:tblGrid>
      <w:tr w:rsidTr="002604E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8033A">
            <w:pPr>
              <w:pStyle w:val="BodyText"/>
              <w:rPr>
                <w:lang w:val="en-NZ"/>
              </w:rPr>
            </w:pPr>
          </w:p>
        </w:tc>
      </w:tr>
      <w:tr w:rsidTr="002604E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8033A" w:rsidP="00D8033A">
            <w:pPr>
              <w:pStyle w:val="BodyText"/>
            </w:pPr>
            <w:r w:rsidRPr="00D8033A">
              <w:t>The range statement relates to the</w:t>
            </w:r>
            <w:r w:rsidRPr="00D8033A">
              <w:t xml:space="preserve"> unit of competency as a whole. It allows for different work environments and situations that will affect performance.</w:t>
            </w:r>
          </w:p>
          <w:p w:rsidR="00000000" w:rsidP="00D8033A">
            <w:pPr>
              <w:pStyle w:val="BodyText"/>
              <w:rPr>
                <w:lang w:val="en-NZ"/>
              </w:rPr>
            </w:pPr>
            <w:r w:rsidRPr="00D8033A">
              <w:t>The following variables may be present with training and assessment depending on the work situation, needs of the candidate, accessibilit</w:t>
            </w:r>
            <w:r w:rsidRPr="00D8033A">
              <w:t xml:space="preserve">y of the item, and local industry and regional contexts. If </w:t>
            </w:r>
            <w:r w:rsidRPr="00D8033A">
              <w:rPr>
                <w:rStyle w:val="SpecialBold"/>
              </w:rPr>
              <w:t>bold italicised</w:t>
            </w:r>
            <w:r w:rsidRPr="00D8033A">
              <w:t xml:space="preserve"> text is shown in Performance Criteria, details of the text are provided in the Range Statement. </w:t>
            </w:r>
          </w:p>
        </w:tc>
      </w:tr>
      <w:tr w:rsidTr="002604E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8033A">
            <w:pPr>
              <w:pStyle w:val="BodyText"/>
              <w:rPr>
                <w:lang w:val="en-NZ"/>
              </w:rPr>
            </w:pPr>
            <w:r w:rsidRPr="00D8033A">
              <w:rPr>
                <w:rStyle w:val="SpecialBold"/>
              </w:rPr>
              <w:t>Expenditure items</w:t>
            </w:r>
            <w:r w:rsidRPr="00D8033A">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D8033A" w:rsidP="00D8033A">
            <w:pPr>
              <w:pStyle w:val="BodyText"/>
            </w:pPr>
            <w:r w:rsidRPr="00D8033A">
              <w:t>assets at cost</w:t>
            </w:r>
          </w:p>
          <w:p w:rsidR="00000000" w:rsidP="00D8033A">
            <w:pPr>
              <w:pStyle w:val="BodyText"/>
              <w:rPr>
                <w:lang w:val="en-NZ"/>
              </w:rPr>
            </w:pPr>
            <w:r w:rsidRPr="00D8033A">
              <w:t>accumulated department's expense i</w:t>
            </w:r>
            <w:r w:rsidRPr="00D8033A">
              <w:t xml:space="preserve">tems </w:t>
            </w:r>
          </w:p>
        </w:tc>
      </w:tr>
      <w:tr w:rsidTr="002604E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8033A">
            <w:pPr>
              <w:pStyle w:val="BodyText"/>
              <w:rPr>
                <w:lang w:val="en-NZ"/>
              </w:rPr>
            </w:pPr>
            <w:r w:rsidRPr="00D8033A">
              <w:rPr>
                <w:rStyle w:val="SpecialBold"/>
              </w:rPr>
              <w:t>Ad hoc reports</w:t>
            </w:r>
            <w:r w:rsidRPr="00D8033A">
              <w:t>/</w:t>
            </w:r>
            <w:r w:rsidRPr="00D8033A">
              <w:rPr>
                <w:rStyle w:val="SpecialBold"/>
              </w:rPr>
              <w:t>spreadsheets</w:t>
            </w:r>
            <w:r w:rsidRPr="00D8033A">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D8033A" w:rsidP="00D8033A">
            <w:pPr>
              <w:pStyle w:val="BodyText"/>
            </w:pPr>
            <w:r w:rsidRPr="00D8033A">
              <w:t xml:space="preserve">those prepared in relation to a range of capital expenditure items such as:   </w:t>
            </w:r>
          </w:p>
          <w:p w:rsidR="00000000" w:rsidRPr="00D8033A" w:rsidP="00D8033A">
            <w:pPr>
              <w:pStyle w:val="BodyText"/>
            </w:pPr>
            <w:r w:rsidRPr="00D8033A">
              <w:t>Fringe Benefits Tax (FBT)</w:t>
            </w:r>
          </w:p>
          <w:p w:rsidR="00000000" w:rsidRPr="00D8033A" w:rsidP="00D8033A">
            <w:pPr>
              <w:pStyle w:val="BodyText"/>
            </w:pPr>
            <w:r w:rsidRPr="00D8033A">
              <w:t>salary sacrifice</w:t>
            </w:r>
          </w:p>
          <w:p w:rsidR="00000000" w:rsidP="00D8033A">
            <w:pPr>
              <w:pStyle w:val="BodyText"/>
              <w:rPr>
                <w:lang w:val="en-NZ"/>
              </w:rPr>
            </w:pPr>
            <w:r w:rsidRPr="00D8033A">
              <w:t xml:space="preserve">total purchases and disposals for a period </w:t>
            </w:r>
          </w:p>
        </w:tc>
      </w:tr>
      <w:tr w:rsidTr="002604E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8033A">
            <w:pPr>
              <w:pStyle w:val="BodyText"/>
              <w:rPr>
                <w:lang w:val="en-NZ"/>
              </w:rPr>
            </w:pPr>
            <w:r w:rsidRPr="00D8033A">
              <w:rPr>
                <w:rStyle w:val="SpecialBold"/>
              </w:rPr>
              <w:t>Organisation's policies</w:t>
            </w:r>
            <w:r w:rsidRPr="00D8033A">
              <w:t xml:space="preserve">, </w:t>
            </w:r>
            <w:r w:rsidRPr="00D8033A">
              <w:rPr>
                <w:rStyle w:val="SpecialBold"/>
              </w:rPr>
              <w:t>procedures and practice</w:t>
            </w:r>
            <w:r w:rsidRPr="00D8033A">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P="00D8033A">
            <w:pPr>
              <w:pStyle w:val="BodyText"/>
              <w:rPr>
                <w:lang w:val="en-NZ"/>
              </w:rPr>
            </w:pPr>
            <w:r w:rsidRPr="00D8033A">
              <w:t xml:space="preserve">established policies, procedures and practices relating to maintenance of capital expenditure items and preparation of reconciliation reports </w:t>
            </w:r>
          </w:p>
        </w:tc>
      </w:tr>
      <w:tr w:rsidTr="002604E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8033A">
            <w:pPr>
              <w:pStyle w:val="BodyText"/>
              <w:rPr>
                <w:lang w:val="en-NZ"/>
              </w:rPr>
            </w:pPr>
            <w:r w:rsidRPr="00D8033A">
              <w:rPr>
                <w:rStyle w:val="SpecialBold"/>
              </w:rPr>
              <w:t>Relevant legislation</w:t>
            </w:r>
            <w:r w:rsidRPr="00D8033A">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D8033A" w:rsidP="00D8033A">
            <w:pPr>
              <w:pStyle w:val="BodyText"/>
            </w:pPr>
            <w:r w:rsidRPr="00D8033A">
              <w:t xml:space="preserve">Consumer   </w:t>
            </w:r>
          </w:p>
          <w:p w:rsidR="00000000" w:rsidRPr="00D8033A" w:rsidP="00D8033A">
            <w:pPr>
              <w:pStyle w:val="BodyText"/>
            </w:pPr>
            <w:r w:rsidRPr="00D8033A">
              <w:t>Consumer Credit Code</w:t>
            </w:r>
          </w:p>
          <w:p w:rsidR="00000000" w:rsidRPr="00D8033A" w:rsidP="00D8033A">
            <w:pPr>
              <w:pStyle w:val="BodyText"/>
            </w:pPr>
            <w:r w:rsidRPr="00D8033A">
              <w:t>Privac</w:t>
            </w:r>
            <w:r w:rsidRPr="00D8033A">
              <w:t>y Act</w:t>
            </w:r>
          </w:p>
          <w:p w:rsidR="00000000" w:rsidRPr="00D8033A" w:rsidP="00D8033A">
            <w:pPr>
              <w:pStyle w:val="BodyText"/>
            </w:pPr>
            <w:r w:rsidRPr="00D8033A">
              <w:t>Secrecy Laws</w:t>
            </w:r>
          </w:p>
          <w:p w:rsidR="00000000" w:rsidP="00D8033A">
            <w:pPr>
              <w:pStyle w:val="BodyText"/>
              <w:rPr>
                <w:lang w:val="en-NZ"/>
              </w:rPr>
            </w:pPr>
            <w:r w:rsidRPr="00D8033A">
              <w:t xml:space="preserve">codes of practice </w:t>
            </w:r>
          </w:p>
        </w:tc>
      </w:tr>
      <w:tr w:rsidTr="002604E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D8033A" w:rsidP="00D8033A">
            <w:pPr>
              <w:pStyle w:val="BodyText"/>
            </w:pPr>
            <w:r w:rsidRPr="00D8033A">
              <w:t xml:space="preserve">Competition   </w:t>
            </w:r>
          </w:p>
          <w:p w:rsidR="00000000" w:rsidRPr="00D8033A" w:rsidP="00D8033A">
            <w:pPr>
              <w:pStyle w:val="BodyText"/>
            </w:pPr>
            <w:r w:rsidRPr="00D8033A">
              <w:t>Australian Competition and Consumer Commission (ACCC)</w:t>
            </w:r>
          </w:p>
          <w:p w:rsidR="00000000" w:rsidRPr="00D8033A" w:rsidP="00D8033A">
            <w:pPr>
              <w:pStyle w:val="BodyText"/>
            </w:pPr>
          </w:p>
          <w:p w:rsidR="00000000" w:rsidRPr="00D8033A" w:rsidP="00D8033A">
            <w:pPr>
              <w:pStyle w:val="BodyText"/>
            </w:pPr>
            <w:r w:rsidRPr="00D8033A">
              <w:t xml:space="preserve">Prudential     </w:t>
            </w:r>
          </w:p>
          <w:p w:rsidR="00000000" w:rsidRPr="00D8033A" w:rsidP="00D8033A">
            <w:pPr>
              <w:pStyle w:val="BodyText"/>
            </w:pPr>
            <w:r w:rsidRPr="00D8033A">
              <w:t>Financial Institutions (FI) Code</w:t>
            </w:r>
          </w:p>
          <w:p w:rsidR="00000000" w:rsidRPr="00D8033A" w:rsidP="00D8033A">
            <w:pPr>
              <w:pStyle w:val="BodyText"/>
            </w:pPr>
            <w:r w:rsidRPr="00D8033A">
              <w:t>Credit Reference Association of Australia (CRAA)</w:t>
            </w:r>
          </w:p>
          <w:p w:rsidR="00000000" w:rsidRPr="00D8033A" w:rsidP="00D8033A">
            <w:pPr>
              <w:pStyle w:val="BodyText"/>
            </w:pPr>
            <w:r w:rsidRPr="00D8033A">
              <w:t>Electronic Funds Transfer (EFT) Code of Conduct</w:t>
            </w:r>
          </w:p>
          <w:p w:rsidR="00000000" w:rsidRPr="00D8033A" w:rsidP="00D8033A">
            <w:pPr>
              <w:pStyle w:val="BodyText"/>
            </w:pPr>
            <w:r w:rsidRPr="00D8033A">
              <w:t>Financial Transaction Reports Act</w:t>
            </w:r>
          </w:p>
          <w:p w:rsidR="00000000" w:rsidRPr="00D8033A" w:rsidP="00D8033A">
            <w:pPr>
              <w:pStyle w:val="BodyText"/>
            </w:pPr>
            <w:r w:rsidRPr="00D8033A">
              <w:t>Cheques and Payment Orders act</w:t>
            </w:r>
          </w:p>
          <w:p w:rsidR="00000000" w:rsidRPr="00D8033A" w:rsidP="00D8033A">
            <w:pPr>
              <w:pStyle w:val="BodyText"/>
            </w:pPr>
            <w:r w:rsidRPr="00D8033A">
              <w:t>Corporate Law</w:t>
            </w:r>
          </w:p>
          <w:p w:rsidR="00000000" w:rsidRPr="00D8033A" w:rsidP="00D8033A">
            <w:pPr>
              <w:pStyle w:val="BodyText"/>
            </w:pPr>
            <w:r w:rsidRPr="00D8033A">
              <w:t>Commercial Tenancies Act</w:t>
            </w:r>
          </w:p>
          <w:p w:rsidR="00000000" w:rsidRPr="00D8033A" w:rsidP="00D8033A">
            <w:pPr>
              <w:pStyle w:val="BodyText"/>
            </w:pPr>
            <w:r w:rsidRPr="00D8033A">
              <w:t>Land Tax Assessment Act</w:t>
            </w:r>
          </w:p>
          <w:p w:rsidR="00000000" w:rsidRPr="00D8033A" w:rsidP="00D8033A">
            <w:pPr>
              <w:pStyle w:val="BodyText"/>
            </w:pPr>
            <w:r w:rsidRPr="00D8033A">
              <w:t>Prescribed Payments Act</w:t>
            </w:r>
          </w:p>
          <w:p w:rsidR="00000000" w:rsidRPr="00D8033A" w:rsidP="00D8033A">
            <w:pPr>
              <w:pStyle w:val="BodyText"/>
            </w:pPr>
            <w:r w:rsidRPr="00D8033A">
              <w:t>Payroll Tax Assessment Act</w:t>
            </w:r>
          </w:p>
          <w:p w:rsidR="00000000" w:rsidRPr="00D8033A" w:rsidP="00D8033A">
            <w:pPr>
              <w:pStyle w:val="BodyText"/>
            </w:pPr>
            <w:r w:rsidRPr="00D8033A">
              <w:t>Stamp Duties Act</w:t>
            </w:r>
          </w:p>
          <w:p w:rsidR="00000000" w:rsidRPr="00D8033A" w:rsidP="00D8033A">
            <w:pPr>
              <w:pStyle w:val="BodyText"/>
            </w:pPr>
            <w:r w:rsidRPr="00D8033A">
              <w:t>Taxation Assessment Act</w:t>
            </w:r>
          </w:p>
          <w:p w:rsidR="00000000" w:rsidRPr="00D8033A" w:rsidP="00D8033A">
            <w:pPr>
              <w:pStyle w:val="BodyText"/>
            </w:pPr>
            <w:r w:rsidRPr="00D8033A">
              <w:t xml:space="preserve">Bills of Exchange Act </w:t>
            </w:r>
          </w:p>
        </w:tc>
      </w:tr>
    </w:tbl>
    <w:p w:rsidR="00000000" w:rsidRPr="00D8033A" w:rsidP="00D8033A">
      <w:pPr>
        <w:pStyle w:val="BodyText"/>
      </w:pPr>
    </w:p>
    <w:p w:rsidR="00000000" w:rsidRPr="00D8033A" w:rsidP="00D8033A">
      <w:pPr>
        <w:pStyle w:val="AllowPageBreak"/>
      </w:pPr>
    </w:p>
    <w:p w:rsidR="00000000" w:rsidRPr="00D8033A" w:rsidP="00D8033A">
      <w:pPr>
        <w:pStyle w:val="Heading1"/>
      </w:pPr>
      <w:bookmarkStart w:id="12" w:name="O_318303"/>
      <w:bookmarkEnd w:id="12"/>
      <w:r w:rsidRPr="00D8033A">
        <w:t>Unit Sector(s)</w:t>
      </w:r>
    </w:p>
    <w:p w:rsidR="00000000" w:rsidRPr="00D8033A" w:rsidP="00D8033A">
      <w:pPr>
        <w:pStyle w:val="BodyText"/>
      </w:pPr>
      <w:r w:rsidRPr="00D8033A">
        <w:t>Not applicable.</w:t>
      </w:r>
    </w:p>
    <w:p w:rsidR="00000000" w:rsidRPr="00D8033A" w:rsidP="00D8033A">
      <w:pPr>
        <w:pStyle w:val="AllowPageBreak"/>
      </w:pPr>
    </w:p>
    <w:p w:rsidR="00000000" w:rsidRPr="00D8033A" w:rsidP="00D8033A">
      <w:pPr>
        <w:pStyle w:val="Heading1"/>
      </w:pPr>
      <w:bookmarkStart w:id="13" w:name="O_318304"/>
      <w:bookmarkEnd w:id="13"/>
      <w:r w:rsidRPr="00D8033A">
        <w:t>Relationship to other units</w:t>
      </w:r>
    </w:p>
    <w:p w:rsidR="00000000" w:rsidRPr="00D8033A" w:rsidP="00D8033A">
      <w:pPr>
        <w:pStyle w:val="BodyText"/>
      </w:pPr>
      <w:r w:rsidRPr="00D8033A">
        <w:t>This unit replaces FNSICORG301A.</w:t>
      </w:r>
    </w:p>
    <w:p w:rsidR="00000000" w:rsidRPr="00D8033A" w:rsidP="00D8033A">
      <w:pPr>
        <w:pStyle w:val="BodyText"/>
      </w:pPr>
      <w:r w:rsidRPr="00D8033A">
        <w:t>This unit replaces FNSICORG301A.</w:t>
      </w:r>
    </w:p>
    <w:p w:rsidR="00000000" w:rsidRPr="00D8033A" w:rsidP="00D8033A"/>
    <w:sectPr w:rsidSect="00D803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3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04E0" w:rsidP="002604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3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4E0" w:rsidP="00D803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604E0" w:rsidP="00D803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604E0" w:rsidP="00D803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3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04E0" w:rsidP="002604E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3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4E0" w:rsidP="00D8033A">
    <w:pPr>
      <w:pStyle w:val="Header"/>
      <w:framePr w:wrap="around"/>
    </w:pPr>
    <w:r>
      <w:fldChar w:fldCharType="begin"/>
    </w:r>
    <w:r>
      <w:instrText xml:space="preserve"> TITLE   \* MERGEFORMAT </w:instrText>
    </w:r>
    <w:r>
      <w:fldChar w:fldCharType="separate"/>
    </w:r>
    <w:r>
      <w:t>FNSICORG301B Administer fixed asset register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604E0" w:rsidP="00D8033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033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8033A"/>
    <w:pPr>
      <w:spacing w:before="360" w:after="60"/>
      <w:outlineLvl w:val="0"/>
    </w:pPr>
    <w:rPr>
      <w:sz w:val="32"/>
    </w:rPr>
  </w:style>
  <w:style w:type="paragraph" w:styleId="Heading2">
    <w:name w:val="heading 2"/>
    <w:basedOn w:val="HeadingBase"/>
    <w:next w:val="BodyText"/>
    <w:link w:val="Heading2Char"/>
    <w:qFormat/>
    <w:rsid w:val="00D8033A"/>
    <w:pPr>
      <w:keepLines/>
      <w:spacing w:before="240" w:after="120"/>
      <w:outlineLvl w:val="1"/>
    </w:pPr>
    <w:rPr>
      <w:sz w:val="28"/>
      <w:szCs w:val="40"/>
    </w:rPr>
  </w:style>
  <w:style w:type="paragraph" w:styleId="Heading3">
    <w:name w:val="heading 3"/>
    <w:basedOn w:val="HeadingBase"/>
    <w:next w:val="BodyText"/>
    <w:link w:val="Heading3Char"/>
    <w:qFormat/>
    <w:rsid w:val="00D8033A"/>
    <w:pPr>
      <w:spacing w:before="180" w:after="120"/>
      <w:outlineLvl w:val="2"/>
    </w:pPr>
    <w:rPr>
      <w:spacing w:val="-10"/>
      <w:kern w:val="32"/>
    </w:rPr>
  </w:style>
  <w:style w:type="paragraph" w:styleId="Heading4">
    <w:name w:val="heading 4"/>
    <w:basedOn w:val="HeadingBase"/>
    <w:next w:val="BodyText"/>
    <w:link w:val="Heading4Char"/>
    <w:qFormat/>
    <w:rsid w:val="00D8033A"/>
    <w:pPr>
      <w:spacing w:before="160" w:after="120"/>
      <w:outlineLvl w:val="3"/>
    </w:pPr>
    <w:rPr>
      <w:sz w:val="22"/>
    </w:rPr>
  </w:style>
  <w:style w:type="paragraph" w:styleId="Heading5">
    <w:name w:val="heading 5"/>
    <w:basedOn w:val="HeadingBase"/>
    <w:next w:val="Normal"/>
    <w:link w:val="Heading5Char"/>
    <w:qFormat/>
    <w:rsid w:val="00D8033A"/>
    <w:pPr>
      <w:spacing w:before="80"/>
      <w:outlineLvl w:val="4"/>
    </w:pPr>
    <w:rPr>
      <w:color w:val="918585"/>
      <w:sz w:val="20"/>
    </w:rPr>
  </w:style>
  <w:style w:type="paragraph" w:styleId="Heading6">
    <w:name w:val="heading 6"/>
    <w:basedOn w:val="HeadingBase"/>
    <w:next w:val="Normal"/>
    <w:link w:val="Heading6Char"/>
    <w:qFormat/>
    <w:rsid w:val="00D8033A"/>
    <w:pPr>
      <w:spacing w:before="60"/>
      <w:outlineLvl w:val="5"/>
    </w:pPr>
    <w:rPr>
      <w:color w:val="918585"/>
      <w:sz w:val="20"/>
    </w:rPr>
  </w:style>
  <w:style w:type="paragraph" w:styleId="Heading7">
    <w:name w:val="heading 7"/>
    <w:basedOn w:val="Normal"/>
    <w:next w:val="Normal"/>
    <w:link w:val="Heading7Char"/>
    <w:qFormat/>
    <w:rsid w:val="00D8033A"/>
    <w:pPr>
      <w:ind w:left="720"/>
      <w:outlineLvl w:val="6"/>
    </w:pPr>
    <w:rPr>
      <w:i/>
    </w:rPr>
  </w:style>
  <w:style w:type="paragraph" w:styleId="Heading8">
    <w:name w:val="heading 8"/>
    <w:basedOn w:val="Normal"/>
    <w:next w:val="Normal"/>
    <w:link w:val="Heading8Char"/>
    <w:qFormat/>
    <w:rsid w:val="00D8033A"/>
    <w:pPr>
      <w:ind w:left="720"/>
      <w:outlineLvl w:val="7"/>
    </w:pPr>
    <w:rPr>
      <w:i/>
    </w:rPr>
  </w:style>
  <w:style w:type="paragraph" w:styleId="Heading9">
    <w:name w:val="heading 9"/>
    <w:basedOn w:val="Normal"/>
    <w:next w:val="Normal"/>
    <w:link w:val="Heading9Char"/>
    <w:qFormat/>
    <w:rsid w:val="00D8033A"/>
    <w:pPr>
      <w:ind w:left="720"/>
      <w:outlineLvl w:val="8"/>
    </w:pPr>
    <w:rPr>
      <w:i/>
    </w:rPr>
  </w:style>
  <w:style w:type="character" w:default="1" w:styleId="DefaultParagraphFont">
    <w:name w:val="Default Paragraph Font"/>
    <w:uiPriority w:val="1"/>
    <w:unhideWhenUsed/>
    <w:rsid w:val="00D803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033A"/>
  </w:style>
  <w:style w:type="character" w:customStyle="1" w:styleId="Heading1Char">
    <w:name w:val="Heading 1 Char"/>
    <w:link w:val="Heading1"/>
    <w:rsid w:val="00D8033A"/>
    <w:rPr>
      <w:rFonts w:ascii="Times New Roman" w:eastAsia="Times New Roman" w:hAnsi="Times New Roman" w:cs="Times New Roman"/>
      <w:b/>
      <w:sz w:val="32"/>
      <w:szCs w:val="20"/>
      <w:lang w:eastAsia="en-US"/>
    </w:rPr>
  </w:style>
  <w:style w:type="paragraph" w:styleId="BodyText">
    <w:name w:val="Body Text"/>
    <w:basedOn w:val="Normal"/>
    <w:link w:val="BodyTextChar"/>
    <w:rsid w:val="00D8033A"/>
    <w:pPr>
      <w:spacing w:before="120" w:after="120"/>
      <w:contextualSpacing/>
    </w:pPr>
    <w:rPr>
      <w:rFonts w:ascii="Times New Roman" w:hAnsi="Times New Roman"/>
      <w:sz w:val="24"/>
      <w:szCs w:val="22"/>
    </w:rPr>
  </w:style>
  <w:style w:type="character" w:customStyle="1" w:styleId="BodyTextChar">
    <w:name w:val="Body Text Char"/>
    <w:link w:val="BodyText"/>
    <w:rsid w:val="00D8033A"/>
    <w:rPr>
      <w:rFonts w:ascii="Times New Roman" w:eastAsia="Times New Roman" w:hAnsi="Times New Roman" w:cs="Times New Roman"/>
      <w:sz w:val="24"/>
      <w:lang w:val="en-US" w:eastAsia="en-US"/>
    </w:rPr>
  </w:style>
  <w:style w:type="paragraph" w:styleId="Footer">
    <w:name w:val="footer"/>
    <w:basedOn w:val="Normal"/>
    <w:link w:val="FooterChar"/>
    <w:rsid w:val="00D803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8033A"/>
    <w:rPr>
      <w:rFonts w:ascii="Times New Roman" w:eastAsia="Times New Roman" w:hAnsi="Times New Roman" w:cs="Times New Roman"/>
      <w:sz w:val="16"/>
      <w:lang w:val="en-US" w:eastAsia="en-US"/>
    </w:rPr>
  </w:style>
  <w:style w:type="character" w:customStyle="1" w:styleId="SpecialBold">
    <w:name w:val="Special Bold"/>
    <w:rsid w:val="00D8033A"/>
    <w:rPr>
      <w:b/>
      <w:spacing w:val="0"/>
    </w:rPr>
  </w:style>
  <w:style w:type="paragraph" w:styleId="Header">
    <w:name w:val="header"/>
    <w:basedOn w:val="Normal"/>
    <w:link w:val="HeaderChar"/>
    <w:rsid w:val="00D803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8033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8033A"/>
    <w:pPr>
      <w:spacing w:before="240" w:after="120"/>
      <w:outlineLvl w:val="0"/>
    </w:pPr>
    <w:rPr>
      <w:rFonts w:ascii="Times New Roman" w:hAnsi="Times New Roman"/>
      <w:b/>
      <w:sz w:val="28"/>
    </w:rPr>
  </w:style>
  <w:style w:type="paragraph" w:customStyle="1" w:styleId="AllowPageBreak">
    <w:name w:val="AllowPageBreak"/>
    <w:rsid w:val="00D803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D8033A"/>
    <w:rPr>
      <w:rFonts w:ascii="Times New Roman" w:eastAsia="Times New Roman" w:hAnsi="Times New Roman" w:cs="Times New Roman"/>
      <w:b/>
      <w:sz w:val="28"/>
      <w:szCs w:val="40"/>
      <w:lang w:eastAsia="en-US"/>
    </w:rPr>
  </w:style>
  <w:style w:type="character" w:customStyle="1" w:styleId="Heading3Char">
    <w:name w:val="Heading 3 Char"/>
    <w:link w:val="Heading3"/>
    <w:rsid w:val="00D8033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8033A"/>
    <w:rPr>
      <w:rFonts w:ascii="Times New Roman" w:eastAsia="Times New Roman" w:hAnsi="Times New Roman" w:cs="Times New Roman"/>
      <w:b/>
      <w:szCs w:val="20"/>
      <w:lang w:eastAsia="en-US"/>
    </w:rPr>
  </w:style>
  <w:style w:type="character" w:customStyle="1" w:styleId="Heading5Char">
    <w:name w:val="Heading 5 Char"/>
    <w:link w:val="Heading5"/>
    <w:rsid w:val="00D8033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803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033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8033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8033A"/>
    <w:rPr>
      <w:rFonts w:ascii="Courier New" w:eastAsia="Times New Roman" w:hAnsi="Courier New" w:cs="Times New Roman"/>
      <w:i/>
      <w:szCs w:val="20"/>
      <w:lang w:val="en-US" w:eastAsia="en-US"/>
    </w:rPr>
  </w:style>
  <w:style w:type="paragraph" w:customStyle="1" w:styleId="HeadingBase">
    <w:name w:val="Heading Base"/>
    <w:rsid w:val="00D803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033A"/>
    <w:pPr>
      <w:tabs>
        <w:tab w:val="right" w:leader="dot" w:pos="9072"/>
      </w:tabs>
      <w:ind w:left="567"/>
    </w:pPr>
    <w:rPr>
      <w:szCs w:val="22"/>
    </w:rPr>
  </w:style>
  <w:style w:type="paragraph" w:customStyle="1" w:styleId="TOCBase">
    <w:name w:val="TOC Base"/>
    <w:rsid w:val="00D803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033A"/>
    <w:pPr>
      <w:tabs>
        <w:tab w:val="right" w:leader="dot" w:pos="9072"/>
      </w:tabs>
      <w:spacing w:before="40" w:after="40"/>
      <w:ind w:left="284"/>
    </w:pPr>
    <w:rPr>
      <w:rFonts w:ascii="Times New Roman" w:hAnsi="Times New Roman"/>
    </w:rPr>
  </w:style>
  <w:style w:type="paragraph" w:styleId="TOC1">
    <w:name w:val="toc 1"/>
    <w:basedOn w:val="TOCBase"/>
    <w:next w:val="Normal"/>
    <w:rsid w:val="00D803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8033A"/>
    <w:pPr>
      <w:spacing w:before="5040"/>
      <w:jc w:val="center"/>
    </w:pPr>
    <w:rPr>
      <w:sz w:val="48"/>
      <w:szCs w:val="72"/>
      <w:lang w:val="en-US"/>
    </w:rPr>
  </w:style>
  <w:style w:type="character" w:customStyle="1" w:styleId="TitleChar">
    <w:name w:val="Title Char"/>
    <w:link w:val="Title"/>
    <w:rsid w:val="00D803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033A"/>
    <w:pPr>
      <w:tabs>
        <w:tab w:val="left" w:pos="3600"/>
        <w:tab w:val="left" w:pos="3958"/>
      </w:tabs>
    </w:pPr>
  </w:style>
  <w:style w:type="paragraph" w:styleId="List">
    <w:name w:val="List"/>
    <w:basedOn w:val="BodyText"/>
    <w:next w:val="BodyText"/>
    <w:rsid w:val="00D8033A"/>
    <w:pPr>
      <w:tabs>
        <w:tab w:val="left" w:pos="340"/>
      </w:tabs>
      <w:spacing w:before="60" w:after="60"/>
      <w:ind w:left="340" w:hanging="340"/>
    </w:pPr>
  </w:style>
  <w:style w:type="paragraph" w:styleId="ListBullet">
    <w:name w:val="List Bullet"/>
    <w:basedOn w:val="List"/>
    <w:rsid w:val="00D8033A"/>
    <w:pPr>
      <w:numPr>
        <w:numId w:val="11"/>
      </w:numPr>
      <w:tabs>
        <w:tab w:val="clear" w:pos="340"/>
      </w:tabs>
      <w:spacing w:before="40" w:after="40"/>
    </w:pPr>
  </w:style>
  <w:style w:type="paragraph" w:customStyle="1" w:styleId="Note">
    <w:name w:val="Note"/>
    <w:basedOn w:val="BodyText"/>
    <w:rsid w:val="00D803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033A"/>
    <w:pPr>
      <w:framePr w:wrap="auto" w:hAnchor="text" w:y="6049"/>
    </w:pPr>
    <w:rPr>
      <w:color w:val="000000"/>
      <w:sz w:val="40"/>
    </w:rPr>
  </w:style>
  <w:style w:type="paragraph" w:customStyle="1" w:styleId="TOCTitle">
    <w:name w:val="TOCTitle"/>
    <w:basedOn w:val="Heading1"/>
    <w:rsid w:val="00D8033A"/>
    <w:pPr>
      <w:spacing w:after="240"/>
      <w:jc w:val="center"/>
      <w:outlineLvl w:val="9"/>
    </w:pPr>
    <w:rPr>
      <w:caps/>
    </w:rPr>
  </w:style>
  <w:style w:type="paragraph" w:customStyle="1" w:styleId="Version">
    <w:name w:val="Version"/>
    <w:rsid w:val="00D803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033A"/>
    <w:pPr>
      <w:numPr>
        <w:numId w:val="12"/>
      </w:numPr>
      <w:tabs>
        <w:tab w:val="clear" w:pos="680"/>
      </w:tabs>
    </w:pPr>
  </w:style>
  <w:style w:type="paragraph" w:styleId="Index1">
    <w:name w:val="index 1"/>
    <w:basedOn w:val="Normal"/>
    <w:next w:val="Normal"/>
    <w:semiHidden/>
    <w:rsid w:val="00D8033A"/>
    <w:pPr>
      <w:keepNext w:val="0"/>
      <w:tabs>
        <w:tab w:val="right" w:pos="4176"/>
      </w:tabs>
      <w:ind w:left="198" w:hanging="198"/>
    </w:pPr>
    <w:rPr>
      <w:rFonts w:ascii="Garamond" w:hAnsi="Garamond"/>
    </w:rPr>
  </w:style>
  <w:style w:type="paragraph" w:styleId="IndexHeading">
    <w:name w:val="index heading"/>
    <w:basedOn w:val="Normal"/>
    <w:next w:val="Index1"/>
    <w:semiHidden/>
    <w:rsid w:val="00D8033A"/>
    <w:pPr>
      <w:spacing w:before="120" w:after="120"/>
    </w:pPr>
    <w:rPr>
      <w:rFonts w:ascii="Arial" w:hAnsi="Arial"/>
      <w:b/>
      <w:color w:val="918585"/>
      <w:sz w:val="24"/>
    </w:rPr>
  </w:style>
  <w:style w:type="paragraph" w:customStyle="1" w:styleId="Chapter">
    <w:name w:val="Chapter"/>
    <w:basedOn w:val="Normal"/>
    <w:rsid w:val="00D8033A"/>
    <w:pPr>
      <w:spacing w:before="240"/>
    </w:pPr>
    <w:rPr>
      <w:rFonts w:ascii="Times New Roman" w:hAnsi="Times New Roman"/>
      <w:smallCaps/>
      <w:spacing w:val="80"/>
      <w:sz w:val="28"/>
    </w:rPr>
  </w:style>
  <w:style w:type="paragraph" w:customStyle="1" w:styleId="InChapter">
    <w:name w:val="InChapter"/>
    <w:basedOn w:val="Heading3"/>
    <w:rsid w:val="00D8033A"/>
    <w:pPr>
      <w:spacing w:after="240"/>
      <w:outlineLvl w:val="9"/>
    </w:pPr>
    <w:rPr>
      <w:noProof/>
    </w:rPr>
  </w:style>
  <w:style w:type="paragraph" w:styleId="Index2">
    <w:name w:val="index 2"/>
    <w:basedOn w:val="Normal"/>
    <w:next w:val="Normal"/>
    <w:semiHidden/>
    <w:rsid w:val="00D8033A"/>
    <w:pPr>
      <w:tabs>
        <w:tab w:val="right" w:pos="4176"/>
      </w:tabs>
      <w:ind w:left="568" w:hanging="284"/>
    </w:pPr>
    <w:rPr>
      <w:rFonts w:ascii="Garamond" w:hAnsi="Garamond"/>
    </w:rPr>
  </w:style>
  <w:style w:type="paragraph" w:customStyle="1" w:styleId="Byline">
    <w:name w:val="Byline"/>
    <w:rsid w:val="00D803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033A"/>
    <w:pPr>
      <w:tabs>
        <w:tab w:val="clear" w:pos="3600"/>
        <w:tab w:val="clear" w:pos="3958"/>
      </w:tabs>
      <w:jc w:val="right"/>
    </w:pPr>
  </w:style>
  <w:style w:type="character" w:styleId="Emphasis">
    <w:name w:val="Emphasis"/>
    <w:qFormat/>
    <w:rsid w:val="00D8033A"/>
    <w:rPr>
      <w:i/>
    </w:rPr>
  </w:style>
  <w:style w:type="paragraph" w:styleId="Caption">
    <w:name w:val="caption"/>
    <w:basedOn w:val="BodyText"/>
    <w:next w:val="Normal"/>
    <w:qFormat/>
    <w:rsid w:val="00D8033A"/>
    <w:pPr>
      <w:framePr w:w="2268" w:hSpace="181" w:vSpace="181" w:wrap="around" w:vAnchor="text" w:hAnchor="page" w:x="1135" w:y="285" w:anchorLock="1"/>
    </w:pPr>
    <w:rPr>
      <w:i/>
    </w:rPr>
  </w:style>
  <w:style w:type="paragraph" w:customStyle="1" w:styleId="MiniTOCTitle">
    <w:name w:val="MiniTOCTitle"/>
    <w:basedOn w:val="Heading4"/>
    <w:rsid w:val="00D8033A"/>
    <w:pPr>
      <w:spacing w:before="240"/>
      <w:outlineLvl w:val="9"/>
    </w:pPr>
    <w:rPr>
      <w:noProof/>
      <w:sz w:val="24"/>
    </w:rPr>
  </w:style>
  <w:style w:type="paragraph" w:customStyle="1" w:styleId="MiniTOCItem">
    <w:name w:val="MiniTOCItem"/>
    <w:basedOn w:val="ListBullet"/>
    <w:rsid w:val="00D8033A"/>
    <w:pPr>
      <w:numPr>
        <w:numId w:val="0"/>
      </w:numPr>
      <w:tabs>
        <w:tab w:val="right" w:leader="dot" w:pos="6521"/>
      </w:tabs>
      <w:spacing w:before="0" w:after="0"/>
    </w:pPr>
  </w:style>
  <w:style w:type="paragraph" w:customStyle="1" w:styleId="TOFTitle">
    <w:name w:val="TOFTitle"/>
    <w:basedOn w:val="TOCTitle"/>
    <w:rsid w:val="00D8033A"/>
  </w:style>
  <w:style w:type="paragraph" w:styleId="TableofFigures">
    <w:name w:val="table of figures"/>
    <w:basedOn w:val="Normal"/>
    <w:next w:val="Normal"/>
    <w:semiHidden/>
    <w:rsid w:val="00D8033A"/>
    <w:pPr>
      <w:tabs>
        <w:tab w:val="right" w:leader="dot" w:pos="9072"/>
      </w:tabs>
      <w:ind w:left="970" w:hanging="403"/>
    </w:pPr>
    <w:rPr>
      <w:rFonts w:ascii="Times New Roman" w:hAnsi="Times New Roman"/>
      <w:b/>
    </w:rPr>
  </w:style>
  <w:style w:type="paragraph" w:styleId="ListNumber">
    <w:name w:val="List Number"/>
    <w:basedOn w:val="List"/>
    <w:rsid w:val="00D8033A"/>
    <w:pPr>
      <w:numPr>
        <w:numId w:val="9"/>
      </w:numPr>
    </w:pPr>
  </w:style>
  <w:style w:type="character" w:customStyle="1" w:styleId="WingdingSymbols">
    <w:name w:val="Wingding Symbols"/>
    <w:rsid w:val="00D8033A"/>
    <w:rPr>
      <w:rFonts w:ascii="Wingdings" w:hAnsi="Wingdings"/>
    </w:rPr>
  </w:style>
  <w:style w:type="paragraph" w:customStyle="1" w:styleId="TableHeading">
    <w:name w:val="Table Heading"/>
    <w:basedOn w:val="HeadingBase"/>
    <w:rsid w:val="00D8033A"/>
    <w:pPr>
      <w:keepLines/>
      <w:pBdr>
        <w:bottom w:val="single" w:sz="6" w:space="1" w:color="918585"/>
      </w:pBdr>
      <w:spacing w:before="240"/>
    </w:pPr>
  </w:style>
  <w:style w:type="character" w:customStyle="1" w:styleId="HotSpot">
    <w:name w:val="HotSpot"/>
    <w:rsid w:val="00D8033A"/>
    <w:rPr>
      <w:color w:val="0033CC"/>
      <w:u w:val="none"/>
    </w:rPr>
  </w:style>
  <w:style w:type="paragraph" w:customStyle="1" w:styleId="BodyTextRight">
    <w:name w:val="Body Text Right"/>
    <w:basedOn w:val="BodyText"/>
    <w:rsid w:val="00D8033A"/>
    <w:pPr>
      <w:spacing w:before="0" w:after="0"/>
      <w:jc w:val="right"/>
    </w:pPr>
  </w:style>
  <w:style w:type="paragraph" w:styleId="Index3">
    <w:name w:val="index 3"/>
    <w:basedOn w:val="ListNumber2"/>
    <w:next w:val="Normal"/>
    <w:semiHidden/>
    <w:rsid w:val="00D8033A"/>
    <w:pPr>
      <w:numPr>
        <w:numId w:val="0"/>
      </w:numPr>
      <w:tabs>
        <w:tab w:val="right" w:leader="dot" w:pos="4176"/>
      </w:tabs>
    </w:pPr>
  </w:style>
  <w:style w:type="paragraph" w:styleId="ListNumber2">
    <w:name w:val="List Number 2"/>
    <w:basedOn w:val="List2"/>
    <w:rsid w:val="00D8033A"/>
    <w:pPr>
      <w:numPr>
        <w:numId w:val="8"/>
      </w:numPr>
      <w:tabs>
        <w:tab w:val="clear" w:pos="1060"/>
      </w:tabs>
    </w:pPr>
  </w:style>
  <w:style w:type="paragraph" w:customStyle="1" w:styleId="MarginNote">
    <w:name w:val="Margin Note"/>
    <w:basedOn w:val="BodyText"/>
    <w:rsid w:val="00D803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03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8033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8033A"/>
    <w:rPr>
      <w:sz w:val="32"/>
    </w:rPr>
  </w:style>
  <w:style w:type="paragraph" w:customStyle="1" w:styleId="HeadingProcedure">
    <w:name w:val="Heading Procedure"/>
    <w:basedOn w:val="HeadingBase"/>
    <w:next w:val="Normal"/>
    <w:rsid w:val="00D8033A"/>
    <w:pPr>
      <w:tabs>
        <w:tab w:val="left" w:pos="0"/>
      </w:tabs>
      <w:spacing w:before="120" w:after="60"/>
    </w:pPr>
    <w:rPr>
      <w:i/>
      <w:color w:val="918585"/>
      <w:sz w:val="22"/>
    </w:rPr>
  </w:style>
  <w:style w:type="paragraph" w:customStyle="1" w:styleId="TableBodyText">
    <w:name w:val="Table Body Text"/>
    <w:basedOn w:val="BodyText"/>
    <w:rsid w:val="00D8033A"/>
    <w:pPr>
      <w:spacing w:before="60" w:after="60"/>
    </w:pPr>
  </w:style>
  <w:style w:type="paragraph" w:styleId="ListContinue">
    <w:name w:val="List Continue"/>
    <w:basedOn w:val="List"/>
    <w:rsid w:val="00D8033A"/>
    <w:pPr>
      <w:ind w:firstLine="0"/>
    </w:pPr>
  </w:style>
  <w:style w:type="paragraph" w:customStyle="1" w:styleId="ListNote">
    <w:name w:val="List Note"/>
    <w:basedOn w:val="List"/>
    <w:rsid w:val="00D8033A"/>
    <w:pPr>
      <w:pBdr>
        <w:top w:val="single" w:sz="6" w:space="2" w:color="918585"/>
        <w:bottom w:val="single" w:sz="6" w:space="2" w:color="918585"/>
      </w:pBdr>
      <w:tabs>
        <w:tab w:val="left" w:pos="1021"/>
      </w:tabs>
      <w:ind w:firstLine="0"/>
    </w:pPr>
  </w:style>
  <w:style w:type="paragraph" w:customStyle="1" w:styleId="Warning">
    <w:name w:val="Warning"/>
    <w:basedOn w:val="BodyText"/>
    <w:rsid w:val="00D8033A"/>
    <w:pPr>
      <w:shd w:val="clear" w:color="auto" w:fill="D9D9D9"/>
      <w:tabs>
        <w:tab w:val="left" w:pos="992"/>
      </w:tabs>
      <w:ind w:left="119" w:right="119"/>
    </w:pPr>
    <w:rPr>
      <w:sz w:val="20"/>
    </w:rPr>
  </w:style>
  <w:style w:type="paragraph" w:customStyle="1" w:styleId="MarginIcons">
    <w:name w:val="Margin Icons"/>
    <w:basedOn w:val="BodyText"/>
    <w:rsid w:val="00D8033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8033A"/>
    <w:rPr>
      <w:rFonts w:ascii="Courier New" w:hAnsi="Courier New"/>
    </w:rPr>
  </w:style>
  <w:style w:type="paragraph" w:customStyle="1" w:styleId="NoteBullet">
    <w:name w:val="Note Bullet"/>
    <w:basedOn w:val="Note"/>
    <w:rsid w:val="00D8033A"/>
    <w:pPr>
      <w:tabs>
        <w:tab w:val="clear" w:pos="680"/>
      </w:tabs>
      <w:spacing w:before="60" w:after="60"/>
    </w:pPr>
  </w:style>
  <w:style w:type="paragraph" w:customStyle="1" w:styleId="SubHeading2">
    <w:name w:val="SubHeading2"/>
    <w:basedOn w:val="HeadingBase"/>
    <w:rsid w:val="00D8033A"/>
    <w:pPr>
      <w:spacing w:before="240" w:after="60"/>
    </w:pPr>
    <w:rPr>
      <w:sz w:val="20"/>
    </w:rPr>
  </w:style>
  <w:style w:type="paragraph" w:customStyle="1" w:styleId="SubHeading1">
    <w:name w:val="SubHeading1"/>
    <w:basedOn w:val="HeadingBase"/>
    <w:rsid w:val="00D8033A"/>
    <w:pPr>
      <w:spacing w:before="240" w:after="60"/>
    </w:pPr>
    <w:rPr>
      <w:color w:val="918585"/>
      <w:sz w:val="22"/>
    </w:rPr>
  </w:style>
  <w:style w:type="paragraph" w:customStyle="1" w:styleId="SideHeading">
    <w:name w:val="Side Heading"/>
    <w:basedOn w:val="HeadingBase"/>
    <w:rsid w:val="00D803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033A"/>
    <w:pPr>
      <w:numPr>
        <w:numId w:val="10"/>
      </w:numPr>
    </w:pPr>
  </w:style>
  <w:style w:type="paragraph" w:styleId="PlainText">
    <w:name w:val="Plain Text"/>
    <w:basedOn w:val="Normal"/>
    <w:link w:val="PlainTextChar"/>
    <w:rsid w:val="00D8033A"/>
    <w:rPr>
      <w:sz w:val="20"/>
    </w:rPr>
  </w:style>
  <w:style w:type="character" w:customStyle="1" w:styleId="PlainTextChar">
    <w:name w:val="Plain Text Char"/>
    <w:basedOn w:val="DefaultParagraphFont"/>
    <w:link w:val="PlainText"/>
    <w:rsid w:val="00D8033A"/>
    <w:rPr>
      <w:rFonts w:ascii="Courier New" w:eastAsia="Times New Roman" w:hAnsi="Courier New" w:cs="Times New Roman"/>
      <w:sz w:val="20"/>
      <w:szCs w:val="20"/>
      <w:lang w:val="en-US" w:eastAsia="en-US"/>
    </w:rPr>
  </w:style>
  <w:style w:type="character" w:customStyle="1" w:styleId="MenuOption">
    <w:name w:val="Menu Option"/>
    <w:rsid w:val="00D8033A"/>
    <w:rPr>
      <w:b/>
      <w:smallCaps/>
    </w:rPr>
  </w:style>
  <w:style w:type="paragraph" w:customStyle="1" w:styleId="TableListNumber">
    <w:name w:val="Table List Number"/>
    <w:basedOn w:val="ListNumber"/>
    <w:rsid w:val="00D8033A"/>
    <w:pPr>
      <w:numPr>
        <w:numId w:val="0"/>
      </w:numPr>
    </w:pPr>
  </w:style>
  <w:style w:type="paragraph" w:styleId="TOC4">
    <w:name w:val="toc 4"/>
    <w:basedOn w:val="TOCBase"/>
    <w:next w:val="Normal"/>
    <w:semiHidden/>
    <w:rsid w:val="00D8033A"/>
    <w:pPr>
      <w:tabs>
        <w:tab w:val="right" w:leader="dot" w:pos="9071"/>
      </w:tabs>
      <w:ind w:left="1701"/>
    </w:pPr>
  </w:style>
  <w:style w:type="paragraph" w:customStyle="1" w:styleId="ListAlpha">
    <w:name w:val="List Alpha"/>
    <w:basedOn w:val="List"/>
    <w:rsid w:val="00D8033A"/>
    <w:pPr>
      <w:numPr>
        <w:numId w:val="7"/>
      </w:numPr>
    </w:pPr>
  </w:style>
  <w:style w:type="paragraph" w:customStyle="1" w:styleId="ListAlpha2">
    <w:name w:val="List Alpha 2"/>
    <w:basedOn w:val="List2"/>
    <w:rsid w:val="00D8033A"/>
    <w:pPr>
      <w:numPr>
        <w:numId w:val="6"/>
      </w:numPr>
    </w:pPr>
  </w:style>
  <w:style w:type="paragraph" w:styleId="List2">
    <w:name w:val="List 2"/>
    <w:basedOn w:val="BodyText"/>
    <w:rsid w:val="00D8033A"/>
    <w:pPr>
      <w:tabs>
        <w:tab w:val="left" w:pos="680"/>
      </w:tabs>
      <w:spacing w:before="60" w:after="60"/>
      <w:ind w:left="680" w:hanging="340"/>
    </w:pPr>
  </w:style>
  <w:style w:type="paragraph" w:styleId="List3">
    <w:name w:val="List 3"/>
    <w:basedOn w:val="BodyText"/>
    <w:rsid w:val="00D8033A"/>
    <w:pPr>
      <w:tabs>
        <w:tab w:val="left" w:pos="1021"/>
      </w:tabs>
      <w:spacing w:before="60" w:after="60"/>
      <w:ind w:left="1020" w:hanging="340"/>
    </w:pPr>
  </w:style>
  <w:style w:type="paragraph" w:styleId="List4">
    <w:name w:val="List 4"/>
    <w:basedOn w:val="BodyText"/>
    <w:rsid w:val="00D8033A"/>
    <w:pPr>
      <w:tabs>
        <w:tab w:val="left" w:pos="1361"/>
      </w:tabs>
      <w:spacing w:before="60" w:after="60"/>
      <w:ind w:left="1361" w:hanging="340"/>
    </w:pPr>
  </w:style>
  <w:style w:type="paragraph" w:styleId="List5">
    <w:name w:val="List 5"/>
    <w:basedOn w:val="BodyText"/>
    <w:rsid w:val="00D8033A"/>
    <w:pPr>
      <w:tabs>
        <w:tab w:val="left" w:pos="1701"/>
      </w:tabs>
      <w:spacing w:before="60" w:after="60"/>
      <w:ind w:left="1701" w:hanging="340"/>
    </w:pPr>
  </w:style>
  <w:style w:type="paragraph" w:styleId="ListBullet3">
    <w:name w:val="List Bullet 3"/>
    <w:basedOn w:val="List3"/>
    <w:rsid w:val="00D8033A"/>
    <w:pPr>
      <w:numPr>
        <w:numId w:val="13"/>
      </w:numPr>
      <w:tabs>
        <w:tab w:val="clear" w:pos="1021"/>
      </w:tabs>
      <w:ind w:left="1037" w:hanging="357"/>
    </w:pPr>
  </w:style>
  <w:style w:type="paragraph" w:styleId="ListBullet4">
    <w:name w:val="List Bullet 4"/>
    <w:basedOn w:val="List4"/>
    <w:rsid w:val="00D8033A"/>
    <w:pPr>
      <w:numPr>
        <w:numId w:val="1"/>
      </w:numPr>
    </w:pPr>
  </w:style>
  <w:style w:type="paragraph" w:styleId="ListBullet5">
    <w:name w:val="List Bullet 5"/>
    <w:basedOn w:val="List5"/>
    <w:rsid w:val="00D8033A"/>
    <w:pPr>
      <w:numPr>
        <w:numId w:val="2"/>
      </w:numPr>
    </w:pPr>
  </w:style>
  <w:style w:type="paragraph" w:styleId="ListContinue2">
    <w:name w:val="List Continue 2"/>
    <w:basedOn w:val="List2"/>
    <w:rsid w:val="00D8033A"/>
    <w:pPr>
      <w:ind w:firstLine="0"/>
    </w:pPr>
  </w:style>
  <w:style w:type="paragraph" w:styleId="ListContinue3">
    <w:name w:val="List Continue 3"/>
    <w:basedOn w:val="List3"/>
    <w:rsid w:val="00D8033A"/>
    <w:pPr>
      <w:ind w:left="1021" w:firstLine="0"/>
    </w:pPr>
  </w:style>
  <w:style w:type="paragraph" w:styleId="ListContinue4">
    <w:name w:val="List Continue 4"/>
    <w:basedOn w:val="List4"/>
    <w:rsid w:val="00D8033A"/>
    <w:pPr>
      <w:ind w:firstLine="0"/>
    </w:pPr>
  </w:style>
  <w:style w:type="paragraph" w:styleId="ListContinue5">
    <w:name w:val="List Continue 5"/>
    <w:basedOn w:val="List5"/>
    <w:rsid w:val="00D8033A"/>
    <w:pPr>
      <w:ind w:firstLine="0"/>
    </w:pPr>
  </w:style>
  <w:style w:type="paragraph" w:styleId="ListNumber3">
    <w:name w:val="List Number 3"/>
    <w:basedOn w:val="List3"/>
    <w:rsid w:val="00D8033A"/>
    <w:pPr>
      <w:numPr>
        <w:numId w:val="3"/>
      </w:numPr>
    </w:pPr>
  </w:style>
  <w:style w:type="paragraph" w:styleId="ListNumber4">
    <w:name w:val="List Number 4"/>
    <w:basedOn w:val="List4"/>
    <w:rsid w:val="00D8033A"/>
    <w:pPr>
      <w:numPr>
        <w:numId w:val="4"/>
      </w:numPr>
    </w:pPr>
  </w:style>
  <w:style w:type="paragraph" w:styleId="ListNumber5">
    <w:name w:val="List Number 5"/>
    <w:basedOn w:val="List5"/>
    <w:rsid w:val="00D8033A"/>
    <w:pPr>
      <w:numPr>
        <w:numId w:val="5"/>
      </w:numPr>
    </w:pPr>
  </w:style>
  <w:style w:type="paragraph" w:styleId="BlockText">
    <w:name w:val="Block Text"/>
    <w:basedOn w:val="Normal"/>
    <w:rsid w:val="00D8033A"/>
    <w:pPr>
      <w:spacing w:after="120"/>
      <w:ind w:left="1440" w:right="1440"/>
    </w:pPr>
  </w:style>
  <w:style w:type="character" w:customStyle="1" w:styleId="Subscript">
    <w:name w:val="Subscript"/>
    <w:rsid w:val="00D8033A"/>
    <w:rPr>
      <w:sz w:val="16"/>
      <w:vertAlign w:val="subscript"/>
    </w:rPr>
  </w:style>
  <w:style w:type="character" w:customStyle="1" w:styleId="Superscript">
    <w:name w:val="Superscript"/>
    <w:rsid w:val="00D8033A"/>
    <w:rPr>
      <w:sz w:val="16"/>
      <w:vertAlign w:val="superscript"/>
    </w:rPr>
  </w:style>
  <w:style w:type="character" w:customStyle="1" w:styleId="Symbols">
    <w:name w:val="Symbols"/>
    <w:rsid w:val="00D8033A"/>
    <w:rPr>
      <w:rFonts w:ascii="Symbol" w:hAnsi="Symbol"/>
    </w:rPr>
  </w:style>
  <w:style w:type="character" w:customStyle="1" w:styleId="MenuOptions">
    <w:name w:val="Menu Options"/>
    <w:rsid w:val="00D8033A"/>
    <w:rPr>
      <w:rFonts w:ascii="Arial Narrow" w:hAnsi="Arial Narrow"/>
      <w:smallCaps/>
    </w:rPr>
  </w:style>
  <w:style w:type="character" w:customStyle="1" w:styleId="Buttons">
    <w:name w:val="Buttons"/>
    <w:rsid w:val="00D8033A"/>
    <w:rPr>
      <w:b/>
    </w:rPr>
  </w:style>
  <w:style w:type="character" w:customStyle="1" w:styleId="Underlined">
    <w:name w:val="Underlined"/>
    <w:rsid w:val="00D8033A"/>
    <w:rPr>
      <w:u w:val="single"/>
    </w:rPr>
  </w:style>
  <w:style w:type="paragraph" w:customStyle="1" w:styleId="TableBodyTextRight">
    <w:name w:val="Table Body Text Right"/>
    <w:basedOn w:val="TableBodyText"/>
    <w:rsid w:val="00D8033A"/>
    <w:pPr>
      <w:widowControl w:val="0"/>
      <w:autoSpaceDE w:val="0"/>
      <w:autoSpaceDN w:val="0"/>
      <w:adjustRightInd w:val="0"/>
      <w:jc w:val="right"/>
    </w:pPr>
    <w:rPr>
      <w:rFonts w:cs="Arial"/>
      <w:szCs w:val="18"/>
    </w:rPr>
  </w:style>
  <w:style w:type="paragraph" w:customStyle="1" w:styleId="CopyrightText">
    <w:name w:val="Copyright Text"/>
    <w:basedOn w:val="BodyText"/>
    <w:rsid w:val="00D8033A"/>
    <w:rPr>
      <w:sz w:val="18"/>
    </w:rPr>
  </w:style>
  <w:style w:type="paragraph" w:customStyle="1" w:styleId="BodySmallRight">
    <w:name w:val="Body Small Right"/>
    <w:basedOn w:val="BodyTextRight"/>
    <w:rsid w:val="00D8033A"/>
    <w:rPr>
      <w:sz w:val="18"/>
      <w:szCs w:val="18"/>
    </w:rPr>
  </w:style>
  <w:style w:type="paragraph" w:customStyle="1" w:styleId="MarginEdition">
    <w:name w:val="Margin Edition"/>
    <w:basedOn w:val="MarginNote"/>
    <w:rsid w:val="00D8033A"/>
    <w:pPr>
      <w:spacing w:before="0" w:after="0"/>
    </w:pPr>
    <w:rPr>
      <w:rFonts w:ascii="Times New Roman" w:hAnsi="Times New Roman"/>
      <w:color w:val="999999"/>
    </w:rPr>
  </w:style>
  <w:style w:type="paragraph" w:customStyle="1" w:styleId="Spacer">
    <w:name w:val="Spacer"/>
    <w:basedOn w:val="Normal"/>
    <w:rsid w:val="00D8033A"/>
    <w:rPr>
      <w:sz w:val="2"/>
      <w:szCs w:val="2"/>
    </w:rPr>
  </w:style>
  <w:style w:type="character" w:customStyle="1" w:styleId="Small">
    <w:name w:val="Small"/>
    <w:rsid w:val="00D8033A"/>
    <w:rPr>
      <w:sz w:val="16"/>
    </w:rPr>
  </w:style>
  <w:style w:type="paragraph" w:customStyle="1" w:styleId="WideTable">
    <w:name w:val="Wide Table"/>
    <w:basedOn w:val="Normal"/>
    <w:rsid w:val="00D8033A"/>
    <w:pPr>
      <w:ind w:left="-1418"/>
    </w:pPr>
    <w:rPr>
      <w:sz w:val="2"/>
      <w:szCs w:val="2"/>
    </w:rPr>
  </w:style>
  <w:style w:type="character" w:styleId="PageNumber">
    <w:name w:val="page number"/>
    <w:rsid w:val="00D8033A"/>
  </w:style>
  <w:style w:type="paragraph" w:styleId="Quote">
    <w:name w:val="Quote"/>
    <w:basedOn w:val="Heading1"/>
    <w:link w:val="QuoteChar"/>
    <w:qFormat/>
    <w:rsid w:val="00D8033A"/>
    <w:rPr>
      <w:b w:val="0"/>
      <w:sz w:val="72"/>
      <w:szCs w:val="72"/>
      <w:lang w:val="en-NZ"/>
    </w:rPr>
  </w:style>
  <w:style w:type="character" w:customStyle="1" w:styleId="QuoteChar">
    <w:name w:val="Quote Char"/>
    <w:link w:val="Quote"/>
    <w:rsid w:val="00D803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033A"/>
    <w:pPr>
      <w:pageBreakBefore/>
    </w:pPr>
  </w:style>
  <w:style w:type="paragraph" w:customStyle="1" w:styleId="Border">
    <w:name w:val="Border"/>
    <w:basedOn w:val="Normal"/>
    <w:qFormat/>
    <w:rsid w:val="00D8033A"/>
    <w:pPr>
      <w:pBdr>
        <w:top w:val="single" w:sz="18" w:space="1" w:color="auto"/>
      </w:pBdr>
    </w:pPr>
    <w:rPr>
      <w:rFonts w:ascii="Times New Roman" w:hAnsi="Times New Roman"/>
      <w:color w:val="FFFFFF"/>
      <w:sz w:val="2"/>
    </w:rPr>
  </w:style>
  <w:style w:type="character" w:styleId="IntenseEmphasis">
    <w:name w:val="Intense Emphasis"/>
    <w:uiPriority w:val="21"/>
    <w:qFormat/>
    <w:rsid w:val="00D8033A"/>
    <w:rPr>
      <w:b/>
      <w:bCs/>
      <w:i/>
      <w:iCs/>
      <w:color w:val="auto"/>
    </w:rPr>
  </w:style>
  <w:style w:type="paragraph" w:styleId="IntenseQuote">
    <w:name w:val="Intense Quote"/>
    <w:basedOn w:val="Normal"/>
    <w:next w:val="Normal"/>
    <w:link w:val="IntenseQuoteChar"/>
    <w:uiPriority w:val="30"/>
    <w:qFormat/>
    <w:rsid w:val="00D8033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8033A"/>
    <w:rPr>
      <w:rFonts w:ascii="Courier New" w:eastAsia="Times New Roman" w:hAnsi="Courier New" w:cs="Times New Roman"/>
      <w:b/>
      <w:bCs/>
      <w:i/>
      <w:iCs/>
      <w:szCs w:val="20"/>
      <w:lang w:val="en-US" w:eastAsia="en-US"/>
    </w:rPr>
  </w:style>
  <w:style w:type="character" w:styleId="SubtleReference">
    <w:name w:val="Subtle Reference"/>
    <w:uiPriority w:val="31"/>
    <w:qFormat/>
    <w:rsid w:val="00D8033A"/>
    <w:rPr>
      <w:smallCaps/>
      <w:color w:val="auto"/>
      <w:u w:val="single"/>
    </w:rPr>
  </w:style>
  <w:style w:type="character" w:styleId="IntenseReference">
    <w:name w:val="Intense Reference"/>
    <w:uiPriority w:val="32"/>
    <w:qFormat/>
    <w:rsid w:val="00D8033A"/>
    <w:rPr>
      <w:b/>
      <w:bCs/>
      <w:smallCaps/>
      <w:color w:val="auto"/>
      <w:spacing w:val="5"/>
      <w:u w:val="single"/>
    </w:rPr>
  </w:style>
  <w:style w:type="paragraph" w:customStyle="1" w:styleId="2ColumnHeading">
    <w:name w:val="2Column Heading"/>
    <w:basedOn w:val="BodyText"/>
    <w:qFormat/>
    <w:rsid w:val="00D8033A"/>
    <w:pPr>
      <w:spacing w:after="60"/>
      <w:ind w:left="-2268"/>
    </w:pPr>
    <w:rPr>
      <w:b/>
    </w:rPr>
  </w:style>
  <w:style w:type="paragraph" w:customStyle="1" w:styleId="Heading1TOC">
    <w:name w:val="Heading1 TOC"/>
    <w:basedOn w:val="Normal"/>
    <w:qFormat/>
    <w:rsid w:val="00D8033A"/>
    <w:pPr>
      <w:spacing w:before="240" w:after="120"/>
    </w:pPr>
    <w:rPr>
      <w:rFonts w:ascii="Times New Roman" w:hAnsi="Times New Roman"/>
      <w:b/>
      <w:sz w:val="32"/>
    </w:rPr>
  </w:style>
  <w:style w:type="paragraph" w:customStyle="1" w:styleId="Heading2TOC">
    <w:name w:val="Heading2 TOC"/>
    <w:basedOn w:val="Normal"/>
    <w:qFormat/>
    <w:rsid w:val="00D8033A"/>
    <w:pPr>
      <w:spacing w:before="240" w:after="60"/>
    </w:pPr>
    <w:rPr>
      <w:rFonts w:ascii="Times New Roman" w:hAnsi="Times New Roman"/>
      <w:b/>
      <w:sz w:val="28"/>
    </w:rPr>
  </w:style>
  <w:style w:type="character" w:customStyle="1" w:styleId="Underline">
    <w:name w:val="Underline"/>
    <w:qFormat/>
    <w:rsid w:val="00D8033A"/>
    <w:rPr>
      <w:u w:val="single"/>
    </w:rPr>
  </w:style>
  <w:style w:type="character" w:customStyle="1" w:styleId="BoldandItalics">
    <w:name w:val="Bold and Italics"/>
    <w:qFormat/>
    <w:rsid w:val="00D8033A"/>
    <w:rPr>
      <w:b/>
      <w:i/>
      <w:u w:val="none"/>
    </w:rPr>
  </w:style>
  <w:style w:type="paragraph" w:styleId="BalloonText">
    <w:name w:val="Balloon Text"/>
    <w:basedOn w:val="Normal"/>
    <w:link w:val="BalloonTextChar"/>
    <w:rsid w:val="00D8033A"/>
    <w:rPr>
      <w:rFonts w:ascii="Tahoma" w:hAnsi="Tahoma" w:cs="Tahoma"/>
      <w:sz w:val="16"/>
      <w:szCs w:val="16"/>
    </w:rPr>
  </w:style>
  <w:style w:type="character" w:customStyle="1" w:styleId="BalloonTextChar">
    <w:name w:val="Balloon Text Char"/>
    <w:link w:val="BalloonText"/>
    <w:rsid w:val="00D8033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8033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8033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993</Words>
  <Characters>6298</Characters>
  <Application>Microsoft Office Word</Application>
  <DocSecurity>0</DocSecurity>
  <Lines>218</Lines>
  <Paragraphs>129</Paragraphs>
  <ScaleCrop>false</ScaleCrop>
  <Company>Author-it Software Corporation Ltd.</Company>
  <LinksUpToDate>false</LinksUpToDate>
  <CharactersWithSpaces>7203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FNSICORG301B Administer fixed asset register</dc:title>
  <dc:subject>Approved</dc:subject>
  <dc:creator>Government Skills Australia</dc:creator>
  <cp:keywords>Release: 1</cp:keywords>
  <dc:description>Copyright © 1996-2007 Author-it Software Corporation Ltd., all rights reserved.</dc:description>
  <cp:lastModifiedBy>Andrew Campey</cp:lastModifiedBy>
  <cp:revision>3</cp:revision>
  <dcterms:created xsi:type="dcterms:W3CDTF">2012-05-26T03:53:00Z</dcterms:created>
  <dcterms:modified xsi:type="dcterms:W3CDTF">2012-05-26T03:53:00Z</dcterms:modified>
</cp:coreProperties>
</file>