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0CB4" w:rsidP="00190CB4">
      <w:pPr>
        <w:pStyle w:val="Title"/>
      </w:pPr>
      <w:r>
        <w:fldChar w:fldCharType="begin"/>
      </w:r>
      <w:r>
        <w:instrText xml:space="preserve"> TITLE   \* MERGEFORMAT </w:instrText>
      </w:r>
      <w:r>
        <w:fldChar w:fldCharType="separate"/>
      </w:r>
      <w:r>
        <w:t>FNSICACC305B Process payment documentation</w:t>
      </w:r>
      <w:r>
        <w:fldChar w:fldCharType="end"/>
      </w:r>
    </w:p>
    <w:p w:rsidR="00190CB4" w:rsidP="00190CB4">
      <w:pPr>
        <w:pStyle w:val="Version"/>
        <w:sectPr w:rsidSect="008076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760E" w:rsidP="0080760E">
      <w:pPr>
        <w:pStyle w:val="SuperHeading"/>
      </w:pPr>
      <w:r w:rsidRPr="0080760E">
        <w:t>FNSICACC305B Process payment documentation</w:t>
      </w:r>
    </w:p>
    <w:p w:rsidR="00000000" w:rsidRPr="0080760E" w:rsidP="0080760E">
      <w:pPr>
        <w:pStyle w:val="Heading1"/>
      </w:pPr>
      <w:bookmarkStart w:id="1" w:name="O_318229"/>
      <w:bookmarkEnd w:id="1"/>
      <w:r w:rsidRPr="0080760E">
        <w:t>Modification History</w:t>
      </w:r>
    </w:p>
    <w:p w:rsidR="00000000" w:rsidRPr="0080760E" w:rsidP="0080760E">
      <w:pPr>
        <w:pStyle w:val="BodyText"/>
      </w:pPr>
      <w:r w:rsidRPr="0080760E">
        <w:t>Not applicable.</w:t>
      </w:r>
    </w:p>
    <w:p w:rsidR="00000000" w:rsidRPr="0080760E" w:rsidP="0080760E">
      <w:pPr>
        <w:pStyle w:val="AllowPageBreak"/>
      </w:pPr>
    </w:p>
    <w:p w:rsidR="00000000" w:rsidRPr="0080760E" w:rsidP="0080760E">
      <w:pPr>
        <w:pStyle w:val="Heading1"/>
      </w:pPr>
      <w:bookmarkStart w:id="2" w:name="O_318240"/>
      <w:bookmarkEnd w:id="2"/>
      <w:r w:rsidRPr="0080760E">
        <w:t>Unit Descriptor</w:t>
      </w:r>
    </w:p>
    <w:p w:rsidR="00000000" w:rsidRPr="0080760E" w:rsidP="0080760E">
      <w:pPr>
        <w:pStyle w:val="BodyText"/>
      </w:pPr>
      <w:r w:rsidRPr="0080760E">
        <w:t>This unit describes the functions involved in processing financial payment documents.</w:t>
      </w:r>
    </w:p>
    <w:p w:rsidR="00000000" w:rsidRPr="0080760E" w:rsidP="0080760E">
      <w:pPr>
        <w:pStyle w:val="BodyText"/>
      </w:pPr>
      <w:r w:rsidRPr="0080760E">
        <w:t>This unit describes the functions inv</w:t>
      </w:r>
      <w:r w:rsidRPr="0080760E">
        <w:t>olved in processing financial payment documents.</w:t>
      </w:r>
    </w:p>
    <w:p w:rsidR="00000000" w:rsidRPr="0080760E" w:rsidP="0080760E">
      <w:pPr>
        <w:pStyle w:val="AllowPageBreak"/>
      </w:pPr>
    </w:p>
    <w:p w:rsidR="00000000" w:rsidRPr="0080760E" w:rsidP="0080760E">
      <w:pPr>
        <w:pStyle w:val="Heading1"/>
      </w:pPr>
      <w:bookmarkStart w:id="3" w:name="O_318230"/>
      <w:bookmarkEnd w:id="3"/>
      <w:r w:rsidRPr="0080760E">
        <w:t>Application of the Unit</w:t>
      </w:r>
    </w:p>
    <w:p w:rsidR="00000000" w:rsidRPr="0080760E" w:rsidP="0080760E">
      <w:pPr>
        <w:pStyle w:val="BodyText"/>
      </w:pPr>
      <w:r w:rsidRPr="0080760E">
        <w:t xml:space="preserve">This unit requires the application of skills and knowledge required to process payment documentation. The unit has application across a variety of financial industry </w:t>
      </w:r>
      <w:r w:rsidRPr="0080760E">
        <w:t>sectors ranging from the insurance sector, retail banking sector and credit and friendly societies.</w:t>
      </w:r>
    </w:p>
    <w:p w:rsidR="00000000" w:rsidRPr="0080760E" w:rsidP="0080760E">
      <w:pPr>
        <w:pStyle w:val="BodyText"/>
      </w:pPr>
      <w:r w:rsidRPr="0080760E">
        <w:t xml:space="preserve">The unit may apply to any related job positions where the job function has responsibility for processing payment documentation.  </w:t>
      </w:r>
    </w:p>
    <w:p w:rsidR="00000000" w:rsidRPr="0080760E" w:rsidP="0080760E">
      <w:pPr>
        <w:pStyle w:val="BodyText"/>
      </w:pPr>
      <w:r w:rsidRPr="0080760E">
        <w:t>This unit requires the app</w:t>
      </w:r>
      <w:r w:rsidRPr="0080760E">
        <w:t>lication of skills and knowledge required to process payment documentation. The unit has application across a variety of financial industry sectors ranging from the insurance sector, retail banking sector and credit and friendly societies.</w:t>
      </w:r>
    </w:p>
    <w:p w:rsidR="00000000" w:rsidRPr="0080760E" w:rsidP="0080760E">
      <w:pPr>
        <w:pStyle w:val="BodyText"/>
      </w:pPr>
      <w:r w:rsidRPr="0080760E">
        <w:t xml:space="preserve">The unit may apply to any related job positions where the job function has responsibility for processing payment documentation.  </w:t>
      </w:r>
    </w:p>
    <w:p w:rsidR="00000000" w:rsidRPr="0080760E" w:rsidP="0080760E">
      <w:pPr>
        <w:pStyle w:val="AllowPageBreak"/>
      </w:pPr>
    </w:p>
    <w:p w:rsidR="00000000" w:rsidRPr="0080760E" w:rsidP="0080760E">
      <w:pPr>
        <w:pStyle w:val="Heading1"/>
      </w:pPr>
      <w:bookmarkStart w:id="4" w:name="O_318228"/>
      <w:bookmarkEnd w:id="4"/>
      <w:r w:rsidRPr="0080760E">
        <w:t>Licensing/Regulatory Information</w:t>
      </w:r>
    </w:p>
    <w:p w:rsidR="00000000" w:rsidRPr="0080760E" w:rsidP="0080760E">
      <w:pPr>
        <w:pStyle w:val="BodyText"/>
      </w:pPr>
      <w:r w:rsidRPr="0080760E">
        <w:t>Not applicable.</w:t>
      </w:r>
    </w:p>
    <w:p w:rsidR="00000000" w:rsidRPr="0080760E" w:rsidP="0080760E">
      <w:pPr>
        <w:pStyle w:val="AllowPageBreak"/>
      </w:pPr>
    </w:p>
    <w:p w:rsidR="00000000" w:rsidRPr="0080760E" w:rsidP="0080760E">
      <w:pPr>
        <w:pStyle w:val="Heading1"/>
      </w:pPr>
      <w:bookmarkStart w:id="5" w:name="O_318231"/>
      <w:bookmarkEnd w:id="5"/>
      <w:r w:rsidRPr="0080760E">
        <w:t>Pre-Requisites</w:t>
      </w:r>
    </w:p>
    <w:p w:rsidR="00000000" w:rsidRPr="0080760E" w:rsidP="0080760E">
      <w:pPr>
        <w:pStyle w:val="BodyText"/>
      </w:pPr>
      <w:r w:rsidRPr="0080760E">
        <w:t>Not applicable.</w:t>
      </w:r>
    </w:p>
    <w:p w:rsidR="00000000" w:rsidRPr="0080760E" w:rsidP="0080760E">
      <w:pPr>
        <w:pStyle w:val="AllowPageBreak"/>
      </w:pPr>
    </w:p>
    <w:p w:rsidR="00000000" w:rsidRPr="0080760E" w:rsidP="0080760E">
      <w:pPr>
        <w:pStyle w:val="Heading1"/>
      </w:pPr>
      <w:bookmarkStart w:id="6" w:name="O_318232"/>
      <w:bookmarkEnd w:id="6"/>
      <w:r w:rsidRPr="0080760E">
        <w:t>Employability Skills Information</w:t>
      </w:r>
    </w:p>
    <w:p w:rsidR="00000000" w:rsidRPr="0080760E" w:rsidP="0080760E">
      <w:pPr>
        <w:pStyle w:val="BodyText"/>
      </w:pPr>
      <w:r w:rsidRPr="0080760E">
        <w:t>The required outcomes described in this unit of competency contain applicable facets of employability skills. The Employability Skills Summary for the qualification in which this unit of competency is packaged, will as</w:t>
      </w:r>
      <w:r w:rsidRPr="0080760E">
        <w:t>sist in identifying employability skills requirements.</w:t>
      </w:r>
    </w:p>
    <w:p w:rsidR="00000000" w:rsidRPr="0080760E" w:rsidP="0080760E">
      <w:pPr>
        <w:pStyle w:val="BodyText"/>
      </w:pPr>
      <w:r w:rsidRPr="0080760E">
        <w:t xml:space="preserve">The required outcomes described in this unit of competency contain applicable facets of employability skills. The Employability Skills Summary for the qualification in which this unit of competency is </w:t>
      </w:r>
      <w:r w:rsidRPr="0080760E">
        <w:t>packaged, will assist in identifying employability skills requirements.</w:t>
      </w:r>
    </w:p>
    <w:p w:rsidR="00000000" w:rsidRPr="0080760E" w:rsidP="0080760E">
      <w:pPr>
        <w:pStyle w:val="AllowPageBreak"/>
      </w:pPr>
    </w:p>
    <w:p w:rsidR="00000000" w:rsidRPr="0080760E" w:rsidP="0080760E">
      <w:pPr>
        <w:pStyle w:val="Heading1"/>
      </w:pPr>
      <w:bookmarkStart w:id="7" w:name="O_318233"/>
      <w:bookmarkEnd w:id="7"/>
      <w:r w:rsidRPr="0080760E">
        <w:t>Elements and Performance Criteria Pre-Content</w:t>
      </w:r>
    </w:p>
    <w:p w:rsidR="00000000" w:rsidRPr="0080760E" w:rsidP="0080760E">
      <w:pPr>
        <w:pStyle w:val="BodyText"/>
      </w:pPr>
      <w:r w:rsidRPr="0080760E">
        <w:t>Elements define the essential outcomes of a unit of competency.</w:t>
      </w:r>
    </w:p>
    <w:p w:rsidR="00000000" w:rsidRPr="0080760E" w:rsidP="0080760E">
      <w:pPr>
        <w:pStyle w:val="BodyText"/>
      </w:pPr>
      <w:r w:rsidRPr="0080760E">
        <w:t xml:space="preserve">Performance Criteria describe the required performance needed to demonstrate achievement of the Element. </w:t>
      </w:r>
      <w:r w:rsidRPr="0080760E">
        <w:rPr>
          <w:rStyle w:val="SpecialBold"/>
        </w:rPr>
        <w:t xml:space="preserve">Bold, italicised </w:t>
      </w:r>
      <w:r w:rsidRPr="0080760E">
        <w:t>terms are elaborated in the Range Statement. Assessment of performance is to be consistent with the Evidence Guide.</w:t>
      </w:r>
    </w:p>
    <w:p w:rsidR="00000000" w:rsidRPr="0080760E" w:rsidP="0080760E">
      <w:pPr>
        <w:pStyle w:val="BodyText"/>
      </w:pPr>
      <w:r w:rsidRPr="0080760E">
        <w:t>Elements define th</w:t>
      </w:r>
      <w:r w:rsidRPr="0080760E">
        <w:t>e essential outcomes of a unit of competency.</w:t>
      </w:r>
    </w:p>
    <w:p w:rsidR="00000000" w:rsidRPr="0080760E" w:rsidP="0080760E">
      <w:pPr>
        <w:pStyle w:val="BodyText"/>
      </w:pPr>
      <w:r w:rsidRPr="0080760E">
        <w:t xml:space="preserve">Performance Criteria describe the required performance needed to demonstrate achievement of the Element. </w:t>
      </w:r>
      <w:r w:rsidRPr="0080760E">
        <w:rPr>
          <w:rStyle w:val="SpecialBold"/>
        </w:rPr>
        <w:t xml:space="preserve">Bold, italicised </w:t>
      </w:r>
      <w:r w:rsidRPr="0080760E">
        <w:t>terms are elaborated in the Range Statement. Assessment of performance is to be consiste</w:t>
      </w:r>
      <w:r w:rsidRPr="0080760E">
        <w:t>nt with the Evidence Guide.</w:t>
      </w:r>
    </w:p>
    <w:p w:rsidR="00000000" w:rsidRPr="0080760E" w:rsidP="0080760E">
      <w:pPr>
        <w:pStyle w:val="AllowPageBreak"/>
      </w:pPr>
    </w:p>
    <w:p w:rsidR="00000000" w:rsidRPr="0080760E" w:rsidP="0080760E">
      <w:pPr>
        <w:pStyle w:val="Heading1"/>
      </w:pPr>
      <w:bookmarkStart w:id="8" w:name="O_318234"/>
      <w:bookmarkEnd w:id="8"/>
      <w:r w:rsidRPr="0080760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90CB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rPr>
                <w:rStyle w:val="SpecialBold"/>
              </w:rPr>
              <w:t>Elements and Performance Criteria</w:t>
            </w:r>
          </w:p>
        </w:tc>
      </w:tr>
      <w:tr w:rsidTr="00190CB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0760E" w:rsidP="0080760E">
            <w:pPr>
              <w:pStyle w:val="BodyText"/>
            </w:pPr>
            <w:r w:rsidRPr="0080760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rPr>
                <w:rStyle w:val="SpecialBold"/>
              </w:rPr>
              <w:t>Performance Criteria</w:t>
            </w:r>
          </w:p>
        </w:tc>
      </w:tr>
      <w:tr w:rsidTr="00190CB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t>1</w:t>
            </w:r>
          </w:p>
        </w:tc>
        <w:tc>
          <w:tcPr>
            <w:tcW w:w="3000" w:type="dxa"/>
            <w:vMerge w:val="restart"/>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t>Enter data to system</w:t>
            </w:r>
          </w:p>
        </w:tc>
        <w:tc>
          <w:tcPr>
            <w:tcW w:w="500" w:type="dxa"/>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t>1.1</w:t>
            </w:r>
          </w:p>
        </w:tc>
        <w:tc>
          <w:tcPr>
            <w:tcW w:w="5100" w:type="dxa"/>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t xml:space="preserve">Data is entered into systems without error and within time requirements as specified in relevant </w:t>
            </w:r>
            <w:r w:rsidRPr="0080760E">
              <w:rPr>
                <w:rStyle w:val="SpecialBold"/>
              </w:rPr>
              <w:t>company policy and procedures</w:t>
            </w:r>
          </w:p>
        </w:tc>
      </w:tr>
      <w:tr w:rsidTr="00190C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t>1.2</w:t>
            </w:r>
          </w:p>
        </w:tc>
        <w:tc>
          <w:tcPr>
            <w:tcW w:w="5100" w:type="dxa"/>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t>Data is allocated to correct systems and accounts</w:t>
            </w:r>
          </w:p>
        </w:tc>
      </w:tr>
      <w:tr w:rsidTr="00190C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0760E" w:rsidP="0080760E">
            <w:pPr>
              <w:pStyle w:val="BodyText"/>
            </w:pPr>
            <w:r w:rsidRPr="0080760E">
              <w:t>1.3</w:t>
            </w:r>
          </w:p>
        </w:tc>
        <w:tc>
          <w:tcPr>
            <w:tcW w:w="5100" w:type="dxa"/>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rPr>
                <w:rStyle w:val="SpecialBold"/>
              </w:rPr>
              <w:t xml:space="preserve">Related systems </w:t>
            </w:r>
            <w:r w:rsidRPr="0080760E">
              <w:t>are updated</w:t>
            </w:r>
          </w:p>
        </w:tc>
      </w:tr>
      <w:tr w:rsidTr="00190C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t>1.4</w:t>
            </w:r>
          </w:p>
        </w:tc>
        <w:tc>
          <w:tcPr>
            <w:tcW w:w="5100" w:type="dxa"/>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t>Data entry is undertaken in accordance with relevant health and safety requirements</w:t>
            </w:r>
          </w:p>
        </w:tc>
      </w:tr>
      <w:tr w:rsidTr="00190C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0760E" w:rsidP="0080760E">
            <w:pPr>
              <w:pStyle w:val="BodyText"/>
            </w:pPr>
            <w:r w:rsidRPr="0080760E">
              <w:t>1.5</w:t>
            </w:r>
          </w:p>
        </w:tc>
        <w:tc>
          <w:tcPr>
            <w:tcW w:w="5100" w:type="dxa"/>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rPr>
                <w:rStyle w:val="SpecialBold"/>
              </w:rPr>
              <w:t xml:space="preserve">System controls </w:t>
            </w:r>
            <w:r w:rsidRPr="0080760E">
              <w:t>are maintained to ensure the integrity and security of client/payee database</w:t>
            </w:r>
          </w:p>
        </w:tc>
      </w:tr>
      <w:tr w:rsidTr="00190CB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t>2</w:t>
            </w:r>
          </w:p>
        </w:tc>
        <w:tc>
          <w:tcPr>
            <w:tcW w:w="3000" w:type="dxa"/>
            <w:vMerge w:val="restart"/>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t>Create payment facility</w:t>
            </w:r>
          </w:p>
        </w:tc>
        <w:tc>
          <w:tcPr>
            <w:tcW w:w="500" w:type="dxa"/>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t>2.1</w:t>
            </w:r>
          </w:p>
        </w:tc>
        <w:tc>
          <w:tcPr>
            <w:tcW w:w="5100" w:type="dxa"/>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t>Payment facility is processed accurately in accordance with company policy and procedures</w:t>
            </w:r>
          </w:p>
        </w:tc>
      </w:tr>
      <w:tr w:rsidTr="00190C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80760E" w:rsidP="0080760E">
            <w:pPr>
              <w:pStyle w:val="BodyText"/>
            </w:pPr>
            <w:r w:rsidRPr="0080760E">
              <w:t>2.2</w:t>
            </w:r>
          </w:p>
        </w:tc>
        <w:tc>
          <w:tcPr>
            <w:tcW w:w="5100" w:type="dxa"/>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rPr>
                <w:rStyle w:val="SpecialBold"/>
              </w:rPr>
              <w:t xml:space="preserve">Documentation </w:t>
            </w:r>
            <w:r w:rsidRPr="0080760E">
              <w:t>is maintained in a secure manner to protect the privacy and interests of all parties</w:t>
            </w:r>
          </w:p>
        </w:tc>
      </w:tr>
      <w:tr w:rsidTr="00190CB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t>3</w:t>
            </w:r>
          </w:p>
        </w:tc>
        <w:tc>
          <w:tcPr>
            <w:tcW w:w="3000" w:type="dxa"/>
            <w:vMerge w:val="restart"/>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t>Verify payments against documentation</w:t>
            </w:r>
          </w:p>
        </w:tc>
        <w:tc>
          <w:tcPr>
            <w:tcW w:w="500" w:type="dxa"/>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t>3.1</w:t>
            </w:r>
          </w:p>
        </w:tc>
        <w:tc>
          <w:tcPr>
            <w:tcW w:w="5100" w:type="dxa"/>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t>Authorisation for payment is confirmed</w:t>
            </w:r>
          </w:p>
        </w:tc>
      </w:tr>
      <w:tr w:rsidTr="00190C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t>3.2</w:t>
            </w:r>
          </w:p>
        </w:tc>
        <w:tc>
          <w:tcPr>
            <w:tcW w:w="5100" w:type="dxa"/>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t>Information on payment facility matches approved documentation</w:t>
            </w:r>
          </w:p>
        </w:tc>
      </w:tr>
      <w:tr w:rsidTr="00190C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t>3.3</w:t>
            </w:r>
          </w:p>
        </w:tc>
        <w:tc>
          <w:tcPr>
            <w:tcW w:w="5100" w:type="dxa"/>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t>Discrepancies are identified and followed up promptly</w:t>
            </w:r>
          </w:p>
        </w:tc>
      </w:tr>
      <w:tr w:rsidTr="00190CB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t>4</w:t>
            </w:r>
          </w:p>
        </w:tc>
        <w:tc>
          <w:tcPr>
            <w:tcW w:w="3000" w:type="dxa"/>
            <w:vMerge w:val="restart"/>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t>Effect payment</w:t>
            </w:r>
          </w:p>
        </w:tc>
        <w:tc>
          <w:tcPr>
            <w:tcW w:w="500" w:type="dxa"/>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t>4.1</w:t>
            </w:r>
          </w:p>
        </w:tc>
        <w:tc>
          <w:tcPr>
            <w:tcW w:w="5100" w:type="dxa"/>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t xml:space="preserve">Payments are made within agreed credit arrangements in accordance with company policy and procedures and </w:t>
            </w:r>
            <w:r w:rsidRPr="0080760E">
              <w:rPr>
                <w:rStyle w:val="SpecialBold"/>
              </w:rPr>
              <w:t>industry and legislative requirements</w:t>
            </w:r>
          </w:p>
        </w:tc>
      </w:tr>
      <w:tr w:rsidTr="00190C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t>4.2</w:t>
            </w:r>
          </w:p>
        </w:tc>
        <w:tc>
          <w:tcPr>
            <w:tcW w:w="5100" w:type="dxa"/>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t>Payment instruments are signed in accordance with relevant authority levels</w:t>
            </w:r>
          </w:p>
        </w:tc>
      </w:tr>
      <w:tr w:rsidTr="00190C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t>4.3</w:t>
            </w:r>
          </w:p>
        </w:tc>
        <w:tc>
          <w:tcPr>
            <w:tcW w:w="5100" w:type="dxa"/>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t>Related systems are updated promptly to ensure that the integrity of accounting systems are maintained</w:t>
            </w:r>
          </w:p>
        </w:tc>
      </w:tr>
      <w:tr w:rsidTr="00190C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t>4.4</w:t>
            </w:r>
          </w:p>
        </w:tc>
        <w:tc>
          <w:tcPr>
            <w:tcW w:w="5100" w:type="dxa"/>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t>Primary documentation associated with payment is cancelled, or noted, to ensure multiple payments are not made</w:t>
            </w:r>
          </w:p>
        </w:tc>
      </w:tr>
      <w:tr w:rsidTr="00190CB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t>5</w:t>
            </w:r>
          </w:p>
        </w:tc>
        <w:tc>
          <w:tcPr>
            <w:tcW w:w="3000" w:type="dxa"/>
            <w:vMerge w:val="restart"/>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t>File documentation</w:t>
            </w:r>
          </w:p>
        </w:tc>
        <w:tc>
          <w:tcPr>
            <w:tcW w:w="500" w:type="dxa"/>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t>5.1</w:t>
            </w:r>
          </w:p>
        </w:tc>
        <w:tc>
          <w:tcPr>
            <w:tcW w:w="5100" w:type="dxa"/>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t>Documenta</w:t>
            </w:r>
            <w:r w:rsidRPr="0080760E">
              <w:t>tion is filed promptly in accordance with company policy and procedures</w:t>
            </w:r>
          </w:p>
        </w:tc>
      </w:tr>
      <w:tr w:rsidTr="00190CB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t>5.2</w:t>
            </w:r>
          </w:p>
        </w:tc>
        <w:tc>
          <w:tcPr>
            <w:tcW w:w="5100" w:type="dxa"/>
            <w:tcBorders>
              <w:top w:val="nil"/>
              <w:left w:val="nil"/>
              <w:bottom w:val="nil"/>
              <w:right w:val="nil"/>
            </w:tcBorders>
            <w:tcMar>
              <w:top w:w="0" w:type="dxa"/>
              <w:left w:w="62" w:type="dxa"/>
              <w:bottom w:w="0" w:type="dxa"/>
              <w:right w:w="62" w:type="dxa"/>
            </w:tcMar>
          </w:tcPr>
          <w:p w:rsidR="00000000" w:rsidRPr="0080760E" w:rsidP="0080760E">
            <w:pPr>
              <w:pStyle w:val="BodyText"/>
            </w:pPr>
            <w:r w:rsidRPr="0080760E">
              <w:t>Location of filed documentation is traceable</w:t>
            </w:r>
          </w:p>
        </w:tc>
      </w:tr>
    </w:tbl>
    <w:p w:rsidR="00000000" w:rsidRPr="0080760E" w:rsidP="0080760E">
      <w:pPr>
        <w:pStyle w:val="BodyText"/>
      </w:pPr>
    </w:p>
    <w:p w:rsidR="00000000" w:rsidRPr="0080760E" w:rsidP="0080760E">
      <w:pPr>
        <w:pStyle w:val="AllowPageBreak"/>
      </w:pPr>
    </w:p>
    <w:p w:rsidR="00000000" w:rsidRPr="0080760E" w:rsidP="0080760E">
      <w:pPr>
        <w:pStyle w:val="Heading1"/>
      </w:pPr>
      <w:bookmarkStart w:id="9" w:name="O_318235"/>
      <w:bookmarkEnd w:id="9"/>
      <w:r w:rsidRPr="0080760E">
        <w:t>Required Skills and Knowledge</w:t>
      </w:r>
    </w:p>
    <w:tbl>
      <w:tblPr>
        <w:tblW w:w="0" w:type="auto"/>
        <w:tblLayout w:type="fixed"/>
        <w:tblCellMar>
          <w:left w:w="62" w:type="dxa"/>
          <w:right w:w="62" w:type="dxa"/>
        </w:tblCellMar>
        <w:tblLook w:val="0000"/>
      </w:tblPr>
      <w:tblGrid>
        <w:gridCol w:w="9000"/>
      </w:tblGrid>
      <w:tr w:rsidTr="00190C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rPr>
                <w:rStyle w:val="SpecialBold"/>
              </w:rPr>
              <w:t>REQUIRED KNOWLEDGE</w:t>
            </w:r>
            <w:r w:rsidRPr="0080760E">
              <w:t>&amp;</w:t>
            </w:r>
            <w:r w:rsidRPr="0080760E">
              <w:rPr>
                <w:rStyle w:val="SpecialBold"/>
              </w:rPr>
              <w:t>SKILLS</w:t>
            </w:r>
          </w:p>
        </w:tc>
      </w:tr>
      <w:tr w:rsidTr="00190C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80760E" w:rsidP="0080760E">
            <w:pPr>
              <w:pStyle w:val="BodyText"/>
            </w:pPr>
            <w:r w:rsidRPr="0080760E">
              <w:rPr>
                <w:rStyle w:val="SpecialBold"/>
              </w:rPr>
              <w:t>Knowledge requirements include</w:t>
            </w:r>
            <w:r w:rsidRPr="0080760E">
              <w:t xml:space="preserve">: </w:t>
            </w:r>
          </w:p>
          <w:p w:rsidR="00000000" w:rsidRPr="0080760E" w:rsidP="0080760E">
            <w:pPr>
              <w:pStyle w:val="BodyText"/>
            </w:pPr>
            <w:r w:rsidRPr="0080760E">
              <w:t>company policy and procedures</w:t>
            </w:r>
          </w:p>
          <w:p w:rsidR="00000000" w:rsidRPr="0080760E" w:rsidP="0080760E">
            <w:pPr>
              <w:pStyle w:val="BodyText"/>
            </w:pPr>
            <w:r w:rsidRPr="0080760E">
              <w:t>knowledge or awareness of relevant acts and regulations</w:t>
            </w:r>
          </w:p>
          <w:p w:rsidR="00000000" w:rsidRPr="0080760E" w:rsidP="0080760E">
            <w:pPr>
              <w:pStyle w:val="BodyText"/>
            </w:pPr>
            <w:r w:rsidRPr="0080760E">
              <w:t>legal systems and procedures</w:t>
            </w:r>
          </w:p>
          <w:p w:rsidR="00000000" w:rsidRPr="0080760E" w:rsidP="0080760E">
            <w:pPr>
              <w:pStyle w:val="BodyText"/>
            </w:pPr>
            <w:r w:rsidRPr="0080760E">
              <w:t>industry codes of practice</w:t>
            </w:r>
          </w:p>
          <w:p w:rsidR="00000000" w:rsidRPr="0080760E" w:rsidP="0080760E">
            <w:pPr>
              <w:pStyle w:val="BodyText"/>
            </w:pPr>
            <w:r w:rsidRPr="0080760E">
              <w:t>computer systems</w:t>
            </w:r>
          </w:p>
          <w:p w:rsidR="00000000" w:rsidP="0080760E">
            <w:pPr>
              <w:pStyle w:val="BodyText"/>
              <w:rPr>
                <w:lang w:val="en-NZ"/>
              </w:rPr>
            </w:pPr>
            <w:r w:rsidRPr="0080760E">
              <w:t xml:space="preserve">procedure writing </w:t>
            </w:r>
          </w:p>
        </w:tc>
      </w:tr>
      <w:tr w:rsidTr="00190CB4">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80760E" w:rsidP="0080760E">
            <w:pPr>
              <w:pStyle w:val="BodyText"/>
            </w:pPr>
            <w:r w:rsidRPr="0080760E">
              <w:rPr>
                <w:rStyle w:val="SpecialBold"/>
              </w:rPr>
              <w:t>Skills requirements include</w:t>
            </w:r>
            <w:r w:rsidRPr="0080760E">
              <w:t xml:space="preserve">: </w:t>
            </w:r>
          </w:p>
          <w:p w:rsidR="00000000" w:rsidRPr="0080760E" w:rsidP="0080760E">
            <w:pPr>
              <w:pStyle w:val="BodyText"/>
            </w:pPr>
            <w:r w:rsidRPr="0080760E">
              <w:t>computerised spreadsheet and database</w:t>
            </w:r>
          </w:p>
          <w:p w:rsidR="00000000" w:rsidRPr="0080760E" w:rsidP="0080760E">
            <w:pPr>
              <w:pStyle w:val="BodyText"/>
            </w:pPr>
            <w:r w:rsidRPr="0080760E">
              <w:t>data anal</w:t>
            </w:r>
            <w:r w:rsidRPr="0080760E">
              <w:t>ysis and interpretation</w:t>
            </w:r>
          </w:p>
          <w:p w:rsidR="00000000" w:rsidRPr="0080760E" w:rsidP="0080760E">
            <w:pPr>
              <w:pStyle w:val="BodyText"/>
            </w:pPr>
            <w:r w:rsidRPr="0080760E">
              <w:t>evaluative and general analytical</w:t>
            </w:r>
          </w:p>
          <w:p w:rsidR="00000000" w:rsidRPr="0080760E" w:rsidP="0080760E">
            <w:pPr>
              <w:pStyle w:val="BodyText"/>
            </w:pPr>
            <w:r w:rsidRPr="0080760E">
              <w:t xml:space="preserve">negotiation and interpersonal </w:t>
            </w:r>
          </w:p>
        </w:tc>
      </w:tr>
    </w:tbl>
    <w:p w:rsidR="00000000" w:rsidRPr="0080760E" w:rsidP="0080760E">
      <w:pPr>
        <w:pStyle w:val="BodyText"/>
      </w:pPr>
    </w:p>
    <w:p w:rsidR="00000000" w:rsidRPr="0080760E" w:rsidP="0080760E">
      <w:pPr>
        <w:pStyle w:val="AllowPageBreak"/>
      </w:pPr>
    </w:p>
    <w:p w:rsidR="00000000" w:rsidRPr="0080760E" w:rsidP="0080760E">
      <w:pPr>
        <w:pStyle w:val="Heading1"/>
      </w:pPr>
      <w:bookmarkStart w:id="10" w:name="O_318236"/>
      <w:bookmarkEnd w:id="10"/>
      <w:r w:rsidRPr="0080760E">
        <w:t>Evidence Guide</w:t>
      </w:r>
    </w:p>
    <w:tbl>
      <w:tblPr>
        <w:tblW w:w="0" w:type="auto"/>
        <w:tblLayout w:type="fixed"/>
        <w:tblCellMar>
          <w:left w:w="62" w:type="dxa"/>
          <w:right w:w="62" w:type="dxa"/>
        </w:tblCellMar>
        <w:tblLook w:val="0000"/>
      </w:tblPr>
      <w:tblGrid>
        <w:gridCol w:w="4500"/>
        <w:gridCol w:w="4500"/>
      </w:tblGrid>
      <w:tr w:rsidTr="00190CB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rPr>
                <w:rStyle w:val="SpecialBold"/>
              </w:rPr>
              <w:t xml:space="preserve"> EVIDENCE GUIDE</w:t>
            </w:r>
          </w:p>
        </w:tc>
      </w:tr>
      <w:tr w:rsidTr="00190CB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t>Assessment of performance requirements in the unit should be undertaken in an industry context. The Evidence Guide identifies the critical aspects, knowledge and skills to be demonstrated to confirm competency for the unit. Competency is demonstrated by pe</w:t>
            </w:r>
            <w:r w:rsidRPr="0080760E">
              <w:t xml:space="preserve">rformance of all stated criteria including the Range Statement applicable to the workplace. </w:t>
            </w:r>
          </w:p>
        </w:tc>
      </w:tr>
      <w:tr w:rsidTr="00190CB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rPr>
                <w:rStyle w:val="SpecialBold"/>
              </w:rPr>
              <w:t>Overview of assessment requirements</w:t>
            </w:r>
          </w:p>
        </w:tc>
      </w:tr>
      <w:tr w:rsidTr="00190CB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0760E" w:rsidP="0080760E">
            <w:pPr>
              <w:pStyle w:val="BodyText"/>
            </w:pPr>
            <w:r w:rsidRPr="0080760E">
              <w:t xml:space="preserve">To achieve competency in this unit, a person must be able to demonstrate: </w:t>
            </w:r>
          </w:p>
          <w:p w:rsidR="00000000" w:rsidRPr="0080760E" w:rsidP="0080760E">
            <w:pPr>
              <w:pStyle w:val="BodyText"/>
            </w:pPr>
            <w:r w:rsidRPr="0080760E">
              <w:t>knowledge of industry and legislative requiremen</w:t>
            </w:r>
            <w:r w:rsidRPr="0080760E">
              <w:t xml:space="preserve">ts for processing payment documentation </w:t>
            </w:r>
          </w:p>
          <w:p w:rsidR="00000000" w:rsidRPr="0080760E" w:rsidP="0080760E">
            <w:pPr>
              <w:pStyle w:val="BodyText"/>
            </w:pPr>
            <w:r w:rsidRPr="0080760E">
              <w:t xml:space="preserve">knowledge of organisational policies and procedures for processing payment documentation </w:t>
            </w:r>
          </w:p>
          <w:p w:rsidR="00000000" w:rsidRPr="0080760E" w:rsidP="0080760E">
            <w:pPr>
              <w:pStyle w:val="BodyText"/>
            </w:pPr>
            <w:r w:rsidRPr="0080760E">
              <w:t>ability to enter data in organisational systems</w:t>
            </w:r>
          </w:p>
          <w:p w:rsidR="00000000" w:rsidRPr="0080760E" w:rsidP="0080760E">
            <w:pPr>
              <w:pStyle w:val="BodyText"/>
            </w:pPr>
            <w:r w:rsidRPr="0080760E">
              <w:t xml:space="preserve">ability to create payment facilities </w:t>
            </w:r>
          </w:p>
          <w:p w:rsidR="00000000" w:rsidRPr="0080760E" w:rsidP="0080760E">
            <w:pPr>
              <w:pStyle w:val="BodyText"/>
            </w:pPr>
            <w:r w:rsidRPr="0080760E">
              <w:t>ability to verify payments against docu</w:t>
            </w:r>
            <w:r w:rsidRPr="0080760E">
              <w:t xml:space="preserve">mentation </w:t>
            </w:r>
          </w:p>
          <w:p w:rsidR="00000000" w:rsidRPr="0080760E" w:rsidP="0080760E">
            <w:pPr>
              <w:pStyle w:val="BodyText"/>
            </w:pPr>
            <w:r w:rsidRPr="0080760E">
              <w:t xml:space="preserve">ability make payments </w:t>
            </w:r>
          </w:p>
          <w:p w:rsidR="00000000" w:rsidP="0080760E">
            <w:pPr>
              <w:pStyle w:val="BodyText"/>
              <w:rPr>
                <w:lang w:val="en-NZ"/>
              </w:rPr>
            </w:pPr>
            <w:r w:rsidRPr="0080760E">
              <w:t xml:space="preserve">ability to file necessary documentation      </w:t>
            </w:r>
          </w:p>
        </w:tc>
      </w:tr>
      <w:tr w:rsidTr="00190CB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rPr>
                <w:rStyle w:val="SpecialBold"/>
              </w:rPr>
              <w:t>Critical aspects of evidence</w:t>
            </w:r>
          </w:p>
        </w:tc>
      </w:tr>
      <w:tr w:rsidTr="00190C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rPr>
                <w:rStyle w:val="SpecialBold"/>
              </w:rPr>
              <w:t>Evidence required for demonstration of consistent performance</w:t>
            </w:r>
            <w:r w:rsidRPr="0080760E">
              <w:t xml:space="preserve">: </w:t>
            </w:r>
          </w:p>
        </w:tc>
        <w:tc>
          <w:tcPr>
            <w:tcW w:w="4500" w:type="dxa"/>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t>Competence in this unit must be assessed over a period of time in order to ensu</w:t>
            </w:r>
            <w:r w:rsidRPr="0080760E">
              <w:t xml:space="preserve">re consistency of performance over the Range Statement and contexts applicable to the work environment. </w:t>
            </w:r>
          </w:p>
        </w:tc>
      </w:tr>
      <w:tr w:rsidTr="00190C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rPr>
                <w:rStyle w:val="SpecialBold"/>
              </w:rPr>
              <w:t>Delivery</w:t>
            </w:r>
            <w:r w:rsidRPr="0080760E">
              <w:t>/</w:t>
            </w:r>
            <w:r w:rsidRPr="0080760E">
              <w:rPr>
                <w:rStyle w:val="SpecialBold"/>
              </w:rPr>
              <w:t>relationship to other units</w:t>
            </w:r>
            <w:r w:rsidRPr="0080760E">
              <w:t xml:space="preserve">: </w:t>
            </w:r>
          </w:p>
        </w:tc>
        <w:tc>
          <w:tcPr>
            <w:tcW w:w="4500" w:type="dxa"/>
            <w:tcBorders>
              <w:top w:val="nil"/>
              <w:left w:val="nil"/>
              <w:bottom w:val="nil"/>
              <w:right w:val="nil"/>
            </w:tcBorders>
            <w:tcMar>
              <w:top w:w="0" w:type="dxa"/>
              <w:left w:w="62" w:type="dxa"/>
              <w:bottom w:w="0" w:type="dxa"/>
              <w:right w:w="62" w:type="dxa"/>
            </w:tcMar>
          </w:tcPr>
          <w:p w:rsidR="00000000" w:rsidRPr="0080760E" w:rsidP="0080760E">
            <w:pPr>
              <w:pStyle w:val="BodyText"/>
            </w:pPr>
            <w:r w:rsidRPr="0080760E">
              <w:t>This unit may be assessed on its own or it ma</w:t>
            </w:r>
            <w:r w:rsidRPr="0080760E">
              <w:t>y be assessed with other units that cover related skills and knowledge.</w:t>
            </w:r>
          </w:p>
          <w:p w:rsidR="00000000" w:rsidP="0080760E">
            <w:pPr>
              <w:pStyle w:val="BodyText"/>
              <w:rPr>
                <w:lang w:val="en-NZ"/>
              </w:rPr>
            </w:pPr>
            <w:r w:rsidRPr="0080760E">
              <w:t xml:space="preserve">Evidence is most relevant when provided through an integrated activity, which combines the elements of competency for the unit, or a cluster of units of competency. </w:t>
            </w:r>
          </w:p>
        </w:tc>
      </w:tr>
      <w:tr w:rsidTr="00190CB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rPr>
                <w:rStyle w:val="SpecialBold"/>
              </w:rPr>
              <w:t>Assessment requir</w:t>
            </w:r>
            <w:r w:rsidRPr="0080760E">
              <w:rPr>
                <w:rStyle w:val="SpecialBold"/>
              </w:rPr>
              <w:t>ements</w:t>
            </w:r>
          </w:p>
        </w:tc>
      </w:tr>
      <w:tr w:rsidTr="00190C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rPr>
                <w:rStyle w:val="SpecialBold"/>
              </w:rPr>
              <w:t>Method of assessment</w:t>
            </w:r>
            <w:r w:rsidRPr="0080760E">
              <w:t xml:space="preserve">: </w:t>
            </w:r>
          </w:p>
        </w:tc>
        <w:tc>
          <w:tcPr>
            <w:tcW w:w="4500" w:type="dxa"/>
            <w:tcBorders>
              <w:top w:val="nil"/>
              <w:left w:val="nil"/>
              <w:bottom w:val="nil"/>
              <w:right w:val="nil"/>
            </w:tcBorders>
            <w:tcMar>
              <w:top w:w="0" w:type="dxa"/>
              <w:left w:w="62" w:type="dxa"/>
              <w:bottom w:w="0" w:type="dxa"/>
              <w:right w:w="62" w:type="dxa"/>
            </w:tcMar>
          </w:tcPr>
          <w:p w:rsidR="00000000" w:rsidRPr="0080760E" w:rsidP="0080760E">
            <w:pPr>
              <w:pStyle w:val="BodyText"/>
            </w:pPr>
            <w:r w:rsidRPr="0080760E">
              <w:t>For valid and reliable assessment of this unit, evidence should be gathered through a range of methods to indicate consistent performance.</w:t>
            </w:r>
          </w:p>
          <w:p w:rsidR="00000000" w:rsidP="0080760E">
            <w:pPr>
              <w:pStyle w:val="BodyText"/>
              <w:rPr>
                <w:lang w:val="en-NZ"/>
              </w:rPr>
            </w:pPr>
            <w:r w:rsidRPr="0080760E">
              <w:t>Assessment of this unit of competence will usually include observation of processes a</w:t>
            </w:r>
            <w:r w:rsidRPr="0080760E">
              <w:t xml:space="preserve">nd procedures, oral and/or written questioning on underpinning knowledge and skills and other methods as required. </w:t>
            </w:r>
          </w:p>
        </w:tc>
      </w:tr>
      <w:tr w:rsidTr="00190C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rPr>
                <w:rStyle w:val="SpecialBold"/>
              </w:rPr>
              <w:t>Context of assessment</w:t>
            </w:r>
            <w:r w:rsidRPr="0080760E">
              <w:t xml:space="preserve">: </w:t>
            </w:r>
          </w:p>
        </w:tc>
        <w:tc>
          <w:tcPr>
            <w:tcW w:w="4500" w:type="dxa"/>
            <w:tcBorders>
              <w:top w:val="nil"/>
              <w:left w:val="nil"/>
              <w:bottom w:val="nil"/>
              <w:right w:val="nil"/>
            </w:tcBorders>
            <w:tcMar>
              <w:top w:w="0" w:type="dxa"/>
              <w:left w:w="62" w:type="dxa"/>
              <w:bottom w:w="0" w:type="dxa"/>
              <w:right w:w="62" w:type="dxa"/>
            </w:tcMar>
          </w:tcPr>
          <w:p w:rsidR="00000000" w:rsidRPr="0080760E" w:rsidP="0080760E">
            <w:pPr>
              <w:pStyle w:val="BodyText"/>
            </w:pPr>
            <w:r w:rsidRPr="0080760E">
              <w:t>Assessment of performance requirements in this unit should be undertaken within the financial services industry con</w:t>
            </w:r>
            <w:r w:rsidRPr="0080760E">
              <w:t xml:space="preserve">text and should cover aspects of personal/financial responsibility and accountability. </w:t>
            </w:r>
          </w:p>
          <w:p w:rsidR="00000000" w:rsidP="0080760E">
            <w:pPr>
              <w:pStyle w:val="BodyText"/>
              <w:rPr>
                <w:lang w:val="en-NZ"/>
              </w:rPr>
            </w:pPr>
            <w:r w:rsidRPr="0080760E">
              <w:t>Aspects of competency, including the attainment of relevant knowledge and skills, may be assessed in a relevant workplace, a closely simulated work environment, or othe</w:t>
            </w:r>
            <w:r w:rsidRPr="0080760E">
              <w:t xml:space="preserve">r appropriate means that clearly meet industry competency requirements. </w:t>
            </w:r>
          </w:p>
        </w:tc>
      </w:tr>
      <w:tr w:rsidTr="00190C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rPr>
                <w:rStyle w:val="SpecialBold"/>
              </w:rPr>
              <w:t>Resources required for assessment</w:t>
            </w:r>
            <w:r w:rsidRPr="0080760E">
              <w:t xml:space="preserve">: </w:t>
            </w:r>
          </w:p>
        </w:tc>
        <w:tc>
          <w:tcPr>
            <w:tcW w:w="4500" w:type="dxa"/>
            <w:tcBorders>
              <w:top w:val="nil"/>
              <w:left w:val="nil"/>
              <w:bottom w:val="nil"/>
              <w:right w:val="nil"/>
            </w:tcBorders>
            <w:tcMar>
              <w:top w:w="0" w:type="dxa"/>
              <w:left w:w="62" w:type="dxa"/>
              <w:bottom w:w="0" w:type="dxa"/>
              <w:right w:w="62" w:type="dxa"/>
            </w:tcMar>
          </w:tcPr>
          <w:p w:rsidR="00000000" w:rsidRPr="0080760E" w:rsidP="0080760E">
            <w:pPr>
              <w:pStyle w:val="BodyText"/>
            </w:pPr>
            <w:r w:rsidRPr="0080760E">
              <w:t xml:space="preserve">Unless otherwise specified, there are no significant resource implications for assessment of this unit, apart from access to a relevant workplace </w:t>
            </w:r>
            <w:r w:rsidRPr="0080760E">
              <w:t xml:space="preserve">or closely simulated office environment and the use of a range of office equipment, technology and consumables. These may include standard commercial computer hardware, software, telephones, facsimiles, and other relevant office equipment. </w:t>
            </w:r>
          </w:p>
        </w:tc>
      </w:tr>
    </w:tbl>
    <w:p w:rsidR="00000000" w:rsidRPr="0080760E" w:rsidP="0080760E">
      <w:pPr>
        <w:pStyle w:val="BodyText"/>
      </w:pPr>
    </w:p>
    <w:p w:rsidR="00000000" w:rsidRPr="0080760E" w:rsidP="0080760E">
      <w:pPr>
        <w:pStyle w:val="AllowPageBreak"/>
      </w:pPr>
    </w:p>
    <w:p w:rsidR="00000000" w:rsidRPr="0080760E" w:rsidP="0080760E">
      <w:pPr>
        <w:pStyle w:val="Heading1"/>
      </w:pPr>
      <w:bookmarkStart w:id="11" w:name="O_318237"/>
      <w:bookmarkEnd w:id="11"/>
      <w:r w:rsidRPr="0080760E">
        <w:t>Range Statement</w:t>
      </w:r>
    </w:p>
    <w:tbl>
      <w:tblPr>
        <w:tblW w:w="0" w:type="auto"/>
        <w:tblLayout w:type="fixed"/>
        <w:tblCellMar>
          <w:left w:w="62" w:type="dxa"/>
          <w:right w:w="62" w:type="dxa"/>
        </w:tblCellMar>
        <w:tblLook w:val="0000"/>
      </w:tblPr>
      <w:tblGrid>
        <w:gridCol w:w="4500"/>
        <w:gridCol w:w="4500"/>
      </w:tblGrid>
      <w:tr w:rsidTr="00190CB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0760E">
            <w:pPr>
              <w:pStyle w:val="BodyText"/>
              <w:rPr>
                <w:lang w:val="en-NZ"/>
              </w:rPr>
            </w:pPr>
          </w:p>
        </w:tc>
      </w:tr>
      <w:tr w:rsidTr="00190CB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80760E" w:rsidP="0080760E">
            <w:pPr>
              <w:pStyle w:val="BodyText"/>
            </w:pPr>
            <w:r w:rsidRPr="0080760E">
              <w:t>The Range Statement relates to the unit of competency as a whole. It allows for different work environments and situations that will affect performance.</w:t>
            </w:r>
          </w:p>
          <w:p w:rsidR="00000000" w:rsidP="0080760E">
            <w:pPr>
              <w:pStyle w:val="BodyText"/>
              <w:rPr>
                <w:lang w:val="en-NZ"/>
              </w:rPr>
            </w:pPr>
            <w:r w:rsidRPr="0080760E">
              <w:t>The following variables may be present with training and assessment dependin</w:t>
            </w:r>
            <w:r w:rsidRPr="0080760E">
              <w:t xml:space="preserve">g on the work situation, needs of the candidate, accessibility of the item, and local industry and regional contexts. If </w:t>
            </w:r>
            <w:r w:rsidRPr="0080760E">
              <w:rPr>
                <w:rStyle w:val="SpecialBold"/>
              </w:rPr>
              <w:t>bold italicised</w:t>
            </w:r>
            <w:r w:rsidRPr="0080760E">
              <w:t xml:space="preserve"> text is shown in Performance Criteria, details of the text are provided in the Range Statement. </w:t>
            </w:r>
          </w:p>
        </w:tc>
      </w:tr>
      <w:tr w:rsidTr="00190C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rPr>
                <w:rStyle w:val="SpecialBold"/>
              </w:rPr>
              <w:t>Company policy and p</w:t>
            </w:r>
            <w:r w:rsidRPr="0080760E">
              <w:rPr>
                <w:rStyle w:val="SpecialBold"/>
              </w:rPr>
              <w:t>rocedures</w:t>
            </w:r>
            <w:r w:rsidRPr="0080760E">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80760E" w:rsidP="0080760E">
            <w:pPr>
              <w:pStyle w:val="BodyText"/>
            </w:pPr>
            <w:r w:rsidRPr="0080760E">
              <w:t>operations manuals</w:t>
            </w:r>
          </w:p>
          <w:p w:rsidR="00000000" w:rsidRPr="0080760E" w:rsidP="0080760E">
            <w:pPr>
              <w:pStyle w:val="BodyText"/>
            </w:pPr>
            <w:r w:rsidRPr="0080760E">
              <w:t>internal control guidelines</w:t>
            </w:r>
          </w:p>
          <w:p w:rsidR="00000000" w:rsidP="0080760E">
            <w:pPr>
              <w:pStyle w:val="BodyText"/>
              <w:rPr>
                <w:lang w:val="en-NZ"/>
              </w:rPr>
            </w:pPr>
            <w:r w:rsidRPr="0080760E">
              <w:t xml:space="preserve">computer system documentation  </w:t>
            </w:r>
          </w:p>
        </w:tc>
      </w:tr>
      <w:tr w:rsidTr="00190C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rPr>
                <w:rStyle w:val="SpecialBold"/>
              </w:rPr>
              <w:t>Related systems</w:t>
            </w:r>
            <w:r w:rsidRPr="0080760E">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80760E" w:rsidP="0080760E">
            <w:pPr>
              <w:pStyle w:val="BodyText"/>
            </w:pPr>
            <w:r w:rsidRPr="0080760E">
              <w:t>assets system</w:t>
            </w:r>
          </w:p>
          <w:p w:rsidR="00000000" w:rsidRPr="0080760E" w:rsidP="0080760E">
            <w:pPr>
              <w:pStyle w:val="BodyText"/>
            </w:pPr>
            <w:r w:rsidRPr="0080760E">
              <w:t>commissions and fees</w:t>
            </w:r>
          </w:p>
          <w:p w:rsidR="00000000" w:rsidP="0080760E">
            <w:pPr>
              <w:pStyle w:val="BodyText"/>
              <w:rPr>
                <w:lang w:val="en-NZ"/>
              </w:rPr>
            </w:pPr>
            <w:r w:rsidRPr="0080760E">
              <w:t xml:space="preserve">receivables </w:t>
            </w:r>
          </w:p>
        </w:tc>
      </w:tr>
      <w:tr w:rsidTr="00190C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80760E" w:rsidP="0080760E">
            <w:pPr>
              <w:pStyle w:val="BodyText"/>
            </w:pPr>
            <w:r w:rsidRPr="0080760E">
              <w:t>reinsurance</w:t>
            </w:r>
          </w:p>
          <w:p w:rsidR="00000000" w:rsidRPr="0080760E" w:rsidP="0080760E">
            <w:pPr>
              <w:pStyle w:val="BodyText"/>
            </w:pPr>
            <w:r w:rsidRPr="0080760E">
              <w:t>holding/suspense accounts</w:t>
            </w:r>
          </w:p>
          <w:p w:rsidR="00000000" w:rsidRPr="0080760E" w:rsidP="0080760E">
            <w:pPr>
              <w:pStyle w:val="BodyText"/>
            </w:pPr>
            <w:r w:rsidRPr="0080760E">
              <w:t>tax related</w:t>
            </w:r>
          </w:p>
          <w:p w:rsidR="00000000" w:rsidP="0080760E">
            <w:pPr>
              <w:pStyle w:val="BodyText"/>
              <w:rPr>
                <w:lang w:val="en-NZ"/>
              </w:rPr>
            </w:pPr>
            <w:r w:rsidRPr="0080760E">
              <w:t xml:space="preserve">claims </w:t>
            </w:r>
          </w:p>
        </w:tc>
      </w:tr>
      <w:tr w:rsidTr="00190C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rPr>
                <w:rStyle w:val="SpecialBold"/>
              </w:rPr>
              <w:t>Systems controls</w:t>
            </w:r>
            <w:r w:rsidRPr="0080760E">
              <w:t>:</w:t>
            </w:r>
          </w:p>
        </w:tc>
        <w:tc>
          <w:tcPr>
            <w:tcW w:w="4500" w:type="dxa"/>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t xml:space="preserve">protect against the corruption of payee name, address and/or bank account details </w:t>
            </w:r>
          </w:p>
        </w:tc>
      </w:tr>
      <w:tr w:rsidTr="00190C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rPr>
                <w:rStyle w:val="SpecialBold"/>
              </w:rPr>
              <w:t>Payment documentation</w:t>
            </w:r>
            <w:r w:rsidRPr="0080760E">
              <w:t>/</w:t>
            </w:r>
            <w:r w:rsidRPr="0080760E">
              <w:rPr>
                <w:rStyle w:val="SpecialBold"/>
              </w:rPr>
              <w:t>facilities</w:t>
            </w:r>
            <w:r w:rsidRPr="0080760E">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80760E" w:rsidP="0080760E">
            <w:pPr>
              <w:pStyle w:val="BodyText"/>
            </w:pPr>
            <w:r w:rsidRPr="0080760E">
              <w:t>invoices</w:t>
            </w:r>
          </w:p>
          <w:p w:rsidR="00000000" w:rsidRPr="0080760E" w:rsidP="0080760E">
            <w:pPr>
              <w:pStyle w:val="BodyText"/>
            </w:pPr>
            <w:r w:rsidRPr="0080760E">
              <w:t>confirmation of receipt</w:t>
            </w:r>
          </w:p>
          <w:p w:rsidR="00000000" w:rsidRPr="0080760E" w:rsidP="0080760E">
            <w:pPr>
              <w:pStyle w:val="BodyText"/>
            </w:pPr>
            <w:r w:rsidRPr="0080760E">
              <w:t>stop payments</w:t>
            </w:r>
          </w:p>
          <w:p w:rsidR="00000000" w:rsidRPr="0080760E" w:rsidP="0080760E">
            <w:pPr>
              <w:pStyle w:val="BodyText"/>
            </w:pPr>
            <w:r w:rsidRPr="0080760E">
              <w:t>payment requests</w:t>
            </w:r>
          </w:p>
          <w:p w:rsidR="00000000" w:rsidRPr="0080760E" w:rsidP="0080760E">
            <w:pPr>
              <w:pStyle w:val="BodyText"/>
            </w:pPr>
            <w:r w:rsidRPr="0080760E">
              <w:t>delivery dockets</w:t>
            </w:r>
          </w:p>
          <w:p w:rsidR="00000000" w:rsidRPr="0080760E" w:rsidP="0080760E">
            <w:pPr>
              <w:pStyle w:val="BodyText"/>
            </w:pPr>
            <w:r w:rsidRPr="0080760E">
              <w:t>cheque cancellations</w:t>
            </w:r>
          </w:p>
          <w:p w:rsidR="00000000" w:rsidRPr="0080760E" w:rsidP="0080760E">
            <w:pPr>
              <w:pStyle w:val="BodyText"/>
            </w:pPr>
            <w:r w:rsidRPr="0080760E">
              <w:t xml:space="preserve">batch </w:t>
            </w:r>
            <w:r w:rsidRPr="0080760E">
              <w:t>records</w:t>
            </w:r>
          </w:p>
          <w:p w:rsidR="00000000" w:rsidRPr="0080760E" w:rsidP="0080760E">
            <w:pPr>
              <w:pStyle w:val="BodyText"/>
            </w:pPr>
            <w:r w:rsidRPr="0080760E">
              <w:t>periodic approvals</w:t>
            </w:r>
          </w:p>
          <w:p w:rsidR="00000000" w:rsidRPr="0080760E" w:rsidP="0080760E">
            <w:pPr>
              <w:pStyle w:val="BodyText"/>
            </w:pPr>
            <w:r w:rsidRPr="0080760E">
              <w:t>authorisation slips</w:t>
            </w:r>
          </w:p>
          <w:p w:rsidR="00000000" w:rsidP="0080760E">
            <w:pPr>
              <w:pStyle w:val="BodyText"/>
              <w:rPr>
                <w:lang w:val="en-NZ"/>
              </w:rPr>
            </w:pPr>
            <w:r w:rsidRPr="0080760E">
              <w:t xml:space="preserve">signature verifications </w:t>
            </w:r>
          </w:p>
        </w:tc>
      </w:tr>
      <w:tr w:rsidTr="00190CB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0760E">
            <w:pPr>
              <w:pStyle w:val="BodyText"/>
              <w:rPr>
                <w:lang w:val="en-NZ"/>
              </w:rPr>
            </w:pPr>
            <w:r w:rsidRPr="0080760E">
              <w:rPr>
                <w:rStyle w:val="SpecialBold"/>
              </w:rPr>
              <w:t>Industry and legislative requirements</w:t>
            </w:r>
            <w:r w:rsidRPr="0080760E">
              <w:t xml:space="preserve"> may cover:</w:t>
            </w:r>
          </w:p>
        </w:tc>
        <w:tc>
          <w:tcPr>
            <w:tcW w:w="4500" w:type="dxa"/>
            <w:tcBorders>
              <w:top w:val="nil"/>
              <w:left w:val="nil"/>
              <w:bottom w:val="nil"/>
              <w:right w:val="nil"/>
            </w:tcBorders>
            <w:tcMar>
              <w:top w:w="0" w:type="dxa"/>
              <w:left w:w="62" w:type="dxa"/>
              <w:bottom w:w="0" w:type="dxa"/>
              <w:right w:w="62" w:type="dxa"/>
            </w:tcMar>
          </w:tcPr>
          <w:p w:rsidR="00000000" w:rsidRPr="0080760E" w:rsidP="0080760E">
            <w:pPr>
              <w:pStyle w:val="BodyText"/>
            </w:pPr>
            <w:r w:rsidRPr="0080760E">
              <w:t xml:space="preserve">Australian Accounting Standards </w:t>
            </w:r>
          </w:p>
          <w:p w:rsidR="00000000" w:rsidRPr="0080760E" w:rsidP="0080760E">
            <w:pPr>
              <w:pStyle w:val="BodyText"/>
            </w:pPr>
            <w:r w:rsidRPr="0080760E">
              <w:t>relevant Insurance Act</w:t>
            </w:r>
          </w:p>
          <w:p w:rsidR="00000000" w:rsidRPr="0080760E" w:rsidP="0080760E">
            <w:pPr>
              <w:pStyle w:val="BodyText"/>
            </w:pPr>
            <w:r w:rsidRPr="0080760E">
              <w:t>industry codes of practice</w:t>
            </w:r>
          </w:p>
          <w:p w:rsidR="00000000" w:rsidRPr="0080760E" w:rsidP="0080760E">
            <w:pPr>
              <w:pStyle w:val="BodyText"/>
            </w:pPr>
            <w:r w:rsidRPr="0080760E">
              <w:t>Consumer Credit legislation</w:t>
            </w:r>
          </w:p>
          <w:p w:rsidR="00000000" w:rsidRPr="0080760E" w:rsidP="0080760E">
            <w:pPr>
              <w:pStyle w:val="BodyText"/>
            </w:pPr>
            <w:r w:rsidRPr="0080760E">
              <w:t>Privacy Act</w:t>
            </w:r>
          </w:p>
          <w:p w:rsidR="00000000" w:rsidRPr="0080760E" w:rsidP="0080760E">
            <w:pPr>
              <w:pStyle w:val="BodyText"/>
            </w:pPr>
            <w:r w:rsidRPr="0080760E">
              <w:t>Taxation Act</w:t>
            </w:r>
          </w:p>
          <w:p w:rsidR="00000000" w:rsidRPr="0080760E" w:rsidP="0080760E">
            <w:pPr>
              <w:pStyle w:val="BodyText"/>
            </w:pPr>
            <w:r w:rsidRPr="0080760E">
              <w:t>Australian Securities and Investments Commission (ASIC) Code</w:t>
            </w:r>
          </w:p>
          <w:p w:rsidR="00000000" w:rsidRPr="0080760E" w:rsidP="0080760E">
            <w:pPr>
              <w:pStyle w:val="BodyText"/>
            </w:pPr>
            <w:r w:rsidRPr="0080760E">
              <w:t>Trade Practices Act</w:t>
            </w:r>
          </w:p>
          <w:p w:rsidR="00000000" w:rsidRPr="0080760E" w:rsidP="0080760E">
            <w:pPr>
              <w:pStyle w:val="BodyText"/>
            </w:pPr>
            <w:r w:rsidRPr="0080760E">
              <w:t>Stamp Duties Act</w:t>
            </w:r>
          </w:p>
          <w:p w:rsidR="00000000" w:rsidRPr="0080760E" w:rsidP="0080760E">
            <w:pPr>
              <w:pStyle w:val="BodyText"/>
            </w:pPr>
            <w:r w:rsidRPr="0080760E">
              <w:t xml:space="preserve">occupational health and safety (OH&amp;S) acts and guidelines </w:t>
            </w:r>
          </w:p>
        </w:tc>
      </w:tr>
    </w:tbl>
    <w:p w:rsidR="00000000" w:rsidRPr="0080760E" w:rsidP="0080760E">
      <w:pPr>
        <w:pStyle w:val="BodyText"/>
      </w:pPr>
    </w:p>
    <w:p w:rsidR="00000000" w:rsidRPr="0080760E" w:rsidP="0080760E">
      <w:pPr>
        <w:pStyle w:val="AllowPageBreak"/>
      </w:pPr>
    </w:p>
    <w:p w:rsidR="00000000" w:rsidRPr="0080760E" w:rsidP="0080760E">
      <w:pPr>
        <w:pStyle w:val="Heading1"/>
      </w:pPr>
      <w:bookmarkStart w:id="12" w:name="O_318238"/>
      <w:bookmarkEnd w:id="12"/>
      <w:r w:rsidRPr="0080760E">
        <w:t>Unit Sector(s)</w:t>
      </w:r>
    </w:p>
    <w:p w:rsidR="00000000" w:rsidRPr="0080760E" w:rsidP="0080760E">
      <w:pPr>
        <w:pStyle w:val="BodyText"/>
      </w:pPr>
      <w:r w:rsidRPr="0080760E">
        <w:t>Not applicable.</w:t>
      </w:r>
    </w:p>
    <w:p w:rsidR="00000000" w:rsidRPr="0080760E" w:rsidP="0080760E">
      <w:pPr>
        <w:pStyle w:val="AllowPageBreak"/>
      </w:pPr>
    </w:p>
    <w:p w:rsidR="00000000" w:rsidRPr="0080760E" w:rsidP="0080760E">
      <w:pPr>
        <w:pStyle w:val="Heading1"/>
      </w:pPr>
      <w:bookmarkStart w:id="13" w:name="O_318239"/>
      <w:bookmarkEnd w:id="13"/>
      <w:r w:rsidRPr="0080760E">
        <w:t>Relationship to oth</w:t>
      </w:r>
      <w:r w:rsidRPr="0080760E">
        <w:t>er units</w:t>
      </w:r>
    </w:p>
    <w:p w:rsidR="00000000" w:rsidRPr="0080760E" w:rsidP="0080760E">
      <w:pPr>
        <w:pStyle w:val="BodyText"/>
      </w:pPr>
      <w:r w:rsidRPr="0080760E">
        <w:t>This unit replaces FNSICACC305A.</w:t>
      </w:r>
    </w:p>
    <w:p w:rsidR="00000000" w:rsidRPr="0080760E" w:rsidP="0080760E">
      <w:pPr>
        <w:pStyle w:val="BodyText"/>
      </w:pPr>
      <w:r w:rsidRPr="0080760E">
        <w:t>This unit replaces FNSICACC305A.</w:t>
      </w:r>
    </w:p>
    <w:p w:rsidR="00000000" w:rsidRPr="0080760E" w:rsidP="0080760E"/>
    <w:sectPr w:rsidSect="008076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6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0CB4" w:rsidP="00190C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6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CB4" w:rsidP="008076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90CB4" w:rsidP="008076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90CB4" w:rsidP="008076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6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0CB4" w:rsidP="00190C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6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CB4" w:rsidP="0080760E">
    <w:pPr>
      <w:pStyle w:val="Header"/>
      <w:framePr w:wrap="around"/>
    </w:pPr>
    <w:r>
      <w:fldChar w:fldCharType="begin"/>
    </w:r>
    <w:r>
      <w:instrText xml:space="preserve"> TITLE   \* MERGEFORMAT </w:instrText>
    </w:r>
    <w:r>
      <w:fldChar w:fldCharType="separate"/>
    </w:r>
    <w:r>
      <w:t>FNSICACC305B Process payment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90CB4" w:rsidP="008076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6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760E"/>
    <w:pPr>
      <w:spacing w:before="360" w:after="60"/>
      <w:outlineLvl w:val="0"/>
    </w:pPr>
    <w:rPr>
      <w:sz w:val="32"/>
    </w:rPr>
  </w:style>
  <w:style w:type="paragraph" w:styleId="Heading2">
    <w:name w:val="heading 2"/>
    <w:basedOn w:val="HeadingBase"/>
    <w:next w:val="BodyText"/>
    <w:link w:val="Heading2Char"/>
    <w:qFormat/>
    <w:rsid w:val="0080760E"/>
    <w:pPr>
      <w:keepLines/>
      <w:spacing w:before="240" w:after="120"/>
      <w:outlineLvl w:val="1"/>
    </w:pPr>
    <w:rPr>
      <w:sz w:val="28"/>
      <w:szCs w:val="40"/>
    </w:rPr>
  </w:style>
  <w:style w:type="paragraph" w:styleId="Heading3">
    <w:name w:val="heading 3"/>
    <w:basedOn w:val="HeadingBase"/>
    <w:next w:val="BodyText"/>
    <w:link w:val="Heading3Char"/>
    <w:qFormat/>
    <w:rsid w:val="0080760E"/>
    <w:pPr>
      <w:spacing w:before="180" w:after="120"/>
      <w:outlineLvl w:val="2"/>
    </w:pPr>
    <w:rPr>
      <w:spacing w:val="-10"/>
      <w:kern w:val="32"/>
    </w:rPr>
  </w:style>
  <w:style w:type="paragraph" w:styleId="Heading4">
    <w:name w:val="heading 4"/>
    <w:basedOn w:val="HeadingBase"/>
    <w:next w:val="BodyText"/>
    <w:link w:val="Heading4Char"/>
    <w:qFormat/>
    <w:rsid w:val="0080760E"/>
    <w:pPr>
      <w:spacing w:before="160" w:after="120"/>
      <w:outlineLvl w:val="3"/>
    </w:pPr>
    <w:rPr>
      <w:sz w:val="22"/>
    </w:rPr>
  </w:style>
  <w:style w:type="paragraph" w:styleId="Heading5">
    <w:name w:val="heading 5"/>
    <w:basedOn w:val="HeadingBase"/>
    <w:next w:val="Normal"/>
    <w:link w:val="Heading5Char"/>
    <w:qFormat/>
    <w:rsid w:val="0080760E"/>
    <w:pPr>
      <w:spacing w:before="80"/>
      <w:outlineLvl w:val="4"/>
    </w:pPr>
    <w:rPr>
      <w:color w:val="918585"/>
      <w:sz w:val="20"/>
    </w:rPr>
  </w:style>
  <w:style w:type="paragraph" w:styleId="Heading6">
    <w:name w:val="heading 6"/>
    <w:basedOn w:val="HeadingBase"/>
    <w:next w:val="Normal"/>
    <w:link w:val="Heading6Char"/>
    <w:qFormat/>
    <w:rsid w:val="0080760E"/>
    <w:pPr>
      <w:spacing w:before="60"/>
      <w:outlineLvl w:val="5"/>
    </w:pPr>
    <w:rPr>
      <w:color w:val="918585"/>
      <w:sz w:val="20"/>
    </w:rPr>
  </w:style>
  <w:style w:type="paragraph" w:styleId="Heading7">
    <w:name w:val="heading 7"/>
    <w:basedOn w:val="Normal"/>
    <w:next w:val="Normal"/>
    <w:link w:val="Heading7Char"/>
    <w:qFormat/>
    <w:rsid w:val="0080760E"/>
    <w:pPr>
      <w:ind w:left="720"/>
      <w:outlineLvl w:val="6"/>
    </w:pPr>
    <w:rPr>
      <w:i/>
    </w:rPr>
  </w:style>
  <w:style w:type="paragraph" w:styleId="Heading8">
    <w:name w:val="heading 8"/>
    <w:basedOn w:val="Normal"/>
    <w:next w:val="Normal"/>
    <w:link w:val="Heading8Char"/>
    <w:qFormat/>
    <w:rsid w:val="0080760E"/>
    <w:pPr>
      <w:ind w:left="720"/>
      <w:outlineLvl w:val="7"/>
    </w:pPr>
    <w:rPr>
      <w:i/>
    </w:rPr>
  </w:style>
  <w:style w:type="paragraph" w:styleId="Heading9">
    <w:name w:val="heading 9"/>
    <w:basedOn w:val="Normal"/>
    <w:next w:val="Normal"/>
    <w:link w:val="Heading9Char"/>
    <w:qFormat/>
    <w:rsid w:val="0080760E"/>
    <w:pPr>
      <w:ind w:left="720"/>
      <w:outlineLvl w:val="8"/>
    </w:pPr>
    <w:rPr>
      <w:i/>
    </w:rPr>
  </w:style>
  <w:style w:type="character" w:default="1" w:styleId="DefaultParagraphFont">
    <w:name w:val="Default Paragraph Font"/>
    <w:uiPriority w:val="1"/>
    <w:unhideWhenUsed/>
    <w:rsid w:val="008076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760E"/>
  </w:style>
  <w:style w:type="character" w:customStyle="1" w:styleId="Heading1Char">
    <w:name w:val="Heading 1 Char"/>
    <w:basedOn w:val="DefaultParagraphFont"/>
    <w:link w:val="Heading1"/>
    <w:rsid w:val="0080760E"/>
    <w:rPr>
      <w:rFonts w:ascii="Times New Roman" w:eastAsia="Times New Roman" w:hAnsi="Times New Roman" w:cs="Times New Roman"/>
      <w:b/>
      <w:sz w:val="32"/>
      <w:szCs w:val="20"/>
      <w:lang w:eastAsia="en-US"/>
    </w:rPr>
  </w:style>
  <w:style w:type="paragraph" w:styleId="BodyText">
    <w:name w:val="Body Text"/>
    <w:basedOn w:val="Normal"/>
    <w:link w:val="BodyTextChar"/>
    <w:rsid w:val="008076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760E"/>
    <w:rPr>
      <w:rFonts w:ascii="Times New Roman" w:eastAsia="Times New Roman" w:hAnsi="Times New Roman" w:cs="Times New Roman"/>
      <w:sz w:val="24"/>
      <w:lang w:val="en-US" w:eastAsia="en-US"/>
    </w:rPr>
  </w:style>
  <w:style w:type="paragraph" w:styleId="Footer">
    <w:name w:val="footer"/>
    <w:basedOn w:val="Normal"/>
    <w:link w:val="FooterChar"/>
    <w:rsid w:val="008076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760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80760E"/>
    <w:rPr>
      <w:b/>
      <w:spacing w:val="0"/>
    </w:rPr>
  </w:style>
  <w:style w:type="paragraph" w:styleId="Header">
    <w:name w:val="header"/>
    <w:basedOn w:val="Normal"/>
    <w:link w:val="HeaderChar"/>
    <w:rsid w:val="008076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760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0760E"/>
    <w:pPr>
      <w:spacing w:before="240" w:after="120"/>
      <w:outlineLvl w:val="0"/>
    </w:pPr>
    <w:rPr>
      <w:rFonts w:ascii="Times New Roman" w:hAnsi="Times New Roman"/>
      <w:b/>
      <w:sz w:val="28"/>
    </w:rPr>
  </w:style>
  <w:style w:type="paragraph" w:customStyle="1" w:styleId="AllowPageBreak">
    <w:name w:val="AllowPageBreak"/>
    <w:rsid w:val="008076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76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76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76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76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76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76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76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760E"/>
    <w:rPr>
      <w:rFonts w:ascii="Courier New" w:eastAsia="Times New Roman" w:hAnsi="Courier New" w:cs="Times New Roman"/>
      <w:i/>
      <w:szCs w:val="20"/>
      <w:lang w:val="en-US" w:eastAsia="en-US"/>
    </w:rPr>
  </w:style>
  <w:style w:type="paragraph" w:customStyle="1" w:styleId="HeadingBase">
    <w:name w:val="Heading Base"/>
    <w:rsid w:val="008076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760E"/>
    <w:pPr>
      <w:tabs>
        <w:tab w:val="right" w:leader="dot" w:pos="9072"/>
      </w:tabs>
      <w:ind w:left="567"/>
    </w:pPr>
    <w:rPr>
      <w:szCs w:val="22"/>
    </w:rPr>
  </w:style>
  <w:style w:type="paragraph" w:customStyle="1" w:styleId="TOCBase">
    <w:name w:val="TOC Base"/>
    <w:rsid w:val="008076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760E"/>
    <w:pPr>
      <w:tabs>
        <w:tab w:val="right" w:leader="dot" w:pos="9072"/>
      </w:tabs>
      <w:spacing w:before="40" w:after="40"/>
      <w:ind w:left="284"/>
    </w:pPr>
    <w:rPr>
      <w:rFonts w:ascii="Times New Roman" w:hAnsi="Times New Roman"/>
    </w:rPr>
  </w:style>
  <w:style w:type="paragraph" w:styleId="TOC1">
    <w:name w:val="toc 1"/>
    <w:basedOn w:val="TOCBase"/>
    <w:next w:val="Normal"/>
    <w:rsid w:val="008076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760E"/>
    <w:pPr>
      <w:spacing w:before="5040"/>
      <w:jc w:val="center"/>
    </w:pPr>
    <w:rPr>
      <w:sz w:val="48"/>
      <w:szCs w:val="72"/>
      <w:lang w:val="en-US"/>
    </w:rPr>
  </w:style>
  <w:style w:type="character" w:customStyle="1" w:styleId="TitleChar">
    <w:name w:val="Title Char"/>
    <w:basedOn w:val="DefaultParagraphFont"/>
    <w:link w:val="Title"/>
    <w:rsid w:val="008076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760E"/>
    <w:pPr>
      <w:tabs>
        <w:tab w:val="left" w:pos="3600"/>
        <w:tab w:val="left" w:pos="3958"/>
      </w:tabs>
    </w:pPr>
  </w:style>
  <w:style w:type="paragraph" w:styleId="List">
    <w:name w:val="List"/>
    <w:basedOn w:val="BodyText"/>
    <w:next w:val="BodyText"/>
    <w:rsid w:val="0080760E"/>
    <w:pPr>
      <w:tabs>
        <w:tab w:val="left" w:pos="340"/>
      </w:tabs>
      <w:spacing w:before="60" w:after="60"/>
      <w:ind w:left="340" w:hanging="340"/>
    </w:pPr>
  </w:style>
  <w:style w:type="paragraph" w:styleId="ListBullet">
    <w:name w:val="List Bullet"/>
    <w:basedOn w:val="List"/>
    <w:rsid w:val="0080760E"/>
    <w:pPr>
      <w:numPr>
        <w:numId w:val="11"/>
      </w:numPr>
      <w:tabs>
        <w:tab w:val="clear" w:pos="340"/>
      </w:tabs>
      <w:spacing w:before="40" w:after="40"/>
    </w:pPr>
  </w:style>
  <w:style w:type="paragraph" w:customStyle="1" w:styleId="Note">
    <w:name w:val="Note"/>
    <w:basedOn w:val="BodyText"/>
    <w:rsid w:val="008076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760E"/>
    <w:pPr>
      <w:framePr w:wrap="auto" w:hAnchor="text" w:y="6049"/>
    </w:pPr>
    <w:rPr>
      <w:color w:val="000000"/>
      <w:sz w:val="40"/>
    </w:rPr>
  </w:style>
  <w:style w:type="paragraph" w:customStyle="1" w:styleId="TOCTitle">
    <w:name w:val="TOCTitle"/>
    <w:basedOn w:val="Heading1"/>
    <w:rsid w:val="0080760E"/>
    <w:pPr>
      <w:spacing w:after="240"/>
      <w:jc w:val="center"/>
      <w:outlineLvl w:val="9"/>
    </w:pPr>
    <w:rPr>
      <w:caps/>
    </w:rPr>
  </w:style>
  <w:style w:type="paragraph" w:customStyle="1" w:styleId="Version">
    <w:name w:val="Version"/>
    <w:rsid w:val="008076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760E"/>
    <w:pPr>
      <w:numPr>
        <w:numId w:val="12"/>
      </w:numPr>
      <w:tabs>
        <w:tab w:val="clear" w:pos="680"/>
      </w:tabs>
    </w:pPr>
  </w:style>
  <w:style w:type="paragraph" w:styleId="Index1">
    <w:name w:val="index 1"/>
    <w:basedOn w:val="Normal"/>
    <w:next w:val="Normal"/>
    <w:semiHidden/>
    <w:rsid w:val="0080760E"/>
    <w:pPr>
      <w:keepNext w:val="0"/>
      <w:tabs>
        <w:tab w:val="right" w:pos="4176"/>
      </w:tabs>
      <w:ind w:left="198" w:hanging="198"/>
    </w:pPr>
    <w:rPr>
      <w:rFonts w:ascii="Garamond" w:hAnsi="Garamond"/>
    </w:rPr>
  </w:style>
  <w:style w:type="paragraph" w:styleId="IndexHeading">
    <w:name w:val="index heading"/>
    <w:basedOn w:val="Normal"/>
    <w:next w:val="Index1"/>
    <w:semiHidden/>
    <w:rsid w:val="0080760E"/>
    <w:pPr>
      <w:spacing w:before="120" w:after="120"/>
    </w:pPr>
    <w:rPr>
      <w:rFonts w:ascii="Arial" w:hAnsi="Arial"/>
      <w:b/>
      <w:color w:val="918585"/>
      <w:sz w:val="24"/>
    </w:rPr>
  </w:style>
  <w:style w:type="paragraph" w:customStyle="1" w:styleId="Chapter">
    <w:name w:val="Chapter"/>
    <w:basedOn w:val="Normal"/>
    <w:rsid w:val="0080760E"/>
    <w:pPr>
      <w:spacing w:before="240"/>
    </w:pPr>
    <w:rPr>
      <w:rFonts w:ascii="Times New Roman" w:hAnsi="Times New Roman"/>
      <w:smallCaps/>
      <w:spacing w:val="80"/>
      <w:sz w:val="28"/>
    </w:rPr>
  </w:style>
  <w:style w:type="paragraph" w:customStyle="1" w:styleId="InChapter">
    <w:name w:val="InChapter"/>
    <w:basedOn w:val="Heading3"/>
    <w:rsid w:val="0080760E"/>
    <w:pPr>
      <w:spacing w:after="240"/>
      <w:outlineLvl w:val="9"/>
    </w:pPr>
    <w:rPr>
      <w:noProof/>
    </w:rPr>
  </w:style>
  <w:style w:type="paragraph" w:styleId="Index2">
    <w:name w:val="index 2"/>
    <w:basedOn w:val="Normal"/>
    <w:next w:val="Normal"/>
    <w:semiHidden/>
    <w:rsid w:val="0080760E"/>
    <w:pPr>
      <w:tabs>
        <w:tab w:val="right" w:pos="4176"/>
      </w:tabs>
      <w:ind w:left="568" w:hanging="284"/>
    </w:pPr>
    <w:rPr>
      <w:rFonts w:ascii="Garamond" w:hAnsi="Garamond"/>
    </w:rPr>
  </w:style>
  <w:style w:type="paragraph" w:customStyle="1" w:styleId="Byline">
    <w:name w:val="Byline"/>
    <w:rsid w:val="008076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760E"/>
    <w:pPr>
      <w:tabs>
        <w:tab w:val="clear" w:pos="3600"/>
        <w:tab w:val="clear" w:pos="3958"/>
      </w:tabs>
      <w:jc w:val="right"/>
    </w:pPr>
  </w:style>
  <w:style w:type="character" w:styleId="Emphasis">
    <w:name w:val="Emphasis"/>
    <w:basedOn w:val="DefaultParagraphFont"/>
    <w:qFormat/>
    <w:rsid w:val="0080760E"/>
    <w:rPr>
      <w:i/>
    </w:rPr>
  </w:style>
  <w:style w:type="paragraph" w:styleId="Caption">
    <w:name w:val="caption"/>
    <w:basedOn w:val="BodyText"/>
    <w:next w:val="Normal"/>
    <w:qFormat/>
    <w:rsid w:val="0080760E"/>
    <w:pPr>
      <w:framePr w:w="2268" w:hSpace="181" w:vSpace="181" w:wrap="around" w:vAnchor="text" w:hAnchor="page" w:x="1135" w:y="285" w:anchorLock="1"/>
    </w:pPr>
    <w:rPr>
      <w:i/>
    </w:rPr>
  </w:style>
  <w:style w:type="paragraph" w:customStyle="1" w:styleId="MiniTOCTitle">
    <w:name w:val="MiniTOCTitle"/>
    <w:basedOn w:val="Heading4"/>
    <w:rsid w:val="0080760E"/>
    <w:pPr>
      <w:spacing w:before="240"/>
      <w:outlineLvl w:val="9"/>
    </w:pPr>
    <w:rPr>
      <w:noProof/>
      <w:sz w:val="24"/>
    </w:rPr>
  </w:style>
  <w:style w:type="paragraph" w:customStyle="1" w:styleId="MiniTOCItem">
    <w:name w:val="MiniTOCItem"/>
    <w:basedOn w:val="ListBullet"/>
    <w:rsid w:val="0080760E"/>
    <w:pPr>
      <w:numPr>
        <w:numId w:val="0"/>
      </w:numPr>
      <w:tabs>
        <w:tab w:val="right" w:leader="dot" w:pos="6521"/>
      </w:tabs>
      <w:spacing w:before="0" w:after="0"/>
    </w:pPr>
  </w:style>
  <w:style w:type="paragraph" w:customStyle="1" w:styleId="TOFTitle">
    <w:name w:val="TOFTitle"/>
    <w:basedOn w:val="TOCTitle"/>
    <w:rsid w:val="0080760E"/>
  </w:style>
  <w:style w:type="paragraph" w:styleId="TableofFigures">
    <w:name w:val="table of figures"/>
    <w:basedOn w:val="Normal"/>
    <w:next w:val="Normal"/>
    <w:semiHidden/>
    <w:rsid w:val="0080760E"/>
    <w:pPr>
      <w:tabs>
        <w:tab w:val="right" w:leader="dot" w:pos="9072"/>
      </w:tabs>
      <w:ind w:left="970" w:hanging="403"/>
    </w:pPr>
    <w:rPr>
      <w:rFonts w:ascii="Times New Roman" w:hAnsi="Times New Roman"/>
      <w:b/>
    </w:rPr>
  </w:style>
  <w:style w:type="paragraph" w:styleId="ListNumber">
    <w:name w:val="List Number"/>
    <w:basedOn w:val="List"/>
    <w:rsid w:val="0080760E"/>
    <w:pPr>
      <w:numPr>
        <w:numId w:val="9"/>
      </w:numPr>
    </w:pPr>
  </w:style>
  <w:style w:type="character" w:customStyle="1" w:styleId="WingdingSymbols">
    <w:name w:val="Wingding Symbols"/>
    <w:rsid w:val="0080760E"/>
    <w:rPr>
      <w:rFonts w:ascii="Wingdings" w:hAnsi="Wingdings"/>
    </w:rPr>
  </w:style>
  <w:style w:type="paragraph" w:customStyle="1" w:styleId="TableHeading">
    <w:name w:val="Table Heading"/>
    <w:basedOn w:val="HeadingBase"/>
    <w:rsid w:val="0080760E"/>
    <w:pPr>
      <w:keepLines/>
      <w:pBdr>
        <w:bottom w:val="single" w:sz="6" w:space="1" w:color="918585"/>
      </w:pBdr>
      <w:spacing w:before="240"/>
    </w:pPr>
  </w:style>
  <w:style w:type="character" w:customStyle="1" w:styleId="HotSpot">
    <w:name w:val="HotSpot"/>
    <w:rsid w:val="0080760E"/>
    <w:rPr>
      <w:color w:val="0033CC"/>
      <w:u w:val="none"/>
    </w:rPr>
  </w:style>
  <w:style w:type="paragraph" w:customStyle="1" w:styleId="BodyTextRight">
    <w:name w:val="Body Text Right"/>
    <w:basedOn w:val="BodyText"/>
    <w:rsid w:val="0080760E"/>
    <w:pPr>
      <w:spacing w:before="0" w:after="0"/>
      <w:jc w:val="right"/>
    </w:pPr>
  </w:style>
  <w:style w:type="paragraph" w:styleId="Index3">
    <w:name w:val="index 3"/>
    <w:basedOn w:val="ListNumber2"/>
    <w:next w:val="Normal"/>
    <w:semiHidden/>
    <w:rsid w:val="0080760E"/>
    <w:pPr>
      <w:numPr>
        <w:numId w:val="0"/>
      </w:numPr>
      <w:tabs>
        <w:tab w:val="right" w:leader="dot" w:pos="4176"/>
      </w:tabs>
    </w:pPr>
  </w:style>
  <w:style w:type="paragraph" w:styleId="ListNumber2">
    <w:name w:val="List Number 2"/>
    <w:basedOn w:val="List2"/>
    <w:rsid w:val="0080760E"/>
    <w:pPr>
      <w:numPr>
        <w:numId w:val="8"/>
      </w:numPr>
      <w:tabs>
        <w:tab w:val="clear" w:pos="1060"/>
      </w:tabs>
    </w:pPr>
  </w:style>
  <w:style w:type="paragraph" w:customStyle="1" w:styleId="MarginNote">
    <w:name w:val="Margin Note"/>
    <w:basedOn w:val="BodyText"/>
    <w:rsid w:val="008076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76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76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760E"/>
    <w:rPr>
      <w:sz w:val="32"/>
    </w:rPr>
  </w:style>
  <w:style w:type="paragraph" w:customStyle="1" w:styleId="HeadingProcedure">
    <w:name w:val="Heading Procedure"/>
    <w:basedOn w:val="HeadingBase"/>
    <w:next w:val="Normal"/>
    <w:rsid w:val="0080760E"/>
    <w:pPr>
      <w:tabs>
        <w:tab w:val="left" w:pos="0"/>
      </w:tabs>
      <w:spacing w:before="120" w:after="60"/>
    </w:pPr>
    <w:rPr>
      <w:i/>
      <w:color w:val="918585"/>
      <w:sz w:val="22"/>
    </w:rPr>
  </w:style>
  <w:style w:type="paragraph" w:customStyle="1" w:styleId="TableBodyText">
    <w:name w:val="Table Body Text"/>
    <w:basedOn w:val="BodyText"/>
    <w:rsid w:val="0080760E"/>
    <w:pPr>
      <w:spacing w:before="60" w:after="60"/>
    </w:pPr>
  </w:style>
  <w:style w:type="paragraph" w:styleId="ListContinue">
    <w:name w:val="List Continue"/>
    <w:basedOn w:val="List"/>
    <w:rsid w:val="0080760E"/>
    <w:pPr>
      <w:ind w:firstLine="0"/>
    </w:pPr>
  </w:style>
  <w:style w:type="paragraph" w:customStyle="1" w:styleId="ListNote">
    <w:name w:val="List Note"/>
    <w:basedOn w:val="List"/>
    <w:rsid w:val="0080760E"/>
    <w:pPr>
      <w:pBdr>
        <w:top w:val="single" w:sz="6" w:space="2" w:color="918585"/>
        <w:bottom w:val="single" w:sz="6" w:space="2" w:color="918585"/>
      </w:pBdr>
      <w:tabs>
        <w:tab w:val="left" w:pos="1021"/>
      </w:tabs>
      <w:ind w:firstLine="0"/>
    </w:pPr>
  </w:style>
  <w:style w:type="paragraph" w:customStyle="1" w:styleId="Warning">
    <w:name w:val="Warning"/>
    <w:basedOn w:val="BodyText"/>
    <w:rsid w:val="0080760E"/>
    <w:pPr>
      <w:shd w:val="clear" w:color="auto" w:fill="D9D9D9"/>
      <w:tabs>
        <w:tab w:val="left" w:pos="992"/>
      </w:tabs>
      <w:ind w:left="119" w:right="119"/>
    </w:pPr>
    <w:rPr>
      <w:sz w:val="20"/>
    </w:rPr>
  </w:style>
  <w:style w:type="paragraph" w:customStyle="1" w:styleId="MarginIcons">
    <w:name w:val="Margin Icons"/>
    <w:basedOn w:val="BodyText"/>
    <w:rsid w:val="008076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760E"/>
    <w:rPr>
      <w:rFonts w:ascii="Courier New" w:hAnsi="Courier New"/>
    </w:rPr>
  </w:style>
  <w:style w:type="paragraph" w:customStyle="1" w:styleId="NoteBullet">
    <w:name w:val="Note Bullet"/>
    <w:basedOn w:val="Note"/>
    <w:rsid w:val="0080760E"/>
    <w:pPr>
      <w:tabs>
        <w:tab w:val="clear" w:pos="680"/>
      </w:tabs>
      <w:spacing w:before="60" w:after="60"/>
    </w:pPr>
  </w:style>
  <w:style w:type="paragraph" w:customStyle="1" w:styleId="SubHeading2">
    <w:name w:val="SubHeading2"/>
    <w:basedOn w:val="HeadingBase"/>
    <w:rsid w:val="0080760E"/>
    <w:pPr>
      <w:spacing w:before="240" w:after="60"/>
    </w:pPr>
    <w:rPr>
      <w:sz w:val="20"/>
    </w:rPr>
  </w:style>
  <w:style w:type="paragraph" w:customStyle="1" w:styleId="SubHeading1">
    <w:name w:val="SubHeading1"/>
    <w:basedOn w:val="HeadingBase"/>
    <w:rsid w:val="0080760E"/>
    <w:pPr>
      <w:spacing w:before="240" w:after="60"/>
    </w:pPr>
    <w:rPr>
      <w:color w:val="918585"/>
      <w:sz w:val="22"/>
    </w:rPr>
  </w:style>
  <w:style w:type="paragraph" w:customStyle="1" w:styleId="SideHeading">
    <w:name w:val="Side Heading"/>
    <w:basedOn w:val="HeadingBase"/>
    <w:rsid w:val="008076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760E"/>
    <w:pPr>
      <w:numPr>
        <w:numId w:val="10"/>
      </w:numPr>
    </w:pPr>
  </w:style>
  <w:style w:type="paragraph" w:styleId="PlainText">
    <w:name w:val="Plain Text"/>
    <w:basedOn w:val="Normal"/>
    <w:link w:val="PlainTextChar"/>
    <w:rsid w:val="0080760E"/>
    <w:rPr>
      <w:sz w:val="20"/>
    </w:rPr>
  </w:style>
  <w:style w:type="character" w:customStyle="1" w:styleId="PlainTextChar">
    <w:name w:val="Plain Text Char"/>
    <w:basedOn w:val="DefaultParagraphFont"/>
    <w:link w:val="PlainText"/>
    <w:rsid w:val="0080760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0760E"/>
    <w:rPr>
      <w:b/>
      <w:smallCaps/>
    </w:rPr>
  </w:style>
  <w:style w:type="paragraph" w:customStyle="1" w:styleId="TableListNumber">
    <w:name w:val="Table List Number"/>
    <w:basedOn w:val="ListNumber"/>
    <w:rsid w:val="0080760E"/>
    <w:pPr>
      <w:numPr>
        <w:numId w:val="0"/>
      </w:numPr>
    </w:pPr>
  </w:style>
  <w:style w:type="paragraph" w:styleId="TOC4">
    <w:name w:val="toc 4"/>
    <w:basedOn w:val="TOCBase"/>
    <w:next w:val="Normal"/>
    <w:semiHidden/>
    <w:rsid w:val="0080760E"/>
    <w:pPr>
      <w:tabs>
        <w:tab w:val="right" w:leader="dot" w:pos="9071"/>
      </w:tabs>
      <w:ind w:left="1701"/>
    </w:pPr>
  </w:style>
  <w:style w:type="paragraph" w:customStyle="1" w:styleId="ListAlpha">
    <w:name w:val="List Alpha"/>
    <w:basedOn w:val="List"/>
    <w:rsid w:val="0080760E"/>
    <w:pPr>
      <w:numPr>
        <w:numId w:val="7"/>
      </w:numPr>
    </w:pPr>
  </w:style>
  <w:style w:type="paragraph" w:customStyle="1" w:styleId="ListAlpha2">
    <w:name w:val="List Alpha 2"/>
    <w:basedOn w:val="List2"/>
    <w:rsid w:val="0080760E"/>
    <w:pPr>
      <w:numPr>
        <w:numId w:val="6"/>
      </w:numPr>
    </w:pPr>
  </w:style>
  <w:style w:type="paragraph" w:styleId="List2">
    <w:name w:val="List 2"/>
    <w:basedOn w:val="BodyText"/>
    <w:rsid w:val="0080760E"/>
    <w:pPr>
      <w:tabs>
        <w:tab w:val="left" w:pos="680"/>
      </w:tabs>
      <w:spacing w:before="60" w:after="60"/>
      <w:ind w:left="680" w:hanging="340"/>
    </w:pPr>
  </w:style>
  <w:style w:type="paragraph" w:styleId="List3">
    <w:name w:val="List 3"/>
    <w:basedOn w:val="BodyText"/>
    <w:rsid w:val="0080760E"/>
    <w:pPr>
      <w:tabs>
        <w:tab w:val="left" w:pos="1021"/>
      </w:tabs>
      <w:spacing w:before="60" w:after="60"/>
      <w:ind w:left="1020" w:hanging="340"/>
    </w:pPr>
  </w:style>
  <w:style w:type="paragraph" w:styleId="List4">
    <w:name w:val="List 4"/>
    <w:basedOn w:val="BodyText"/>
    <w:rsid w:val="0080760E"/>
    <w:pPr>
      <w:tabs>
        <w:tab w:val="left" w:pos="1361"/>
      </w:tabs>
      <w:spacing w:before="60" w:after="60"/>
      <w:ind w:left="1361" w:hanging="340"/>
    </w:pPr>
  </w:style>
  <w:style w:type="paragraph" w:styleId="List5">
    <w:name w:val="List 5"/>
    <w:basedOn w:val="BodyText"/>
    <w:rsid w:val="0080760E"/>
    <w:pPr>
      <w:tabs>
        <w:tab w:val="left" w:pos="1701"/>
      </w:tabs>
      <w:spacing w:before="60" w:after="60"/>
      <w:ind w:left="1701" w:hanging="340"/>
    </w:pPr>
  </w:style>
  <w:style w:type="paragraph" w:styleId="ListBullet3">
    <w:name w:val="List Bullet 3"/>
    <w:basedOn w:val="List3"/>
    <w:rsid w:val="0080760E"/>
    <w:pPr>
      <w:numPr>
        <w:numId w:val="13"/>
      </w:numPr>
      <w:tabs>
        <w:tab w:val="clear" w:pos="1021"/>
      </w:tabs>
      <w:ind w:left="1037" w:hanging="357"/>
    </w:pPr>
  </w:style>
  <w:style w:type="paragraph" w:styleId="ListBullet4">
    <w:name w:val="List Bullet 4"/>
    <w:basedOn w:val="List4"/>
    <w:rsid w:val="0080760E"/>
    <w:pPr>
      <w:numPr>
        <w:numId w:val="1"/>
      </w:numPr>
    </w:pPr>
  </w:style>
  <w:style w:type="paragraph" w:styleId="ListBullet5">
    <w:name w:val="List Bullet 5"/>
    <w:basedOn w:val="List5"/>
    <w:rsid w:val="0080760E"/>
    <w:pPr>
      <w:numPr>
        <w:numId w:val="2"/>
      </w:numPr>
    </w:pPr>
  </w:style>
  <w:style w:type="paragraph" w:styleId="ListContinue2">
    <w:name w:val="List Continue 2"/>
    <w:basedOn w:val="List2"/>
    <w:rsid w:val="0080760E"/>
    <w:pPr>
      <w:ind w:firstLine="0"/>
    </w:pPr>
  </w:style>
  <w:style w:type="paragraph" w:styleId="ListContinue3">
    <w:name w:val="List Continue 3"/>
    <w:basedOn w:val="List3"/>
    <w:rsid w:val="0080760E"/>
    <w:pPr>
      <w:ind w:left="1021" w:firstLine="0"/>
    </w:pPr>
  </w:style>
  <w:style w:type="paragraph" w:styleId="ListContinue4">
    <w:name w:val="List Continue 4"/>
    <w:basedOn w:val="List4"/>
    <w:rsid w:val="0080760E"/>
    <w:pPr>
      <w:ind w:firstLine="0"/>
    </w:pPr>
  </w:style>
  <w:style w:type="paragraph" w:styleId="ListContinue5">
    <w:name w:val="List Continue 5"/>
    <w:basedOn w:val="List5"/>
    <w:rsid w:val="0080760E"/>
    <w:pPr>
      <w:ind w:firstLine="0"/>
    </w:pPr>
  </w:style>
  <w:style w:type="paragraph" w:styleId="ListNumber3">
    <w:name w:val="List Number 3"/>
    <w:basedOn w:val="List3"/>
    <w:rsid w:val="0080760E"/>
    <w:pPr>
      <w:numPr>
        <w:numId w:val="3"/>
      </w:numPr>
    </w:pPr>
  </w:style>
  <w:style w:type="paragraph" w:styleId="ListNumber4">
    <w:name w:val="List Number 4"/>
    <w:basedOn w:val="List4"/>
    <w:rsid w:val="0080760E"/>
    <w:pPr>
      <w:numPr>
        <w:numId w:val="4"/>
      </w:numPr>
    </w:pPr>
  </w:style>
  <w:style w:type="paragraph" w:styleId="ListNumber5">
    <w:name w:val="List Number 5"/>
    <w:basedOn w:val="List5"/>
    <w:rsid w:val="0080760E"/>
    <w:pPr>
      <w:numPr>
        <w:numId w:val="5"/>
      </w:numPr>
    </w:pPr>
  </w:style>
  <w:style w:type="paragraph" w:styleId="BlockText">
    <w:name w:val="Block Text"/>
    <w:basedOn w:val="Normal"/>
    <w:rsid w:val="0080760E"/>
    <w:pPr>
      <w:spacing w:after="120"/>
      <w:ind w:left="1440" w:right="1440"/>
    </w:pPr>
  </w:style>
  <w:style w:type="character" w:customStyle="1" w:styleId="Subscript">
    <w:name w:val="Subscript"/>
    <w:basedOn w:val="DefaultParagraphFont"/>
    <w:rsid w:val="0080760E"/>
    <w:rPr>
      <w:sz w:val="16"/>
      <w:vertAlign w:val="subscript"/>
    </w:rPr>
  </w:style>
  <w:style w:type="character" w:customStyle="1" w:styleId="Superscript">
    <w:name w:val="Superscript"/>
    <w:basedOn w:val="DefaultParagraphFont"/>
    <w:rsid w:val="0080760E"/>
    <w:rPr>
      <w:sz w:val="16"/>
      <w:vertAlign w:val="superscript"/>
    </w:rPr>
  </w:style>
  <w:style w:type="character" w:customStyle="1" w:styleId="Symbols">
    <w:name w:val="Symbols"/>
    <w:basedOn w:val="DefaultParagraphFont"/>
    <w:rsid w:val="0080760E"/>
    <w:rPr>
      <w:rFonts w:ascii="Symbol" w:hAnsi="Symbol"/>
    </w:rPr>
  </w:style>
  <w:style w:type="character" w:customStyle="1" w:styleId="MenuOptions">
    <w:name w:val="Menu Options"/>
    <w:basedOn w:val="DefaultParagraphFont"/>
    <w:rsid w:val="0080760E"/>
    <w:rPr>
      <w:rFonts w:ascii="Arial Narrow" w:hAnsi="Arial Narrow"/>
      <w:smallCaps/>
    </w:rPr>
  </w:style>
  <w:style w:type="character" w:customStyle="1" w:styleId="Buttons">
    <w:name w:val="Buttons"/>
    <w:basedOn w:val="DefaultParagraphFont"/>
    <w:rsid w:val="0080760E"/>
    <w:rPr>
      <w:b/>
    </w:rPr>
  </w:style>
  <w:style w:type="character" w:customStyle="1" w:styleId="Underlined">
    <w:name w:val="Underlined"/>
    <w:basedOn w:val="DefaultParagraphFont"/>
    <w:rsid w:val="0080760E"/>
    <w:rPr>
      <w:u w:val="single"/>
    </w:rPr>
  </w:style>
  <w:style w:type="paragraph" w:customStyle="1" w:styleId="TableBodyTextRight">
    <w:name w:val="Table Body Text Right"/>
    <w:basedOn w:val="TableBodyText"/>
    <w:rsid w:val="0080760E"/>
    <w:pPr>
      <w:widowControl w:val="0"/>
      <w:autoSpaceDE w:val="0"/>
      <w:autoSpaceDN w:val="0"/>
      <w:adjustRightInd w:val="0"/>
      <w:jc w:val="right"/>
    </w:pPr>
    <w:rPr>
      <w:rFonts w:cs="Arial"/>
      <w:szCs w:val="18"/>
    </w:rPr>
  </w:style>
  <w:style w:type="paragraph" w:customStyle="1" w:styleId="CopyrightText">
    <w:name w:val="Copyright Text"/>
    <w:basedOn w:val="BodyText"/>
    <w:rsid w:val="0080760E"/>
    <w:rPr>
      <w:sz w:val="18"/>
    </w:rPr>
  </w:style>
  <w:style w:type="paragraph" w:customStyle="1" w:styleId="BodySmallRight">
    <w:name w:val="Body Small Right"/>
    <w:basedOn w:val="BodyTextRight"/>
    <w:rsid w:val="0080760E"/>
    <w:rPr>
      <w:sz w:val="18"/>
      <w:szCs w:val="18"/>
    </w:rPr>
  </w:style>
  <w:style w:type="paragraph" w:customStyle="1" w:styleId="MarginEdition">
    <w:name w:val="Margin Edition"/>
    <w:basedOn w:val="MarginNote"/>
    <w:rsid w:val="0080760E"/>
    <w:pPr>
      <w:spacing w:before="0" w:after="0"/>
    </w:pPr>
    <w:rPr>
      <w:rFonts w:ascii="Times New Roman" w:hAnsi="Times New Roman"/>
      <w:color w:val="999999"/>
    </w:rPr>
  </w:style>
  <w:style w:type="paragraph" w:customStyle="1" w:styleId="Spacer">
    <w:name w:val="Spacer"/>
    <w:basedOn w:val="Normal"/>
    <w:rsid w:val="0080760E"/>
    <w:rPr>
      <w:sz w:val="2"/>
      <w:szCs w:val="2"/>
    </w:rPr>
  </w:style>
  <w:style w:type="character" w:customStyle="1" w:styleId="Small">
    <w:name w:val="Small"/>
    <w:basedOn w:val="DefaultParagraphFont"/>
    <w:rsid w:val="0080760E"/>
    <w:rPr>
      <w:sz w:val="16"/>
    </w:rPr>
  </w:style>
  <w:style w:type="paragraph" w:customStyle="1" w:styleId="WideTable">
    <w:name w:val="Wide Table"/>
    <w:basedOn w:val="Normal"/>
    <w:rsid w:val="0080760E"/>
    <w:pPr>
      <w:ind w:left="-1418"/>
    </w:pPr>
    <w:rPr>
      <w:sz w:val="2"/>
      <w:szCs w:val="2"/>
    </w:rPr>
  </w:style>
  <w:style w:type="character" w:styleId="PageNumber">
    <w:name w:val="page number"/>
    <w:basedOn w:val="DefaultParagraphFont"/>
    <w:rsid w:val="0080760E"/>
  </w:style>
  <w:style w:type="paragraph" w:styleId="Quote">
    <w:name w:val="Quote"/>
    <w:basedOn w:val="Heading1"/>
    <w:link w:val="QuoteChar"/>
    <w:qFormat/>
    <w:rsid w:val="0080760E"/>
    <w:rPr>
      <w:b w:val="0"/>
      <w:sz w:val="72"/>
      <w:szCs w:val="72"/>
      <w:lang w:val="en-NZ"/>
    </w:rPr>
  </w:style>
  <w:style w:type="character" w:customStyle="1" w:styleId="QuoteChar">
    <w:name w:val="Quote Char"/>
    <w:basedOn w:val="DefaultParagraphFont"/>
    <w:link w:val="Quote"/>
    <w:rsid w:val="008076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760E"/>
    <w:pPr>
      <w:pageBreakBefore/>
    </w:pPr>
  </w:style>
  <w:style w:type="paragraph" w:customStyle="1" w:styleId="Border">
    <w:name w:val="Border"/>
    <w:basedOn w:val="Normal"/>
    <w:qFormat/>
    <w:rsid w:val="008076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760E"/>
    <w:rPr>
      <w:b/>
      <w:bCs/>
      <w:i/>
      <w:iCs/>
      <w:color w:val="auto"/>
    </w:rPr>
  </w:style>
  <w:style w:type="paragraph" w:styleId="IntenseQuote">
    <w:name w:val="Intense Quote"/>
    <w:basedOn w:val="Normal"/>
    <w:next w:val="Normal"/>
    <w:link w:val="IntenseQuoteChar"/>
    <w:uiPriority w:val="30"/>
    <w:qFormat/>
    <w:rsid w:val="008076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760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0760E"/>
    <w:rPr>
      <w:smallCaps/>
      <w:color w:val="auto"/>
      <w:u w:val="single"/>
    </w:rPr>
  </w:style>
  <w:style w:type="character" w:styleId="IntenseReference">
    <w:name w:val="Intense Reference"/>
    <w:basedOn w:val="DefaultParagraphFont"/>
    <w:uiPriority w:val="32"/>
    <w:qFormat/>
    <w:rsid w:val="0080760E"/>
    <w:rPr>
      <w:b/>
      <w:bCs/>
      <w:smallCaps/>
      <w:color w:val="auto"/>
      <w:spacing w:val="5"/>
      <w:u w:val="single"/>
    </w:rPr>
  </w:style>
  <w:style w:type="paragraph" w:customStyle="1" w:styleId="2ColumnHeading">
    <w:name w:val="2Column Heading"/>
    <w:basedOn w:val="BodyText"/>
    <w:qFormat/>
    <w:rsid w:val="0080760E"/>
    <w:pPr>
      <w:spacing w:after="60"/>
      <w:ind w:left="-2268"/>
    </w:pPr>
    <w:rPr>
      <w:b/>
    </w:rPr>
  </w:style>
  <w:style w:type="paragraph" w:customStyle="1" w:styleId="Heading1TOC">
    <w:name w:val="Heading1 TOC"/>
    <w:basedOn w:val="Normal"/>
    <w:qFormat/>
    <w:rsid w:val="0080760E"/>
    <w:pPr>
      <w:spacing w:before="240" w:after="120"/>
    </w:pPr>
    <w:rPr>
      <w:rFonts w:ascii="Times New Roman" w:hAnsi="Times New Roman"/>
      <w:b/>
      <w:sz w:val="32"/>
    </w:rPr>
  </w:style>
  <w:style w:type="paragraph" w:customStyle="1" w:styleId="Heading2TOC">
    <w:name w:val="Heading2 TOC"/>
    <w:basedOn w:val="Normal"/>
    <w:qFormat/>
    <w:rsid w:val="0080760E"/>
    <w:pPr>
      <w:spacing w:before="240" w:after="60"/>
    </w:pPr>
    <w:rPr>
      <w:rFonts w:ascii="Times New Roman" w:hAnsi="Times New Roman"/>
      <w:b/>
      <w:sz w:val="28"/>
    </w:rPr>
  </w:style>
  <w:style w:type="character" w:customStyle="1" w:styleId="Underline">
    <w:name w:val="Underline"/>
    <w:basedOn w:val="DefaultParagraphFont"/>
    <w:qFormat/>
    <w:rsid w:val="0080760E"/>
    <w:rPr>
      <w:u w:val="single"/>
    </w:rPr>
  </w:style>
  <w:style w:type="character" w:customStyle="1" w:styleId="BoldandItalics">
    <w:name w:val="Bold and Italics"/>
    <w:qFormat/>
    <w:rsid w:val="0080760E"/>
    <w:rPr>
      <w:b/>
      <w:i/>
      <w:u w:val="none"/>
    </w:rPr>
  </w:style>
  <w:style w:type="paragraph" w:styleId="BalloonText">
    <w:name w:val="Balloon Text"/>
    <w:basedOn w:val="Normal"/>
    <w:link w:val="BalloonTextChar"/>
    <w:rsid w:val="0080760E"/>
    <w:rPr>
      <w:rFonts w:ascii="Tahoma" w:hAnsi="Tahoma" w:cs="Tahoma"/>
      <w:sz w:val="16"/>
      <w:szCs w:val="16"/>
    </w:rPr>
  </w:style>
  <w:style w:type="character" w:customStyle="1" w:styleId="BalloonTextChar">
    <w:name w:val="Balloon Text Char"/>
    <w:basedOn w:val="DefaultParagraphFont"/>
    <w:link w:val="BalloonText"/>
    <w:rsid w:val="008076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76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760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1193</Words>
  <Characters>7501</Characters>
  <Application>Microsoft Office Word</Application>
  <DocSecurity>0</DocSecurity>
  <Lines>279</Lines>
  <Paragraphs>156</Paragraphs>
  <ScaleCrop>false</ScaleCrop>
  <Company>Author-it Software Corporation Ltd.</Company>
  <LinksUpToDate>false</LinksUpToDate>
  <CharactersWithSpaces>8579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FNSICACC305B Process payment documentation</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2012-05-26T03:53:00Z</dcterms:created>
  <dcterms:modified xsi:type="dcterms:W3CDTF">2012-05-26T03:53:00Z</dcterms:modified>
</cp:coreProperties>
</file>