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6D19" w:rsidP="007E6D19">
      <w:pPr>
        <w:pStyle w:val="Title"/>
      </w:pPr>
      <w:r>
        <w:fldChar w:fldCharType="begin"/>
      </w:r>
      <w:r>
        <w:instrText xml:space="preserve"> TITLE   \* MERGEFORMAT </w:instrText>
      </w:r>
      <w:r>
        <w:fldChar w:fldCharType="separate"/>
      </w:r>
      <w:r>
        <w:t>FNSICACC304B Prepare and bank receipts</w:t>
      </w:r>
      <w:r>
        <w:fldChar w:fldCharType="end"/>
      </w:r>
    </w:p>
    <w:p w:rsidR="007E6D19" w:rsidP="007E6D19">
      <w:pPr>
        <w:pStyle w:val="Version"/>
        <w:sectPr w:rsidSect="003A73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7353" w:rsidP="003A7353">
      <w:pPr>
        <w:pStyle w:val="SuperHeading"/>
      </w:pPr>
      <w:r w:rsidRPr="003A7353">
        <w:t>FNSICACC304B Prepare and bank receipts</w:t>
      </w:r>
    </w:p>
    <w:p w:rsidR="00000000" w:rsidRPr="003A7353" w:rsidP="003A7353">
      <w:pPr>
        <w:pStyle w:val="Heading1"/>
      </w:pPr>
      <w:bookmarkStart w:id="1" w:name="O_318226"/>
      <w:bookmarkEnd w:id="1"/>
      <w:r w:rsidRPr="003A7353">
        <w:t>Modification History</w:t>
      </w:r>
    </w:p>
    <w:p w:rsidR="00000000" w:rsidRPr="003A7353" w:rsidP="003A7353">
      <w:pPr>
        <w:pStyle w:val="BodyText"/>
      </w:pPr>
      <w:r w:rsidRPr="003A7353">
        <w:t>Not applicable.</w:t>
      </w:r>
    </w:p>
    <w:p w:rsidR="00000000" w:rsidRPr="003A7353" w:rsidP="003A7353">
      <w:pPr>
        <w:pStyle w:val="AllowPageBreak"/>
      </w:pPr>
    </w:p>
    <w:p w:rsidR="00000000" w:rsidRPr="003A7353" w:rsidP="003A7353">
      <w:pPr>
        <w:pStyle w:val="Heading1"/>
      </w:pPr>
      <w:bookmarkStart w:id="2" w:name="O_318225"/>
      <w:bookmarkEnd w:id="2"/>
      <w:r w:rsidRPr="003A7353">
        <w:t>Unit Descriptor</w:t>
      </w:r>
    </w:p>
    <w:p w:rsidR="00000000" w:rsidRPr="003A7353" w:rsidP="003A7353">
      <w:pPr>
        <w:pStyle w:val="BodyText"/>
      </w:pPr>
      <w:r w:rsidRPr="003A7353">
        <w:t>This unit describes the functions involved in preparing and banking financial receipts.</w:t>
      </w:r>
    </w:p>
    <w:p w:rsidR="00000000" w:rsidRPr="003A7353" w:rsidP="003A7353">
      <w:pPr>
        <w:pStyle w:val="BodyText"/>
      </w:pPr>
      <w:r w:rsidRPr="003A7353">
        <w:t>This unit describes the functions invol</w:t>
      </w:r>
      <w:r w:rsidRPr="003A7353">
        <w:t>ved in preparing and banking financial receipts.</w:t>
      </w:r>
    </w:p>
    <w:p w:rsidR="00000000" w:rsidRPr="003A7353" w:rsidP="003A7353">
      <w:pPr>
        <w:pStyle w:val="AllowPageBreak"/>
      </w:pPr>
    </w:p>
    <w:p w:rsidR="00000000" w:rsidRPr="003A7353" w:rsidP="003A7353">
      <w:pPr>
        <w:pStyle w:val="Heading1"/>
      </w:pPr>
      <w:bookmarkStart w:id="3" w:name="O_318224"/>
      <w:bookmarkEnd w:id="3"/>
      <w:r w:rsidRPr="003A7353">
        <w:t>Application of the Unit</w:t>
      </w:r>
    </w:p>
    <w:p w:rsidR="00000000" w:rsidRPr="003A7353" w:rsidP="003A7353">
      <w:pPr>
        <w:pStyle w:val="BodyText"/>
      </w:pPr>
      <w:r w:rsidRPr="003A7353">
        <w:t>This unit requires the application of skills and knowledge required to prepare and bank financial receipts. The unit encompasses batching monetary items, preparing de</w:t>
      </w:r>
      <w:r w:rsidRPr="003A7353">
        <w:t>posit facilities and lodging flows.</w:t>
      </w:r>
    </w:p>
    <w:p w:rsidR="00000000" w:rsidRPr="003A7353" w:rsidP="003A7353">
      <w:pPr>
        <w:pStyle w:val="BodyText"/>
      </w:pPr>
      <w:r w:rsidRPr="003A7353">
        <w:t>The unit may apply to any sector within the financial services sector where preparing and banking receipts is required. The unit has application to any job function within the financial services sectors that involves pre</w:t>
      </w:r>
      <w:r w:rsidRPr="003A7353">
        <w:t>paring and banking receipts. For example, bank tellers, credit union tellers, cashiers at foreign exchange outlet.</w:t>
      </w:r>
    </w:p>
    <w:p w:rsidR="00000000" w:rsidRPr="003A7353" w:rsidP="003A7353">
      <w:pPr>
        <w:pStyle w:val="BodyText"/>
      </w:pPr>
      <w:r w:rsidRPr="003A7353">
        <w:t>This unit requires the application of skills and knowledge required to prepare and bank financial receipts. The unit encompasses batching mon</w:t>
      </w:r>
      <w:r w:rsidRPr="003A7353">
        <w:t>etary items, preparing deposit facilities and lodging flows.</w:t>
      </w:r>
    </w:p>
    <w:p w:rsidR="00000000" w:rsidRPr="003A7353" w:rsidP="003A7353">
      <w:pPr>
        <w:pStyle w:val="BodyText"/>
      </w:pPr>
      <w:r w:rsidRPr="003A7353">
        <w:t>The unit may apply to any sector within the financial services secto</w:t>
      </w:r>
      <w:r w:rsidRPr="003A7353">
        <w:t>r where preparing and banking receipts is required. The unit has application to any job function within the financial services sectors that involves preparing and banking receipts. For example, bank tellers, credit union tellers, cashiers at foreign exchan</w:t>
      </w:r>
      <w:r w:rsidRPr="003A7353">
        <w:t>ge outlet.</w:t>
      </w:r>
    </w:p>
    <w:p w:rsidR="00000000" w:rsidRPr="003A7353" w:rsidP="003A7353">
      <w:pPr>
        <w:pStyle w:val="AllowPageBreak"/>
      </w:pPr>
    </w:p>
    <w:p w:rsidR="00000000" w:rsidRPr="003A7353" w:rsidP="003A7353">
      <w:pPr>
        <w:pStyle w:val="Heading1"/>
      </w:pPr>
      <w:bookmarkStart w:id="4" w:name="O_318216"/>
      <w:bookmarkEnd w:id="4"/>
      <w:r w:rsidRPr="003A7353">
        <w:t>Licensing/Regulatory Information</w:t>
      </w:r>
    </w:p>
    <w:p w:rsidR="00000000" w:rsidRPr="003A7353" w:rsidP="003A7353">
      <w:pPr>
        <w:pStyle w:val="BodyText"/>
      </w:pPr>
      <w:r w:rsidRPr="003A7353">
        <w:t>Not applicable.</w:t>
      </w:r>
    </w:p>
    <w:p w:rsidR="00000000" w:rsidRPr="003A7353" w:rsidP="003A7353">
      <w:pPr>
        <w:pStyle w:val="AllowPageBreak"/>
      </w:pPr>
    </w:p>
    <w:p w:rsidR="00000000" w:rsidRPr="003A7353" w:rsidP="003A7353">
      <w:pPr>
        <w:pStyle w:val="Heading1"/>
      </w:pPr>
      <w:bookmarkStart w:id="5" w:name="O_318223"/>
      <w:bookmarkEnd w:id="5"/>
      <w:r w:rsidRPr="003A7353">
        <w:t>Pre-Requisites</w:t>
      </w:r>
    </w:p>
    <w:p w:rsidR="00000000" w:rsidRPr="003A7353" w:rsidP="003A7353">
      <w:pPr>
        <w:pStyle w:val="BodyText"/>
      </w:pPr>
      <w:r w:rsidRPr="003A7353">
        <w:t>Not applicable.</w:t>
      </w:r>
    </w:p>
    <w:p w:rsidR="00000000" w:rsidRPr="003A7353" w:rsidP="003A7353">
      <w:pPr>
        <w:pStyle w:val="AllowPageBreak"/>
      </w:pPr>
    </w:p>
    <w:p w:rsidR="00000000" w:rsidRPr="003A7353" w:rsidP="003A7353">
      <w:pPr>
        <w:pStyle w:val="Heading1"/>
      </w:pPr>
      <w:bookmarkStart w:id="6" w:name="O_318222"/>
      <w:bookmarkEnd w:id="6"/>
      <w:r w:rsidRPr="003A7353">
        <w:t>Employability Skills Information</w:t>
      </w:r>
    </w:p>
    <w:p w:rsidR="00000000" w:rsidRPr="003A7353" w:rsidP="003A7353">
      <w:pPr>
        <w:pStyle w:val="BodyText"/>
      </w:pPr>
      <w:r w:rsidRPr="003A7353">
        <w:t>The required outcomes described in this unit of competency contain applicable fac</w:t>
      </w:r>
      <w:r w:rsidRPr="003A7353">
        <w:t>ets of employability skills. The Employability Skills Summary for the qualification in which this unit of competency is packaged, will assist in identifying employability skills requirements.</w:t>
      </w:r>
    </w:p>
    <w:p w:rsidR="00000000" w:rsidRPr="003A7353" w:rsidP="003A7353">
      <w:pPr>
        <w:pStyle w:val="BodyText"/>
      </w:pPr>
      <w:r w:rsidRPr="003A7353">
        <w:t>The required outcomes described in this unit of competency conta</w:t>
      </w:r>
      <w:r w:rsidRPr="003A7353">
        <w:t>in applicable facets of employability skills. The Employability Skills Summary for the qualification in which this unit of competency is packaged, will assist in identifying employability skills requirements.</w:t>
      </w:r>
    </w:p>
    <w:p w:rsidR="00000000" w:rsidRPr="003A7353" w:rsidP="003A7353">
      <w:pPr>
        <w:pStyle w:val="AllowPageBreak"/>
      </w:pPr>
    </w:p>
    <w:p w:rsidR="00000000" w:rsidRPr="003A7353" w:rsidP="003A7353">
      <w:pPr>
        <w:pStyle w:val="Heading1"/>
      </w:pPr>
      <w:bookmarkStart w:id="7" w:name="O_318221"/>
      <w:bookmarkEnd w:id="7"/>
      <w:r w:rsidRPr="003A7353">
        <w:t>Elements and Performance Criteria Pre-Content</w:t>
      </w:r>
    </w:p>
    <w:p w:rsidR="00000000" w:rsidRPr="003A7353" w:rsidP="003A7353">
      <w:pPr>
        <w:pStyle w:val="BodyText"/>
      </w:pPr>
      <w:r w:rsidRPr="003A7353">
        <w:t>Elements define the essential outcomes of a unit of competency.</w:t>
      </w:r>
    </w:p>
    <w:p w:rsidR="00000000" w:rsidRPr="003A7353" w:rsidP="003A7353">
      <w:pPr>
        <w:pStyle w:val="BodyText"/>
      </w:pPr>
      <w:r w:rsidRPr="003A7353">
        <w:t xml:space="preserve">Performance Criteria describe the required performance needed to demonstrate achievement of the Element. </w:t>
      </w:r>
      <w:r w:rsidRPr="003A7353">
        <w:rPr>
          <w:rStyle w:val="SpecialBold"/>
        </w:rPr>
        <w:t xml:space="preserve">Bold, italicised </w:t>
      </w:r>
      <w:r w:rsidRPr="003A7353">
        <w:t xml:space="preserve">terms are elaborated in </w:t>
      </w:r>
      <w:r w:rsidRPr="003A7353">
        <w:t>the Range Statement. Assessment of performance is to be consistent with the Evidence Guide.</w:t>
      </w:r>
    </w:p>
    <w:p w:rsidR="00000000" w:rsidRPr="003A7353" w:rsidP="003A7353">
      <w:pPr>
        <w:pStyle w:val="BodyText"/>
      </w:pPr>
      <w:r w:rsidRPr="003A7353">
        <w:t>Elements define the essential outcomes of a unit of competency.</w:t>
      </w:r>
    </w:p>
    <w:p w:rsidR="00000000" w:rsidRPr="003A7353" w:rsidP="003A7353">
      <w:pPr>
        <w:pStyle w:val="BodyText"/>
      </w:pPr>
      <w:r w:rsidRPr="003A7353">
        <w:t>Performance Criteria describe the required performance needed to demonstrate achievement of the Elem</w:t>
      </w:r>
      <w:r w:rsidRPr="003A7353">
        <w:t xml:space="preserve">ent. </w:t>
      </w:r>
      <w:r w:rsidRPr="003A7353">
        <w:rPr>
          <w:rStyle w:val="SpecialBold"/>
        </w:rPr>
        <w:t xml:space="preserve">Bold, italicised </w:t>
      </w:r>
      <w:r w:rsidRPr="003A7353">
        <w:t>terms are elaborated in the Range Statement. Assessment of performance is to be consistent with the Evidence Guide.</w:t>
      </w:r>
    </w:p>
    <w:p w:rsidR="00000000" w:rsidRPr="003A7353" w:rsidP="003A7353">
      <w:pPr>
        <w:pStyle w:val="AllowPageBreak"/>
      </w:pPr>
    </w:p>
    <w:p w:rsidR="00000000" w:rsidRPr="003A7353" w:rsidP="003A7353">
      <w:pPr>
        <w:pStyle w:val="Heading1"/>
      </w:pPr>
      <w:bookmarkStart w:id="8" w:name="O_318215"/>
      <w:bookmarkEnd w:id="8"/>
      <w:r w:rsidRPr="003A735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7E6D1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3A7353">
            <w:pPr>
              <w:pStyle w:val="BodyText"/>
              <w:rPr>
                <w:lang w:val="en-NZ"/>
              </w:rPr>
            </w:pPr>
            <w:r w:rsidRPr="003A7353">
              <w:rPr>
                <w:rStyle w:val="SpecialBold"/>
              </w:rPr>
              <w:t>Elements and Performance Criteria</w:t>
            </w:r>
          </w:p>
        </w:tc>
      </w:tr>
      <w:tr w:rsidTr="007E6D1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3A7353" w:rsidP="003A7353">
            <w:pPr>
              <w:pStyle w:val="BodyText"/>
            </w:pPr>
            <w:r w:rsidRPr="003A735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3A7353">
            <w:pPr>
              <w:pStyle w:val="BodyText"/>
              <w:rPr>
                <w:lang w:val="en-NZ"/>
              </w:rPr>
            </w:pPr>
            <w:r w:rsidRPr="003A7353">
              <w:rPr>
                <w:rStyle w:val="SpecialBold"/>
              </w:rPr>
              <w:t>Performance Criteria</w:t>
            </w:r>
          </w:p>
        </w:tc>
      </w:tr>
      <w:tr w:rsidTr="007E6D1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A7353">
            <w:pPr>
              <w:pStyle w:val="BodyText"/>
              <w:rPr>
                <w:lang w:val="en-NZ"/>
              </w:rPr>
            </w:pPr>
            <w:r w:rsidRPr="003A7353">
              <w:t>1</w:t>
            </w:r>
          </w:p>
        </w:tc>
        <w:tc>
          <w:tcPr>
            <w:tcW w:w="3000" w:type="dxa"/>
            <w:vMerge w:val="restart"/>
            <w:tcBorders>
              <w:top w:val="nil"/>
              <w:left w:val="nil"/>
              <w:bottom w:val="nil"/>
              <w:right w:val="nil"/>
            </w:tcBorders>
            <w:tcMar>
              <w:top w:w="0" w:type="dxa"/>
              <w:left w:w="62" w:type="dxa"/>
              <w:bottom w:w="0" w:type="dxa"/>
              <w:right w:w="62" w:type="dxa"/>
            </w:tcMar>
          </w:tcPr>
          <w:p w:rsidR="00000000" w:rsidP="003A7353">
            <w:pPr>
              <w:pStyle w:val="BodyText"/>
              <w:rPr>
                <w:lang w:val="en-NZ"/>
              </w:rPr>
            </w:pPr>
            <w:r w:rsidRPr="003A7353">
              <w:t>Batch monetary items</w:t>
            </w:r>
          </w:p>
        </w:tc>
        <w:tc>
          <w:tcPr>
            <w:tcW w:w="500" w:type="dxa"/>
            <w:tcBorders>
              <w:top w:val="nil"/>
              <w:left w:val="nil"/>
              <w:bottom w:val="nil"/>
              <w:right w:val="nil"/>
            </w:tcBorders>
            <w:tcMar>
              <w:top w:w="0" w:type="dxa"/>
              <w:left w:w="62" w:type="dxa"/>
              <w:bottom w:w="0" w:type="dxa"/>
              <w:right w:w="62" w:type="dxa"/>
            </w:tcMar>
          </w:tcPr>
          <w:p w:rsidR="00000000" w:rsidP="003A7353">
            <w:pPr>
              <w:pStyle w:val="BodyText"/>
              <w:rPr>
                <w:lang w:val="en-NZ"/>
              </w:rPr>
            </w:pPr>
            <w:r w:rsidRPr="003A7353">
              <w:t>1.1</w:t>
            </w:r>
          </w:p>
        </w:tc>
        <w:tc>
          <w:tcPr>
            <w:tcW w:w="5100" w:type="dxa"/>
            <w:tcBorders>
              <w:top w:val="nil"/>
              <w:left w:val="nil"/>
              <w:bottom w:val="nil"/>
              <w:right w:val="nil"/>
            </w:tcBorders>
            <w:tcMar>
              <w:top w:w="0" w:type="dxa"/>
              <w:left w:w="62" w:type="dxa"/>
              <w:bottom w:w="0" w:type="dxa"/>
              <w:right w:w="62" w:type="dxa"/>
            </w:tcMar>
          </w:tcPr>
          <w:p w:rsidR="00000000" w:rsidP="003A7353">
            <w:pPr>
              <w:pStyle w:val="BodyText"/>
              <w:rPr>
                <w:lang w:val="en-NZ"/>
              </w:rPr>
            </w:pPr>
            <w:r w:rsidRPr="003A7353">
              <w:t>Items are batched completely and accurately</w:t>
            </w:r>
          </w:p>
        </w:tc>
      </w:tr>
      <w:tr w:rsidTr="007E6D1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3A7353" w:rsidP="003A7353">
            <w:pPr>
              <w:pStyle w:val="BodyText"/>
            </w:pPr>
            <w:r w:rsidRPr="003A7353">
              <w:t>1.2</w:t>
            </w:r>
          </w:p>
        </w:tc>
        <w:tc>
          <w:tcPr>
            <w:tcW w:w="5100" w:type="dxa"/>
            <w:tcBorders>
              <w:top w:val="nil"/>
              <w:left w:val="nil"/>
              <w:bottom w:val="nil"/>
              <w:right w:val="nil"/>
            </w:tcBorders>
            <w:tcMar>
              <w:top w:w="0" w:type="dxa"/>
              <w:left w:w="62" w:type="dxa"/>
              <w:bottom w:w="0" w:type="dxa"/>
              <w:right w:w="62" w:type="dxa"/>
            </w:tcMar>
          </w:tcPr>
          <w:p w:rsidR="00000000" w:rsidP="003A7353">
            <w:pPr>
              <w:pStyle w:val="BodyText"/>
              <w:rPr>
                <w:lang w:val="en-NZ"/>
              </w:rPr>
            </w:pPr>
            <w:r w:rsidRPr="003A7353">
              <w:rPr>
                <w:rStyle w:val="SpecialBold"/>
              </w:rPr>
              <w:t xml:space="preserve">Batch </w:t>
            </w:r>
            <w:r w:rsidRPr="003A7353">
              <w:t>items are matched to initial receipt records precisely</w:t>
            </w:r>
          </w:p>
        </w:tc>
      </w:tr>
      <w:tr w:rsidTr="007E6D1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A7353">
            <w:pPr>
              <w:pStyle w:val="BodyText"/>
              <w:rPr>
                <w:lang w:val="en-NZ"/>
              </w:rPr>
            </w:pPr>
            <w:r w:rsidRPr="003A7353">
              <w:t>2</w:t>
            </w:r>
          </w:p>
        </w:tc>
        <w:tc>
          <w:tcPr>
            <w:tcW w:w="3000" w:type="dxa"/>
            <w:vMerge w:val="restart"/>
            <w:tcBorders>
              <w:top w:val="nil"/>
              <w:left w:val="nil"/>
              <w:bottom w:val="nil"/>
              <w:right w:val="nil"/>
            </w:tcBorders>
            <w:tcMar>
              <w:top w:w="0" w:type="dxa"/>
              <w:left w:w="62" w:type="dxa"/>
              <w:bottom w:w="0" w:type="dxa"/>
              <w:right w:w="62" w:type="dxa"/>
            </w:tcMar>
          </w:tcPr>
          <w:p w:rsidR="00000000" w:rsidP="003A7353">
            <w:pPr>
              <w:pStyle w:val="BodyText"/>
              <w:rPr>
                <w:lang w:val="en-NZ"/>
              </w:rPr>
            </w:pPr>
            <w:r w:rsidRPr="003A7353">
              <w:t>Prepare deposit facility</w:t>
            </w:r>
          </w:p>
        </w:tc>
        <w:tc>
          <w:tcPr>
            <w:tcW w:w="500" w:type="dxa"/>
            <w:tcBorders>
              <w:top w:val="nil"/>
              <w:left w:val="nil"/>
              <w:bottom w:val="nil"/>
              <w:right w:val="nil"/>
            </w:tcBorders>
            <w:tcMar>
              <w:top w:w="0" w:type="dxa"/>
              <w:left w:w="62" w:type="dxa"/>
              <w:bottom w:w="0" w:type="dxa"/>
              <w:right w:w="62" w:type="dxa"/>
            </w:tcMar>
          </w:tcPr>
          <w:p w:rsidR="00000000" w:rsidRPr="003A7353" w:rsidP="003A7353">
            <w:pPr>
              <w:pStyle w:val="BodyText"/>
            </w:pPr>
            <w:r w:rsidRPr="003A7353">
              <w:t>2.1</w:t>
            </w:r>
          </w:p>
        </w:tc>
        <w:tc>
          <w:tcPr>
            <w:tcW w:w="5100" w:type="dxa"/>
            <w:tcBorders>
              <w:top w:val="nil"/>
              <w:left w:val="nil"/>
              <w:bottom w:val="nil"/>
              <w:right w:val="nil"/>
            </w:tcBorders>
            <w:tcMar>
              <w:top w:w="0" w:type="dxa"/>
              <w:left w:w="62" w:type="dxa"/>
              <w:bottom w:w="0" w:type="dxa"/>
              <w:right w:w="62" w:type="dxa"/>
            </w:tcMar>
          </w:tcPr>
          <w:p w:rsidR="00000000" w:rsidP="003A7353">
            <w:pPr>
              <w:pStyle w:val="BodyText"/>
              <w:rPr>
                <w:lang w:val="en-NZ"/>
              </w:rPr>
            </w:pPr>
            <w:r w:rsidRPr="003A7353">
              <w:rPr>
                <w:rStyle w:val="SpecialBold"/>
              </w:rPr>
              <w:t xml:space="preserve">Deposit facility </w:t>
            </w:r>
            <w:r w:rsidRPr="003A7353">
              <w:t xml:space="preserve">selected is appropriate to the </w:t>
            </w:r>
            <w:r w:rsidRPr="003A7353">
              <w:rPr>
                <w:rStyle w:val="SpecialBold"/>
              </w:rPr>
              <w:t xml:space="preserve">banking method </w:t>
            </w:r>
            <w:r w:rsidRPr="003A7353">
              <w:t>used</w:t>
            </w:r>
          </w:p>
        </w:tc>
      </w:tr>
      <w:tr w:rsidTr="007E6D1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A7353">
            <w:pPr>
              <w:pStyle w:val="BodyText"/>
              <w:rPr>
                <w:lang w:val="en-NZ"/>
              </w:rPr>
            </w:pPr>
            <w:r w:rsidRPr="003A7353">
              <w:t>2.2</w:t>
            </w:r>
          </w:p>
        </w:tc>
        <w:tc>
          <w:tcPr>
            <w:tcW w:w="5100" w:type="dxa"/>
            <w:tcBorders>
              <w:top w:val="nil"/>
              <w:left w:val="nil"/>
              <w:bottom w:val="nil"/>
              <w:right w:val="nil"/>
            </w:tcBorders>
            <w:tcMar>
              <w:top w:w="0" w:type="dxa"/>
              <w:left w:w="62" w:type="dxa"/>
              <w:bottom w:w="0" w:type="dxa"/>
              <w:right w:w="62" w:type="dxa"/>
            </w:tcMar>
          </w:tcPr>
          <w:p w:rsidR="00000000" w:rsidP="003A7353">
            <w:pPr>
              <w:pStyle w:val="BodyText"/>
              <w:rPr>
                <w:lang w:val="en-NZ"/>
              </w:rPr>
            </w:pPr>
            <w:r w:rsidRPr="003A7353">
              <w:t>Batch is balanced with deposit facility without error</w:t>
            </w:r>
          </w:p>
        </w:tc>
      </w:tr>
      <w:tr w:rsidTr="007E6D1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A7353">
            <w:pPr>
              <w:pStyle w:val="BodyText"/>
              <w:rPr>
                <w:lang w:val="en-NZ"/>
              </w:rPr>
            </w:pPr>
            <w:r w:rsidRPr="003A7353">
              <w:t>3</w:t>
            </w:r>
          </w:p>
        </w:tc>
        <w:tc>
          <w:tcPr>
            <w:tcW w:w="3000" w:type="dxa"/>
            <w:vMerge w:val="restart"/>
            <w:tcBorders>
              <w:top w:val="nil"/>
              <w:left w:val="nil"/>
              <w:bottom w:val="nil"/>
              <w:right w:val="nil"/>
            </w:tcBorders>
            <w:tcMar>
              <w:top w:w="0" w:type="dxa"/>
              <w:left w:w="62" w:type="dxa"/>
              <w:bottom w:w="0" w:type="dxa"/>
              <w:right w:w="62" w:type="dxa"/>
            </w:tcMar>
          </w:tcPr>
          <w:p w:rsidR="00000000" w:rsidP="003A7353">
            <w:pPr>
              <w:pStyle w:val="BodyText"/>
              <w:rPr>
                <w:lang w:val="en-NZ"/>
              </w:rPr>
            </w:pPr>
            <w:r w:rsidRPr="003A7353">
              <w:t>Lodge flows</w:t>
            </w:r>
          </w:p>
        </w:tc>
        <w:tc>
          <w:tcPr>
            <w:tcW w:w="500" w:type="dxa"/>
            <w:tcBorders>
              <w:top w:val="nil"/>
              <w:left w:val="nil"/>
              <w:bottom w:val="nil"/>
              <w:right w:val="nil"/>
            </w:tcBorders>
            <w:tcMar>
              <w:top w:w="0" w:type="dxa"/>
              <w:left w:w="62" w:type="dxa"/>
              <w:bottom w:w="0" w:type="dxa"/>
              <w:right w:w="62" w:type="dxa"/>
            </w:tcMar>
          </w:tcPr>
          <w:p w:rsidR="00000000" w:rsidRPr="003A7353" w:rsidP="003A7353">
            <w:pPr>
              <w:pStyle w:val="BodyText"/>
            </w:pPr>
            <w:r w:rsidRPr="003A7353">
              <w:t>3.1</w:t>
            </w:r>
          </w:p>
        </w:tc>
        <w:tc>
          <w:tcPr>
            <w:tcW w:w="5100" w:type="dxa"/>
            <w:tcBorders>
              <w:top w:val="nil"/>
              <w:left w:val="nil"/>
              <w:bottom w:val="nil"/>
              <w:right w:val="nil"/>
            </w:tcBorders>
            <w:tcMar>
              <w:top w:w="0" w:type="dxa"/>
              <w:left w:w="62" w:type="dxa"/>
              <w:bottom w:w="0" w:type="dxa"/>
              <w:right w:w="62" w:type="dxa"/>
            </w:tcMar>
          </w:tcPr>
          <w:p w:rsidR="00000000" w:rsidP="003A7353">
            <w:pPr>
              <w:pStyle w:val="BodyText"/>
              <w:rPr>
                <w:lang w:val="en-NZ"/>
              </w:rPr>
            </w:pPr>
            <w:r w:rsidRPr="003A7353">
              <w:rPr>
                <w:rStyle w:val="SpecialBold"/>
              </w:rPr>
              <w:t xml:space="preserve">Security </w:t>
            </w:r>
            <w:r w:rsidRPr="003A7353">
              <w:t xml:space="preserve">and safety precautions are taken appropriate to the method of banking in accordance with </w:t>
            </w:r>
            <w:r w:rsidRPr="003A7353">
              <w:rPr>
                <w:rStyle w:val="SpecialBold"/>
              </w:rPr>
              <w:t>company policy and industry and legislative requirements</w:t>
            </w:r>
          </w:p>
        </w:tc>
      </w:tr>
      <w:tr w:rsidTr="007E6D1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3A7353" w:rsidP="003A7353">
            <w:pPr>
              <w:pStyle w:val="BodyText"/>
            </w:pPr>
            <w:r w:rsidRPr="003A7353">
              <w:t>3.2</w:t>
            </w:r>
          </w:p>
        </w:tc>
        <w:tc>
          <w:tcPr>
            <w:tcW w:w="5100" w:type="dxa"/>
            <w:tcBorders>
              <w:top w:val="nil"/>
              <w:left w:val="nil"/>
              <w:bottom w:val="nil"/>
              <w:right w:val="nil"/>
            </w:tcBorders>
            <w:tcMar>
              <w:top w:w="0" w:type="dxa"/>
              <w:left w:w="62" w:type="dxa"/>
              <w:bottom w:w="0" w:type="dxa"/>
              <w:right w:w="62" w:type="dxa"/>
            </w:tcMar>
          </w:tcPr>
          <w:p w:rsidR="00000000" w:rsidRPr="003A7353" w:rsidP="003A7353">
            <w:pPr>
              <w:pStyle w:val="BodyText"/>
            </w:pPr>
            <w:r w:rsidRPr="003A7353">
              <w:rPr>
                <w:rStyle w:val="SpecialBold"/>
              </w:rPr>
              <w:t xml:space="preserve">Proof of lodgement </w:t>
            </w:r>
            <w:r w:rsidRPr="003A7353">
              <w:t xml:space="preserve">is obtained and filed in accordance with </w:t>
            </w:r>
            <w:r w:rsidRPr="003A7353">
              <w:rPr>
                <w:rStyle w:val="SpecialBold"/>
              </w:rPr>
              <w:t>company procedures</w:t>
            </w:r>
          </w:p>
        </w:tc>
      </w:tr>
    </w:tbl>
    <w:p w:rsidR="00000000" w:rsidRPr="003A7353" w:rsidP="003A7353">
      <w:pPr>
        <w:pStyle w:val="BodyText"/>
      </w:pPr>
    </w:p>
    <w:p w:rsidR="00000000" w:rsidRPr="003A7353" w:rsidP="003A7353">
      <w:pPr>
        <w:pStyle w:val="AllowPageBreak"/>
      </w:pPr>
    </w:p>
    <w:p w:rsidR="00000000" w:rsidRPr="003A7353" w:rsidP="003A7353">
      <w:pPr>
        <w:pStyle w:val="Heading1"/>
      </w:pPr>
      <w:bookmarkStart w:id="9" w:name="O_318220"/>
      <w:bookmarkEnd w:id="9"/>
      <w:r w:rsidRPr="003A7353">
        <w:t>Required Skills and Knowledge</w:t>
      </w:r>
    </w:p>
    <w:tbl>
      <w:tblPr>
        <w:tblW w:w="0" w:type="auto"/>
        <w:tblLayout w:type="fixed"/>
        <w:tblCellMar>
          <w:left w:w="62" w:type="dxa"/>
          <w:right w:w="62" w:type="dxa"/>
        </w:tblCellMar>
        <w:tblLook w:val="0000"/>
      </w:tblPr>
      <w:tblGrid>
        <w:gridCol w:w="9000"/>
      </w:tblGrid>
      <w:tr w:rsidTr="007E6D1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A7353">
            <w:pPr>
              <w:pStyle w:val="BodyText"/>
              <w:rPr>
                <w:lang w:val="en-NZ"/>
              </w:rPr>
            </w:pPr>
            <w:r w:rsidRPr="003A7353">
              <w:rPr>
                <w:rStyle w:val="SpecialBold"/>
              </w:rPr>
              <w:t>REQUIRED KNOWLEDGE</w:t>
            </w:r>
            <w:r w:rsidRPr="003A7353">
              <w:t>&amp;</w:t>
            </w:r>
            <w:r w:rsidRPr="003A7353">
              <w:rPr>
                <w:rStyle w:val="SpecialBold"/>
              </w:rPr>
              <w:t>SKILLS</w:t>
            </w:r>
          </w:p>
        </w:tc>
      </w:tr>
      <w:tr w:rsidTr="007E6D1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3A7353" w:rsidP="003A7353">
            <w:pPr>
              <w:pStyle w:val="BodyText"/>
            </w:pPr>
            <w:r w:rsidRPr="003A7353">
              <w:rPr>
                <w:rStyle w:val="SpecialBold"/>
              </w:rPr>
              <w:t>Knowledge requirements include</w:t>
            </w:r>
            <w:r w:rsidRPr="003A7353">
              <w:t xml:space="preserve">: </w:t>
            </w:r>
          </w:p>
          <w:p w:rsidR="00000000" w:rsidRPr="003A7353" w:rsidP="003A7353">
            <w:pPr>
              <w:pStyle w:val="BodyText"/>
            </w:pPr>
            <w:r w:rsidRPr="003A7353">
              <w:t>company policy and procedures</w:t>
            </w:r>
          </w:p>
          <w:p w:rsidR="00000000" w:rsidRPr="003A7353" w:rsidP="003A7353">
            <w:pPr>
              <w:pStyle w:val="BodyText"/>
            </w:pPr>
            <w:r w:rsidRPr="003A7353">
              <w:t>knowledge or awareness of relevant acts and regulations</w:t>
            </w:r>
          </w:p>
          <w:p w:rsidR="00000000" w:rsidRPr="003A7353" w:rsidP="003A7353">
            <w:pPr>
              <w:pStyle w:val="BodyText"/>
            </w:pPr>
            <w:r w:rsidRPr="003A7353">
              <w:t>legal systems and procedures</w:t>
            </w:r>
          </w:p>
          <w:p w:rsidR="00000000" w:rsidRPr="003A7353" w:rsidP="003A7353">
            <w:pPr>
              <w:pStyle w:val="BodyText"/>
            </w:pPr>
            <w:r w:rsidRPr="003A7353">
              <w:t>industry codes of practice</w:t>
            </w:r>
          </w:p>
          <w:p w:rsidR="00000000" w:rsidRPr="003A7353" w:rsidP="003A7353">
            <w:pPr>
              <w:pStyle w:val="BodyText"/>
            </w:pPr>
            <w:r w:rsidRPr="003A7353">
              <w:t>computer systems</w:t>
            </w:r>
          </w:p>
          <w:p w:rsidR="00000000" w:rsidP="003A7353">
            <w:pPr>
              <w:pStyle w:val="BodyText"/>
              <w:rPr>
                <w:lang w:val="en-NZ"/>
              </w:rPr>
            </w:pPr>
            <w:r w:rsidRPr="003A7353">
              <w:t xml:space="preserve">procedure writing </w:t>
            </w:r>
          </w:p>
        </w:tc>
      </w:tr>
      <w:tr w:rsidTr="007E6D1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3A7353" w:rsidP="003A7353">
            <w:pPr>
              <w:pStyle w:val="BodyText"/>
            </w:pPr>
            <w:r w:rsidRPr="003A7353">
              <w:rPr>
                <w:rStyle w:val="SpecialBold"/>
              </w:rPr>
              <w:t>Skills requirements include</w:t>
            </w:r>
            <w:r w:rsidRPr="003A7353">
              <w:t xml:space="preserve">: </w:t>
            </w:r>
          </w:p>
          <w:p w:rsidR="00000000" w:rsidRPr="003A7353" w:rsidP="003A7353">
            <w:pPr>
              <w:pStyle w:val="BodyText"/>
            </w:pPr>
            <w:r w:rsidRPr="003A7353">
              <w:t>computerised spreadsheet and database</w:t>
            </w:r>
          </w:p>
          <w:p w:rsidR="00000000" w:rsidRPr="003A7353" w:rsidP="003A7353">
            <w:pPr>
              <w:pStyle w:val="BodyText"/>
            </w:pPr>
            <w:r w:rsidRPr="003A7353">
              <w:t>data analysis and interpretation</w:t>
            </w:r>
          </w:p>
          <w:p w:rsidR="00000000" w:rsidRPr="003A7353" w:rsidP="003A7353">
            <w:pPr>
              <w:pStyle w:val="BodyText"/>
            </w:pPr>
            <w:r w:rsidRPr="003A7353">
              <w:t>evaluative and general analytical skills</w:t>
            </w:r>
          </w:p>
          <w:p w:rsidR="00000000" w:rsidRPr="003A7353" w:rsidP="003A7353">
            <w:pPr>
              <w:pStyle w:val="BodyText"/>
            </w:pPr>
            <w:r w:rsidRPr="003A7353">
              <w:t>negotiation and inter</w:t>
            </w:r>
            <w:r w:rsidRPr="003A7353">
              <w:t xml:space="preserve">personal skills </w:t>
            </w:r>
          </w:p>
        </w:tc>
      </w:tr>
    </w:tbl>
    <w:p w:rsidR="00000000" w:rsidRPr="003A7353" w:rsidP="003A7353">
      <w:pPr>
        <w:pStyle w:val="BodyText"/>
      </w:pPr>
    </w:p>
    <w:p w:rsidR="00000000" w:rsidRPr="003A7353" w:rsidP="003A7353">
      <w:pPr>
        <w:pStyle w:val="AllowPageBreak"/>
      </w:pPr>
    </w:p>
    <w:p w:rsidR="00000000" w:rsidRPr="003A7353" w:rsidP="003A7353">
      <w:pPr>
        <w:pStyle w:val="Heading1"/>
      </w:pPr>
      <w:bookmarkStart w:id="10" w:name="O_318227"/>
      <w:bookmarkEnd w:id="10"/>
      <w:r w:rsidRPr="003A7353">
        <w:t>Evidence Guide</w:t>
      </w:r>
    </w:p>
    <w:tbl>
      <w:tblPr>
        <w:tblW w:w="0" w:type="auto"/>
        <w:tblLayout w:type="fixed"/>
        <w:tblCellMar>
          <w:left w:w="62" w:type="dxa"/>
          <w:right w:w="62" w:type="dxa"/>
        </w:tblCellMar>
        <w:tblLook w:val="0000"/>
      </w:tblPr>
      <w:tblGrid>
        <w:gridCol w:w="4500"/>
        <w:gridCol w:w="4500"/>
      </w:tblGrid>
      <w:tr w:rsidTr="007E6D1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A7353">
            <w:pPr>
              <w:pStyle w:val="BodyText"/>
              <w:rPr>
                <w:lang w:val="en-NZ"/>
              </w:rPr>
            </w:pPr>
            <w:r w:rsidRPr="003A7353">
              <w:rPr>
                <w:rStyle w:val="SpecialBold"/>
              </w:rPr>
              <w:t xml:space="preserve"> EVIDENCE GUIDE</w:t>
            </w:r>
          </w:p>
        </w:tc>
      </w:tr>
      <w:tr w:rsidTr="007E6D1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A7353">
            <w:pPr>
              <w:pStyle w:val="BodyText"/>
              <w:rPr>
                <w:lang w:val="en-NZ"/>
              </w:rPr>
            </w:pPr>
            <w:r w:rsidRPr="003A7353">
              <w:t xml:space="preserve">Assessment of performance requirements in the unit should be undertaken in an industry context. The Evidence Guide identifies the critical </w:t>
            </w:r>
            <w:r w:rsidRPr="003A7353">
              <w:t xml:space="preserve">aspects, knowledge and skills to be demonstrated to confirm competency for the unit. Competency is demonstrated by performance of all stated criteria including the Range Statement applicable to the workplace. </w:t>
            </w:r>
          </w:p>
        </w:tc>
      </w:tr>
      <w:tr w:rsidTr="007E6D1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A7353">
            <w:pPr>
              <w:pStyle w:val="BodyText"/>
              <w:rPr>
                <w:lang w:val="en-NZ"/>
              </w:rPr>
            </w:pPr>
            <w:r w:rsidRPr="003A7353">
              <w:rPr>
                <w:rStyle w:val="SpecialBold"/>
              </w:rPr>
              <w:t>Overview of assessment requirements</w:t>
            </w:r>
          </w:p>
        </w:tc>
      </w:tr>
      <w:tr w:rsidTr="007E6D1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3A7353" w:rsidP="003A7353">
            <w:pPr>
              <w:pStyle w:val="BodyText"/>
            </w:pPr>
            <w:r w:rsidRPr="003A7353">
              <w:t>To ach</w:t>
            </w:r>
            <w:r w:rsidRPr="003A7353">
              <w:t xml:space="preserve">ieve competency in this unit, a person must be able to demonstrate: </w:t>
            </w:r>
          </w:p>
          <w:p w:rsidR="00000000" w:rsidRPr="003A7353" w:rsidP="003A7353">
            <w:pPr>
              <w:pStyle w:val="BodyText"/>
            </w:pPr>
            <w:r w:rsidRPr="003A7353">
              <w:t xml:space="preserve">knowledge of relevant industry and legislative requirements </w:t>
            </w:r>
          </w:p>
          <w:p w:rsidR="00000000" w:rsidRPr="003A7353" w:rsidP="003A7353">
            <w:pPr>
              <w:pStyle w:val="BodyText"/>
            </w:pPr>
            <w:r w:rsidRPr="003A7353">
              <w:t xml:space="preserve">knowledge of relevant company policies and procedures  </w:t>
            </w:r>
          </w:p>
          <w:p w:rsidR="00000000" w:rsidRPr="003A7353" w:rsidP="003A7353">
            <w:pPr>
              <w:pStyle w:val="BodyText"/>
            </w:pPr>
            <w:r w:rsidRPr="003A7353">
              <w:t>knowledge of relevant security measures for preparing and banking rece</w:t>
            </w:r>
            <w:r w:rsidRPr="003A7353">
              <w:t xml:space="preserve">ipts </w:t>
            </w:r>
          </w:p>
          <w:p w:rsidR="00000000" w:rsidRPr="003A7353" w:rsidP="003A7353">
            <w:pPr>
              <w:pStyle w:val="BodyText"/>
            </w:pPr>
            <w:r w:rsidRPr="003A7353">
              <w:t xml:space="preserve">ability to batch monetary items </w:t>
            </w:r>
          </w:p>
          <w:p w:rsidR="00000000" w:rsidRPr="003A7353" w:rsidP="003A7353">
            <w:pPr>
              <w:pStyle w:val="BodyText"/>
            </w:pPr>
            <w:r w:rsidRPr="003A7353">
              <w:t xml:space="preserve">ability to prepare deposit facilities </w:t>
            </w:r>
          </w:p>
          <w:p w:rsidR="00000000" w:rsidP="003A7353">
            <w:pPr>
              <w:pStyle w:val="BodyText"/>
              <w:rPr>
                <w:lang w:val="en-NZ"/>
              </w:rPr>
            </w:pPr>
            <w:r w:rsidRPr="003A7353">
              <w:t xml:space="preserve">ability to lodge flows    </w:t>
            </w:r>
          </w:p>
        </w:tc>
      </w:tr>
      <w:tr w:rsidTr="007E6D1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A7353">
            <w:pPr>
              <w:pStyle w:val="BodyText"/>
              <w:rPr>
                <w:lang w:val="en-NZ"/>
              </w:rPr>
            </w:pPr>
            <w:r w:rsidRPr="003A7353">
              <w:rPr>
                <w:rStyle w:val="SpecialBold"/>
              </w:rPr>
              <w:t>Critical aspects of evidence</w:t>
            </w:r>
          </w:p>
        </w:tc>
      </w:tr>
      <w:tr w:rsidTr="007E6D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A7353">
            <w:pPr>
              <w:pStyle w:val="BodyText"/>
              <w:rPr>
                <w:lang w:val="en-NZ"/>
              </w:rPr>
            </w:pPr>
            <w:r w:rsidRPr="003A7353">
              <w:rPr>
                <w:rStyle w:val="SpecialBold"/>
              </w:rPr>
              <w:t>Evidence required for demonstration of consistent performance</w:t>
            </w:r>
            <w:r w:rsidRPr="003A7353">
              <w:t xml:space="preserve">: </w:t>
            </w:r>
          </w:p>
        </w:tc>
        <w:tc>
          <w:tcPr>
            <w:tcW w:w="4500" w:type="dxa"/>
            <w:tcBorders>
              <w:top w:val="nil"/>
              <w:left w:val="nil"/>
              <w:bottom w:val="nil"/>
              <w:right w:val="nil"/>
            </w:tcBorders>
            <w:tcMar>
              <w:top w:w="0" w:type="dxa"/>
              <w:left w:w="62" w:type="dxa"/>
              <w:bottom w:w="0" w:type="dxa"/>
              <w:right w:w="62" w:type="dxa"/>
            </w:tcMar>
          </w:tcPr>
          <w:p w:rsidR="00000000" w:rsidP="003A7353">
            <w:pPr>
              <w:pStyle w:val="BodyText"/>
              <w:rPr>
                <w:lang w:val="en-NZ"/>
              </w:rPr>
            </w:pPr>
            <w:r w:rsidRPr="003A7353">
              <w:t>Competence in this unit must be assessed over a period</w:t>
            </w:r>
            <w:r w:rsidRPr="003A7353">
              <w:t xml:space="preserve"> of time in order to ensure consistency of performance over the Range Statement and contexts applicable to the work environment. </w:t>
            </w:r>
          </w:p>
        </w:tc>
      </w:tr>
      <w:tr w:rsidTr="007E6D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A7353">
            <w:pPr>
              <w:pStyle w:val="BodyText"/>
              <w:rPr>
                <w:lang w:val="en-NZ"/>
              </w:rPr>
            </w:pPr>
            <w:r w:rsidRPr="003A7353">
              <w:rPr>
                <w:rStyle w:val="SpecialBold"/>
              </w:rPr>
              <w:t>Delivery</w:t>
            </w:r>
            <w:r w:rsidRPr="003A7353">
              <w:t>/</w:t>
            </w:r>
            <w:r w:rsidRPr="003A7353">
              <w:rPr>
                <w:rStyle w:val="SpecialBold"/>
              </w:rPr>
              <w:t>relationship to other units</w:t>
            </w:r>
            <w:r w:rsidRPr="003A7353">
              <w:t xml:space="preserve">: </w:t>
            </w:r>
          </w:p>
        </w:tc>
        <w:tc>
          <w:tcPr>
            <w:tcW w:w="4500" w:type="dxa"/>
            <w:tcBorders>
              <w:top w:val="nil"/>
              <w:left w:val="nil"/>
              <w:bottom w:val="nil"/>
              <w:right w:val="nil"/>
            </w:tcBorders>
            <w:tcMar>
              <w:top w:w="0" w:type="dxa"/>
              <w:left w:w="62" w:type="dxa"/>
              <w:bottom w:w="0" w:type="dxa"/>
              <w:right w:w="62" w:type="dxa"/>
            </w:tcMar>
          </w:tcPr>
          <w:p w:rsidR="00000000" w:rsidRPr="003A7353" w:rsidP="003A7353">
            <w:pPr>
              <w:pStyle w:val="BodyText"/>
            </w:pPr>
            <w:r w:rsidRPr="003A7353">
              <w:t>This unit may be assessed on its own or it may be assessed with other units that cover related skills and knowledge.</w:t>
            </w:r>
          </w:p>
          <w:p w:rsidR="00000000" w:rsidP="003A7353">
            <w:pPr>
              <w:pStyle w:val="BodyText"/>
              <w:rPr>
                <w:lang w:val="en-NZ"/>
              </w:rPr>
            </w:pPr>
            <w:r w:rsidRPr="003A7353">
              <w:t>Evidence is most relevant when provided through an integrated activity which combines the elements of competency for the unit, or a cluster</w:t>
            </w:r>
            <w:r w:rsidRPr="003A7353">
              <w:t xml:space="preserve"> of units of competency. </w:t>
            </w:r>
          </w:p>
        </w:tc>
      </w:tr>
      <w:tr w:rsidTr="007E6D1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A7353">
            <w:pPr>
              <w:pStyle w:val="BodyText"/>
              <w:rPr>
                <w:lang w:val="en-NZ"/>
              </w:rPr>
            </w:pPr>
            <w:r w:rsidRPr="003A7353">
              <w:rPr>
                <w:rStyle w:val="SpecialBold"/>
              </w:rPr>
              <w:t>Assessment requirements</w:t>
            </w:r>
          </w:p>
        </w:tc>
      </w:tr>
      <w:tr w:rsidTr="007E6D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A7353">
            <w:pPr>
              <w:pStyle w:val="BodyText"/>
              <w:rPr>
                <w:lang w:val="en-NZ"/>
              </w:rPr>
            </w:pPr>
            <w:r w:rsidRPr="003A7353">
              <w:rPr>
                <w:rStyle w:val="SpecialBold"/>
              </w:rPr>
              <w:t>Method of assessment</w:t>
            </w:r>
            <w:r w:rsidRPr="003A7353">
              <w:t xml:space="preserve">: </w:t>
            </w:r>
          </w:p>
        </w:tc>
        <w:tc>
          <w:tcPr>
            <w:tcW w:w="4500" w:type="dxa"/>
            <w:tcBorders>
              <w:top w:val="nil"/>
              <w:left w:val="nil"/>
              <w:bottom w:val="nil"/>
              <w:right w:val="nil"/>
            </w:tcBorders>
            <w:tcMar>
              <w:top w:w="0" w:type="dxa"/>
              <w:left w:w="62" w:type="dxa"/>
              <w:bottom w:w="0" w:type="dxa"/>
              <w:right w:w="62" w:type="dxa"/>
            </w:tcMar>
          </w:tcPr>
          <w:p w:rsidR="00000000" w:rsidP="003A7353">
            <w:pPr>
              <w:pStyle w:val="BodyText"/>
              <w:rPr>
                <w:lang w:val="en-NZ"/>
              </w:rPr>
            </w:pPr>
            <w:r w:rsidRPr="003A7353">
              <w:t xml:space="preserve">For valid and reliable assessment of this unit, evidence must be gathered through a range of methods to indicate consistent performance. </w:t>
            </w:r>
          </w:p>
        </w:tc>
      </w:tr>
      <w:tr w:rsidTr="007E6D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A7353">
            <w:pPr>
              <w:pStyle w:val="BodyText"/>
              <w:rPr>
                <w:lang w:val="en-NZ"/>
              </w:rPr>
            </w:pPr>
            <w:r w:rsidRPr="003A7353">
              <w:t>Assessment of this unit of competence wi</w:t>
            </w:r>
            <w:r w:rsidRPr="003A7353">
              <w:t xml:space="preserve">ll usually include observation of processes and procedures, oral and/or written questioning on underpinning knowledge and skills and other methods as required. </w:t>
            </w:r>
          </w:p>
        </w:tc>
      </w:tr>
      <w:tr w:rsidTr="007E6D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A7353">
            <w:pPr>
              <w:pStyle w:val="BodyText"/>
              <w:rPr>
                <w:lang w:val="en-NZ"/>
              </w:rPr>
            </w:pPr>
            <w:r w:rsidRPr="003A7353">
              <w:rPr>
                <w:rStyle w:val="SpecialBold"/>
              </w:rPr>
              <w:t>Context of assessment</w:t>
            </w:r>
            <w:r w:rsidRPr="003A7353">
              <w:t xml:space="preserve">: </w:t>
            </w:r>
          </w:p>
        </w:tc>
        <w:tc>
          <w:tcPr>
            <w:tcW w:w="4500" w:type="dxa"/>
            <w:tcBorders>
              <w:top w:val="nil"/>
              <w:left w:val="nil"/>
              <w:bottom w:val="nil"/>
              <w:right w:val="nil"/>
            </w:tcBorders>
            <w:tcMar>
              <w:top w:w="0" w:type="dxa"/>
              <w:left w:w="62" w:type="dxa"/>
              <w:bottom w:w="0" w:type="dxa"/>
              <w:right w:w="62" w:type="dxa"/>
            </w:tcMar>
          </w:tcPr>
          <w:p w:rsidR="00000000" w:rsidRPr="003A7353" w:rsidP="003A7353">
            <w:pPr>
              <w:pStyle w:val="BodyText"/>
            </w:pPr>
            <w:r w:rsidRPr="003A7353">
              <w:t>Assessment of performance requirements in this unit should be undertak</w:t>
            </w:r>
            <w:r w:rsidRPr="003A7353">
              <w:t xml:space="preserve">en within the financial services industry context and should cover aspects of personal/financial responsibility and accountability. </w:t>
            </w:r>
          </w:p>
          <w:p w:rsidR="00000000" w:rsidP="003A7353">
            <w:pPr>
              <w:pStyle w:val="BodyText"/>
              <w:rPr>
                <w:lang w:val="en-NZ"/>
              </w:rPr>
            </w:pPr>
            <w:r w:rsidRPr="003A7353">
              <w:t xml:space="preserve">Aspects of competency, including the attainment of relevant knowledge and skills, may be assessed in a relevant workplace, </w:t>
            </w:r>
            <w:r w:rsidRPr="003A7353">
              <w:t xml:space="preserve">a closely simulated work environment, or other appropriate means that clearly meet industry competency requirements. </w:t>
            </w:r>
          </w:p>
        </w:tc>
      </w:tr>
      <w:tr w:rsidTr="007E6D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A7353">
            <w:pPr>
              <w:pStyle w:val="BodyText"/>
              <w:rPr>
                <w:lang w:val="en-NZ"/>
              </w:rPr>
            </w:pPr>
            <w:r w:rsidRPr="003A7353">
              <w:rPr>
                <w:rStyle w:val="SpecialBold"/>
              </w:rPr>
              <w:t>Resources required for assessment</w:t>
            </w:r>
            <w:r w:rsidRPr="003A7353">
              <w:t xml:space="preserve">: </w:t>
            </w:r>
          </w:p>
        </w:tc>
        <w:tc>
          <w:tcPr>
            <w:tcW w:w="4500" w:type="dxa"/>
            <w:tcBorders>
              <w:top w:val="nil"/>
              <w:left w:val="nil"/>
              <w:bottom w:val="nil"/>
              <w:right w:val="nil"/>
            </w:tcBorders>
            <w:tcMar>
              <w:top w:w="0" w:type="dxa"/>
              <w:left w:w="62" w:type="dxa"/>
              <w:bottom w:w="0" w:type="dxa"/>
              <w:right w:w="62" w:type="dxa"/>
            </w:tcMar>
          </w:tcPr>
          <w:p w:rsidR="00000000" w:rsidRPr="003A7353" w:rsidP="003A7353">
            <w:pPr>
              <w:pStyle w:val="BodyText"/>
            </w:pPr>
            <w:r w:rsidRPr="003A7353">
              <w:t>Unless otherwise specified, there are no significant resource implications for assessment of this unit, apart from access to a relevant workplace or closely simulated office environment and the use of a range of office equipment, technology and consumables</w:t>
            </w:r>
            <w:r w:rsidRPr="003A7353">
              <w:t xml:space="preserve">. These may include standard commercial computer hardware, software, telephones, facsimiles, and other relevant office equipment. </w:t>
            </w:r>
          </w:p>
        </w:tc>
      </w:tr>
    </w:tbl>
    <w:p w:rsidR="00000000" w:rsidRPr="003A7353" w:rsidP="003A7353">
      <w:pPr>
        <w:pStyle w:val="BodyText"/>
      </w:pPr>
    </w:p>
    <w:p w:rsidR="00000000" w:rsidRPr="003A7353" w:rsidP="003A7353">
      <w:pPr>
        <w:pStyle w:val="AllowPageBreak"/>
      </w:pPr>
    </w:p>
    <w:p w:rsidR="00000000" w:rsidRPr="003A7353" w:rsidP="003A7353">
      <w:pPr>
        <w:pStyle w:val="Heading1"/>
      </w:pPr>
      <w:bookmarkStart w:id="11" w:name="O_318219"/>
      <w:bookmarkEnd w:id="11"/>
      <w:r w:rsidRPr="003A7353">
        <w:t>Range Statement</w:t>
      </w:r>
    </w:p>
    <w:tbl>
      <w:tblPr>
        <w:tblW w:w="0" w:type="auto"/>
        <w:tblLayout w:type="fixed"/>
        <w:tblCellMar>
          <w:left w:w="62" w:type="dxa"/>
          <w:right w:w="62" w:type="dxa"/>
        </w:tblCellMar>
        <w:tblLook w:val="0000"/>
      </w:tblPr>
      <w:tblGrid>
        <w:gridCol w:w="4500"/>
        <w:gridCol w:w="4500"/>
      </w:tblGrid>
      <w:tr w:rsidTr="007E6D1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A7353">
            <w:pPr>
              <w:pStyle w:val="BodyText"/>
              <w:rPr>
                <w:lang w:val="en-NZ"/>
              </w:rPr>
            </w:pPr>
          </w:p>
        </w:tc>
      </w:tr>
      <w:tr w:rsidTr="007E6D1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3A7353" w:rsidP="003A7353">
            <w:pPr>
              <w:pStyle w:val="BodyText"/>
            </w:pPr>
            <w:r w:rsidRPr="003A7353">
              <w:t>The Range Statement relates to the unit of competency as a whole. It allows for differe</w:t>
            </w:r>
            <w:r w:rsidRPr="003A7353">
              <w:t>nt work environments and situations that will affect performance.</w:t>
            </w:r>
          </w:p>
          <w:p w:rsidR="00000000" w:rsidP="003A7353">
            <w:pPr>
              <w:pStyle w:val="BodyText"/>
              <w:rPr>
                <w:lang w:val="en-NZ"/>
              </w:rPr>
            </w:pPr>
            <w:r w:rsidRPr="003A7353">
              <w:t>The following variables may be present with training and assessment depending on the work situation, needs of the candidate, accessibility of the item, and local industry and regional contex</w:t>
            </w:r>
            <w:r w:rsidRPr="003A7353">
              <w:t xml:space="preserve">ts. If </w:t>
            </w:r>
            <w:r w:rsidRPr="003A7353">
              <w:rPr>
                <w:rStyle w:val="SpecialBold"/>
              </w:rPr>
              <w:t>bold italicised</w:t>
            </w:r>
            <w:r w:rsidRPr="003A7353">
              <w:t xml:space="preserve"> text is shown in Performance Criteria, details of the text are provided in the Range Statement. </w:t>
            </w:r>
          </w:p>
        </w:tc>
      </w:tr>
      <w:tr w:rsidTr="007E6D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A7353">
            <w:pPr>
              <w:pStyle w:val="BodyText"/>
              <w:rPr>
                <w:lang w:val="en-NZ"/>
              </w:rPr>
            </w:pPr>
            <w:r w:rsidRPr="003A7353">
              <w:rPr>
                <w:rStyle w:val="SpecialBold"/>
              </w:rPr>
              <w:t>Batches</w:t>
            </w:r>
            <w:r w:rsidRPr="003A7353">
              <w:t xml:space="preserve"> are: </w:t>
            </w:r>
          </w:p>
        </w:tc>
        <w:tc>
          <w:tcPr>
            <w:tcW w:w="4500" w:type="dxa"/>
            <w:tcBorders>
              <w:top w:val="nil"/>
              <w:left w:val="nil"/>
              <w:bottom w:val="nil"/>
              <w:right w:val="nil"/>
            </w:tcBorders>
            <w:tcMar>
              <w:top w:w="0" w:type="dxa"/>
              <w:left w:w="62" w:type="dxa"/>
              <w:bottom w:w="0" w:type="dxa"/>
              <w:right w:w="62" w:type="dxa"/>
            </w:tcMar>
          </w:tcPr>
          <w:p w:rsidR="00000000" w:rsidP="003A7353">
            <w:pPr>
              <w:pStyle w:val="BodyText"/>
              <w:rPr>
                <w:lang w:val="en-NZ"/>
              </w:rPr>
            </w:pPr>
            <w:r w:rsidRPr="003A7353">
              <w:t xml:space="preserve">grouped receipts treated as a separate transaction entity </w:t>
            </w:r>
          </w:p>
        </w:tc>
      </w:tr>
      <w:tr w:rsidTr="007E6D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A7353">
            <w:pPr>
              <w:pStyle w:val="BodyText"/>
              <w:rPr>
                <w:lang w:val="en-NZ"/>
              </w:rPr>
            </w:pPr>
            <w:r w:rsidRPr="003A7353">
              <w:rPr>
                <w:rStyle w:val="SpecialBold"/>
              </w:rPr>
              <w:t>Deposits facilities</w:t>
            </w:r>
            <w:r w:rsidRPr="003A7353">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3A7353" w:rsidP="003A7353">
            <w:pPr>
              <w:pStyle w:val="BodyText"/>
            </w:pPr>
            <w:r w:rsidRPr="003A7353">
              <w:t>bank deposit slip</w:t>
            </w:r>
          </w:p>
          <w:p w:rsidR="00000000" w:rsidP="003A7353">
            <w:pPr>
              <w:pStyle w:val="BodyText"/>
              <w:rPr>
                <w:lang w:val="en-NZ"/>
              </w:rPr>
            </w:pPr>
            <w:r w:rsidRPr="003A7353">
              <w:t xml:space="preserve">direct debit transaction report </w:t>
            </w:r>
          </w:p>
        </w:tc>
      </w:tr>
      <w:tr w:rsidTr="007E6D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A7353">
            <w:pPr>
              <w:pStyle w:val="BodyText"/>
              <w:rPr>
                <w:lang w:val="en-NZ"/>
              </w:rPr>
            </w:pPr>
            <w:r w:rsidRPr="003A7353">
              <w:rPr>
                <w:rStyle w:val="SpecialBold"/>
              </w:rPr>
              <w:t>Banking methods</w:t>
            </w:r>
            <w:r w:rsidRPr="003A735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3A7353" w:rsidP="003A7353">
            <w:pPr>
              <w:pStyle w:val="BodyText"/>
            </w:pPr>
            <w:r w:rsidRPr="003A7353">
              <w:t>personal</w:t>
            </w:r>
          </w:p>
          <w:p w:rsidR="00000000" w:rsidRPr="003A7353" w:rsidP="003A7353">
            <w:pPr>
              <w:pStyle w:val="BodyText"/>
            </w:pPr>
            <w:r w:rsidRPr="003A7353">
              <w:t>through third party security company</w:t>
            </w:r>
          </w:p>
          <w:p w:rsidR="00000000" w:rsidP="003A7353">
            <w:pPr>
              <w:pStyle w:val="BodyText"/>
              <w:rPr>
                <w:lang w:val="en-NZ"/>
              </w:rPr>
            </w:pPr>
            <w:r w:rsidRPr="003A7353">
              <w:t xml:space="preserve">pick-up </w:t>
            </w:r>
          </w:p>
        </w:tc>
      </w:tr>
      <w:tr w:rsidTr="007E6D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A7353">
            <w:pPr>
              <w:pStyle w:val="BodyText"/>
              <w:rPr>
                <w:lang w:val="en-NZ"/>
              </w:rPr>
            </w:pPr>
            <w:r w:rsidRPr="003A7353">
              <w:rPr>
                <w:rStyle w:val="SpecialBold"/>
              </w:rPr>
              <w:t>Security measures</w:t>
            </w:r>
            <w:r w:rsidRPr="003A7353">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3A7353" w:rsidP="003A7353">
            <w:pPr>
              <w:pStyle w:val="BodyText"/>
            </w:pPr>
            <w:r w:rsidRPr="003A7353">
              <w:t>banking of all negotiable instruments on day received</w:t>
            </w:r>
          </w:p>
          <w:p w:rsidR="00000000" w:rsidRPr="003A7353" w:rsidP="003A7353">
            <w:pPr>
              <w:pStyle w:val="BodyText"/>
            </w:pPr>
            <w:r w:rsidRPr="003A7353">
              <w:t>all batches posted on day of receipt</w:t>
            </w:r>
          </w:p>
          <w:p w:rsidR="00000000" w:rsidP="003A7353">
            <w:pPr>
              <w:pStyle w:val="BodyText"/>
              <w:rPr>
                <w:lang w:val="en-NZ"/>
              </w:rPr>
            </w:pPr>
            <w:r w:rsidRPr="003A7353">
              <w:t>cash managemen</w:t>
            </w:r>
            <w:r w:rsidRPr="003A7353">
              <w:t xml:space="preserve">t processes </w:t>
            </w:r>
          </w:p>
        </w:tc>
      </w:tr>
      <w:tr w:rsidTr="007E6D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A7353">
            <w:pPr>
              <w:pStyle w:val="BodyText"/>
              <w:rPr>
                <w:lang w:val="en-NZ"/>
              </w:rPr>
            </w:pPr>
            <w:r w:rsidRPr="003A7353">
              <w:rPr>
                <w:rStyle w:val="SpecialBold"/>
              </w:rPr>
              <w:t>Company policy and procedures</w:t>
            </w:r>
            <w:r w:rsidRPr="003A735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3A7353" w:rsidP="003A7353">
            <w:pPr>
              <w:pStyle w:val="BodyText"/>
            </w:pPr>
            <w:r w:rsidRPr="003A7353">
              <w:t>operations manual</w:t>
            </w:r>
          </w:p>
          <w:p w:rsidR="00000000" w:rsidRPr="003A7353" w:rsidP="003A7353">
            <w:pPr>
              <w:pStyle w:val="BodyText"/>
            </w:pPr>
            <w:r w:rsidRPr="003A7353">
              <w:t>internal control guidelines</w:t>
            </w:r>
          </w:p>
          <w:p w:rsidR="00000000" w:rsidP="003A7353">
            <w:pPr>
              <w:pStyle w:val="BodyText"/>
              <w:rPr>
                <w:lang w:val="en-NZ"/>
              </w:rPr>
            </w:pPr>
            <w:r w:rsidRPr="003A7353">
              <w:t xml:space="preserve">computer system documentation </w:t>
            </w:r>
          </w:p>
        </w:tc>
      </w:tr>
      <w:tr w:rsidTr="007E6D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A7353">
            <w:pPr>
              <w:pStyle w:val="BodyText"/>
              <w:rPr>
                <w:lang w:val="en-NZ"/>
              </w:rPr>
            </w:pPr>
            <w:r w:rsidRPr="003A7353">
              <w:rPr>
                <w:rStyle w:val="SpecialBold"/>
              </w:rPr>
              <w:t>Industry and legislative requirements</w:t>
            </w:r>
            <w:r w:rsidRPr="003A7353">
              <w:t xml:space="preserve"> may cover: </w:t>
            </w:r>
          </w:p>
        </w:tc>
        <w:tc>
          <w:tcPr>
            <w:tcW w:w="4500" w:type="dxa"/>
            <w:tcBorders>
              <w:top w:val="nil"/>
              <w:left w:val="nil"/>
              <w:bottom w:val="nil"/>
              <w:right w:val="nil"/>
            </w:tcBorders>
            <w:tcMar>
              <w:top w:w="0" w:type="dxa"/>
              <w:left w:w="62" w:type="dxa"/>
              <w:bottom w:w="0" w:type="dxa"/>
              <w:right w:w="62" w:type="dxa"/>
            </w:tcMar>
          </w:tcPr>
          <w:p w:rsidR="00000000" w:rsidRPr="003A7353" w:rsidP="003A7353">
            <w:pPr>
              <w:pStyle w:val="BodyText"/>
            </w:pPr>
            <w:r w:rsidRPr="003A7353">
              <w:t>Australian Accounting Standards</w:t>
            </w:r>
          </w:p>
          <w:p w:rsidR="00000000" w:rsidRPr="003A7353" w:rsidP="003A7353">
            <w:pPr>
              <w:pStyle w:val="BodyText"/>
            </w:pPr>
            <w:r w:rsidRPr="003A7353">
              <w:t>relevant insurance act</w:t>
            </w:r>
          </w:p>
          <w:p w:rsidR="00000000" w:rsidRPr="003A7353" w:rsidP="003A7353">
            <w:pPr>
              <w:pStyle w:val="BodyText"/>
            </w:pPr>
            <w:r w:rsidRPr="003A7353">
              <w:t>Consumer Credit legislation</w:t>
            </w:r>
          </w:p>
          <w:p w:rsidR="00000000" w:rsidRPr="003A7353" w:rsidP="003A7353">
            <w:pPr>
              <w:pStyle w:val="BodyText"/>
            </w:pPr>
            <w:r w:rsidRPr="003A7353">
              <w:t>Privacy Act</w:t>
            </w:r>
          </w:p>
          <w:p w:rsidR="00000000" w:rsidRPr="003A7353" w:rsidP="003A7353">
            <w:pPr>
              <w:pStyle w:val="BodyText"/>
            </w:pPr>
            <w:r w:rsidRPr="003A7353">
              <w:t>Taxation Act</w:t>
            </w:r>
          </w:p>
          <w:p w:rsidR="00000000" w:rsidP="003A7353">
            <w:pPr>
              <w:pStyle w:val="BodyText"/>
              <w:rPr>
                <w:lang w:val="en-NZ"/>
              </w:rPr>
            </w:pPr>
            <w:r w:rsidRPr="003A7353">
              <w:t xml:space="preserve">industry code of practice </w:t>
            </w:r>
          </w:p>
        </w:tc>
      </w:tr>
      <w:tr w:rsidTr="007E6D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3A7353" w:rsidP="003A7353">
            <w:pPr>
              <w:pStyle w:val="BodyText"/>
            </w:pPr>
            <w:r w:rsidRPr="003A7353">
              <w:t>Australian Securities and Investments Commission (ASIC) Code</w:t>
            </w:r>
          </w:p>
          <w:p w:rsidR="00000000" w:rsidRPr="003A7353" w:rsidP="003A7353">
            <w:pPr>
              <w:pStyle w:val="BodyText"/>
            </w:pPr>
            <w:r w:rsidRPr="003A7353">
              <w:t>Trade Practices Act</w:t>
            </w:r>
          </w:p>
          <w:p w:rsidR="00000000" w:rsidP="003A7353">
            <w:pPr>
              <w:pStyle w:val="BodyText"/>
              <w:rPr>
                <w:lang w:val="en-NZ"/>
              </w:rPr>
            </w:pPr>
            <w:r w:rsidRPr="003A7353">
              <w:t xml:space="preserve">Stamp Duties Act </w:t>
            </w:r>
          </w:p>
        </w:tc>
      </w:tr>
      <w:tr w:rsidTr="007E6D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A7353">
            <w:pPr>
              <w:pStyle w:val="BodyText"/>
              <w:rPr>
                <w:lang w:val="en-NZ"/>
              </w:rPr>
            </w:pPr>
            <w:r w:rsidRPr="003A7353">
              <w:rPr>
                <w:rStyle w:val="SpecialBold"/>
              </w:rPr>
              <w:t>Proof of lodgement</w:t>
            </w:r>
            <w:r w:rsidRPr="003A735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3A7353" w:rsidP="003A7353">
            <w:pPr>
              <w:pStyle w:val="BodyText"/>
            </w:pPr>
            <w:r w:rsidRPr="003A7353">
              <w:t>bank stamped deposit facility</w:t>
            </w:r>
          </w:p>
          <w:p w:rsidR="00000000" w:rsidRPr="003A7353" w:rsidP="003A7353">
            <w:pPr>
              <w:pStyle w:val="BodyText"/>
            </w:pPr>
            <w:r w:rsidRPr="003A7353">
              <w:t>verified tra</w:t>
            </w:r>
            <w:r w:rsidRPr="003A7353">
              <w:t xml:space="preserve">nsaction listing </w:t>
            </w:r>
          </w:p>
        </w:tc>
      </w:tr>
    </w:tbl>
    <w:p w:rsidR="00000000" w:rsidRPr="003A7353" w:rsidP="003A7353">
      <w:pPr>
        <w:pStyle w:val="BodyText"/>
      </w:pPr>
    </w:p>
    <w:p w:rsidR="00000000" w:rsidRPr="003A7353" w:rsidP="003A7353">
      <w:pPr>
        <w:pStyle w:val="AllowPageBreak"/>
      </w:pPr>
    </w:p>
    <w:p w:rsidR="00000000" w:rsidRPr="003A7353" w:rsidP="003A7353">
      <w:pPr>
        <w:pStyle w:val="Heading1"/>
      </w:pPr>
      <w:bookmarkStart w:id="12" w:name="O_318218"/>
      <w:bookmarkEnd w:id="12"/>
      <w:r w:rsidRPr="003A7353">
        <w:t>Unit Sector(s)</w:t>
      </w:r>
    </w:p>
    <w:p w:rsidR="00000000" w:rsidRPr="003A7353" w:rsidP="003A7353">
      <w:pPr>
        <w:pStyle w:val="BodyText"/>
      </w:pPr>
      <w:r w:rsidRPr="003A7353">
        <w:t>Not applicable.</w:t>
      </w:r>
    </w:p>
    <w:p w:rsidR="00000000" w:rsidRPr="003A7353" w:rsidP="003A7353">
      <w:pPr>
        <w:pStyle w:val="AllowPageBreak"/>
      </w:pPr>
    </w:p>
    <w:p w:rsidR="00000000" w:rsidRPr="003A7353" w:rsidP="003A7353">
      <w:pPr>
        <w:pStyle w:val="Heading1"/>
      </w:pPr>
      <w:bookmarkStart w:id="13" w:name="O_318217"/>
      <w:bookmarkEnd w:id="13"/>
      <w:r w:rsidRPr="003A7353">
        <w:t>Relationship to other units</w:t>
      </w:r>
    </w:p>
    <w:p w:rsidR="00000000" w:rsidRPr="003A7353" w:rsidP="003A7353">
      <w:pPr>
        <w:pStyle w:val="BodyText"/>
      </w:pPr>
      <w:r w:rsidRPr="003A7353">
        <w:t>This unit replaces FNSICACC304A.</w:t>
      </w:r>
    </w:p>
    <w:p w:rsidR="00000000" w:rsidRPr="003A7353" w:rsidP="003A7353">
      <w:pPr>
        <w:pStyle w:val="BodyText"/>
      </w:pPr>
      <w:r w:rsidRPr="003A7353">
        <w:t>This unit replaces FNSICACC304A.</w:t>
      </w:r>
    </w:p>
    <w:p w:rsidR="00000000" w:rsidRPr="003A7353" w:rsidP="003A7353"/>
    <w:sectPr w:rsidSect="003A73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3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6D19" w:rsidP="007E6D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3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D19" w:rsidP="003A73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E6D19" w:rsidP="003A73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E6D19" w:rsidP="003A73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3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6D19" w:rsidP="007E6D1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3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D19" w:rsidP="003A7353">
    <w:pPr>
      <w:pStyle w:val="Header"/>
      <w:framePr w:wrap="around"/>
    </w:pPr>
    <w:r>
      <w:fldChar w:fldCharType="begin"/>
    </w:r>
    <w:r>
      <w:instrText xml:space="preserve"> TITLE   \* MERGEFORMAT </w:instrText>
    </w:r>
    <w:r>
      <w:fldChar w:fldCharType="separate"/>
    </w:r>
    <w:r>
      <w:t>FNSICACC304B Prepare and bank receipts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E6D19" w:rsidP="003A735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35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7353"/>
    <w:pPr>
      <w:spacing w:before="360" w:after="60"/>
      <w:outlineLvl w:val="0"/>
    </w:pPr>
    <w:rPr>
      <w:sz w:val="32"/>
    </w:rPr>
  </w:style>
  <w:style w:type="paragraph" w:styleId="Heading2">
    <w:name w:val="heading 2"/>
    <w:basedOn w:val="HeadingBase"/>
    <w:next w:val="BodyText"/>
    <w:link w:val="Heading2Char"/>
    <w:qFormat/>
    <w:rsid w:val="003A7353"/>
    <w:pPr>
      <w:keepLines/>
      <w:spacing w:before="240" w:after="120"/>
      <w:outlineLvl w:val="1"/>
    </w:pPr>
    <w:rPr>
      <w:sz w:val="28"/>
      <w:szCs w:val="40"/>
    </w:rPr>
  </w:style>
  <w:style w:type="paragraph" w:styleId="Heading3">
    <w:name w:val="heading 3"/>
    <w:basedOn w:val="HeadingBase"/>
    <w:next w:val="BodyText"/>
    <w:link w:val="Heading3Char"/>
    <w:qFormat/>
    <w:rsid w:val="003A7353"/>
    <w:pPr>
      <w:spacing w:before="180" w:after="120"/>
      <w:outlineLvl w:val="2"/>
    </w:pPr>
    <w:rPr>
      <w:spacing w:val="-10"/>
      <w:kern w:val="32"/>
    </w:rPr>
  </w:style>
  <w:style w:type="paragraph" w:styleId="Heading4">
    <w:name w:val="heading 4"/>
    <w:basedOn w:val="HeadingBase"/>
    <w:next w:val="BodyText"/>
    <w:link w:val="Heading4Char"/>
    <w:qFormat/>
    <w:rsid w:val="003A7353"/>
    <w:pPr>
      <w:spacing w:before="160" w:after="120"/>
      <w:outlineLvl w:val="3"/>
    </w:pPr>
    <w:rPr>
      <w:sz w:val="22"/>
    </w:rPr>
  </w:style>
  <w:style w:type="paragraph" w:styleId="Heading5">
    <w:name w:val="heading 5"/>
    <w:basedOn w:val="HeadingBase"/>
    <w:next w:val="Normal"/>
    <w:link w:val="Heading5Char"/>
    <w:qFormat/>
    <w:rsid w:val="003A7353"/>
    <w:pPr>
      <w:spacing w:before="80"/>
      <w:outlineLvl w:val="4"/>
    </w:pPr>
    <w:rPr>
      <w:color w:val="918585"/>
      <w:sz w:val="20"/>
    </w:rPr>
  </w:style>
  <w:style w:type="paragraph" w:styleId="Heading6">
    <w:name w:val="heading 6"/>
    <w:basedOn w:val="HeadingBase"/>
    <w:next w:val="Normal"/>
    <w:link w:val="Heading6Char"/>
    <w:qFormat/>
    <w:rsid w:val="003A7353"/>
    <w:pPr>
      <w:spacing w:before="60"/>
      <w:outlineLvl w:val="5"/>
    </w:pPr>
    <w:rPr>
      <w:color w:val="918585"/>
      <w:sz w:val="20"/>
    </w:rPr>
  </w:style>
  <w:style w:type="paragraph" w:styleId="Heading7">
    <w:name w:val="heading 7"/>
    <w:basedOn w:val="Normal"/>
    <w:next w:val="Normal"/>
    <w:link w:val="Heading7Char"/>
    <w:qFormat/>
    <w:rsid w:val="003A7353"/>
    <w:pPr>
      <w:ind w:left="720"/>
      <w:outlineLvl w:val="6"/>
    </w:pPr>
    <w:rPr>
      <w:i/>
    </w:rPr>
  </w:style>
  <w:style w:type="paragraph" w:styleId="Heading8">
    <w:name w:val="heading 8"/>
    <w:basedOn w:val="Normal"/>
    <w:next w:val="Normal"/>
    <w:link w:val="Heading8Char"/>
    <w:qFormat/>
    <w:rsid w:val="003A7353"/>
    <w:pPr>
      <w:ind w:left="720"/>
      <w:outlineLvl w:val="7"/>
    </w:pPr>
    <w:rPr>
      <w:i/>
    </w:rPr>
  </w:style>
  <w:style w:type="paragraph" w:styleId="Heading9">
    <w:name w:val="heading 9"/>
    <w:basedOn w:val="Normal"/>
    <w:next w:val="Normal"/>
    <w:link w:val="Heading9Char"/>
    <w:qFormat/>
    <w:rsid w:val="003A7353"/>
    <w:pPr>
      <w:ind w:left="720"/>
      <w:outlineLvl w:val="8"/>
    </w:pPr>
    <w:rPr>
      <w:i/>
    </w:rPr>
  </w:style>
  <w:style w:type="character" w:default="1" w:styleId="DefaultParagraphFont">
    <w:name w:val="Default Paragraph Font"/>
    <w:uiPriority w:val="1"/>
    <w:unhideWhenUsed/>
    <w:rsid w:val="003A73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7353"/>
  </w:style>
  <w:style w:type="character" w:customStyle="1" w:styleId="Heading1Char">
    <w:name w:val="Heading 1 Char"/>
    <w:basedOn w:val="DefaultParagraphFont"/>
    <w:link w:val="Heading1"/>
    <w:rsid w:val="003A7353"/>
    <w:rPr>
      <w:rFonts w:ascii="Times New Roman" w:eastAsia="Times New Roman" w:hAnsi="Times New Roman" w:cs="Times New Roman"/>
      <w:b/>
      <w:sz w:val="32"/>
      <w:szCs w:val="20"/>
      <w:lang w:eastAsia="en-US"/>
    </w:rPr>
  </w:style>
  <w:style w:type="paragraph" w:styleId="BodyText">
    <w:name w:val="Body Text"/>
    <w:basedOn w:val="Normal"/>
    <w:link w:val="BodyTextChar"/>
    <w:rsid w:val="003A73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7353"/>
    <w:rPr>
      <w:rFonts w:ascii="Times New Roman" w:eastAsia="Times New Roman" w:hAnsi="Times New Roman" w:cs="Times New Roman"/>
      <w:sz w:val="24"/>
      <w:lang w:val="en-US" w:eastAsia="en-US"/>
    </w:rPr>
  </w:style>
  <w:style w:type="paragraph" w:styleId="Footer">
    <w:name w:val="footer"/>
    <w:basedOn w:val="Normal"/>
    <w:link w:val="FooterChar"/>
    <w:rsid w:val="003A73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7353"/>
    <w:rPr>
      <w:rFonts w:ascii="Times New Roman" w:eastAsia="Times New Roman" w:hAnsi="Times New Roman" w:cs="Times New Roman"/>
      <w:sz w:val="16"/>
      <w:lang w:val="en-US" w:eastAsia="en-US"/>
    </w:rPr>
  </w:style>
  <w:style w:type="character" w:customStyle="1" w:styleId="SpecialBold">
    <w:name w:val="Special Bold"/>
    <w:basedOn w:val="DefaultParagraphFont"/>
    <w:rsid w:val="003A7353"/>
    <w:rPr>
      <w:b/>
      <w:spacing w:val="0"/>
    </w:rPr>
  </w:style>
  <w:style w:type="paragraph" w:styleId="Header">
    <w:name w:val="header"/>
    <w:basedOn w:val="Normal"/>
    <w:link w:val="HeaderChar"/>
    <w:rsid w:val="003A73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735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A7353"/>
    <w:pPr>
      <w:spacing w:before="240" w:after="120"/>
      <w:outlineLvl w:val="0"/>
    </w:pPr>
    <w:rPr>
      <w:rFonts w:ascii="Times New Roman" w:hAnsi="Times New Roman"/>
      <w:b/>
      <w:sz w:val="28"/>
    </w:rPr>
  </w:style>
  <w:style w:type="paragraph" w:customStyle="1" w:styleId="AllowPageBreak">
    <w:name w:val="AllowPageBreak"/>
    <w:rsid w:val="003A73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73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73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73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73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73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735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735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7353"/>
    <w:rPr>
      <w:rFonts w:ascii="Courier New" w:eastAsia="Times New Roman" w:hAnsi="Courier New" w:cs="Times New Roman"/>
      <w:i/>
      <w:szCs w:val="20"/>
      <w:lang w:val="en-US" w:eastAsia="en-US"/>
    </w:rPr>
  </w:style>
  <w:style w:type="paragraph" w:customStyle="1" w:styleId="HeadingBase">
    <w:name w:val="Heading Base"/>
    <w:rsid w:val="003A73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7353"/>
    <w:pPr>
      <w:tabs>
        <w:tab w:val="right" w:leader="dot" w:pos="9072"/>
      </w:tabs>
      <w:ind w:left="567"/>
    </w:pPr>
    <w:rPr>
      <w:szCs w:val="22"/>
    </w:rPr>
  </w:style>
  <w:style w:type="paragraph" w:customStyle="1" w:styleId="TOCBase">
    <w:name w:val="TOC Base"/>
    <w:rsid w:val="003A73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7353"/>
    <w:pPr>
      <w:tabs>
        <w:tab w:val="right" w:leader="dot" w:pos="9072"/>
      </w:tabs>
      <w:spacing w:before="40" w:after="40"/>
      <w:ind w:left="284"/>
    </w:pPr>
    <w:rPr>
      <w:rFonts w:ascii="Times New Roman" w:hAnsi="Times New Roman"/>
    </w:rPr>
  </w:style>
  <w:style w:type="paragraph" w:styleId="TOC1">
    <w:name w:val="toc 1"/>
    <w:basedOn w:val="TOCBase"/>
    <w:next w:val="Normal"/>
    <w:rsid w:val="003A73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7353"/>
    <w:pPr>
      <w:spacing w:before="5040"/>
      <w:jc w:val="center"/>
    </w:pPr>
    <w:rPr>
      <w:sz w:val="48"/>
      <w:szCs w:val="72"/>
      <w:lang w:val="en-US"/>
    </w:rPr>
  </w:style>
  <w:style w:type="character" w:customStyle="1" w:styleId="TitleChar">
    <w:name w:val="Title Char"/>
    <w:basedOn w:val="DefaultParagraphFont"/>
    <w:link w:val="Title"/>
    <w:rsid w:val="003A73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7353"/>
    <w:pPr>
      <w:tabs>
        <w:tab w:val="left" w:pos="3600"/>
        <w:tab w:val="left" w:pos="3958"/>
      </w:tabs>
    </w:pPr>
  </w:style>
  <w:style w:type="paragraph" w:styleId="List">
    <w:name w:val="List"/>
    <w:basedOn w:val="BodyText"/>
    <w:next w:val="BodyText"/>
    <w:rsid w:val="003A7353"/>
    <w:pPr>
      <w:tabs>
        <w:tab w:val="left" w:pos="340"/>
      </w:tabs>
      <w:spacing w:before="60" w:after="60"/>
      <w:ind w:left="340" w:hanging="340"/>
    </w:pPr>
  </w:style>
  <w:style w:type="paragraph" w:styleId="ListBullet">
    <w:name w:val="List Bullet"/>
    <w:basedOn w:val="List"/>
    <w:rsid w:val="003A7353"/>
    <w:pPr>
      <w:numPr>
        <w:numId w:val="11"/>
      </w:numPr>
      <w:tabs>
        <w:tab w:val="clear" w:pos="340"/>
      </w:tabs>
      <w:spacing w:before="40" w:after="40"/>
    </w:pPr>
  </w:style>
  <w:style w:type="paragraph" w:customStyle="1" w:styleId="Note">
    <w:name w:val="Note"/>
    <w:basedOn w:val="BodyText"/>
    <w:rsid w:val="003A73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7353"/>
    <w:pPr>
      <w:framePr w:wrap="auto" w:hAnchor="text" w:y="6049"/>
    </w:pPr>
    <w:rPr>
      <w:color w:val="000000"/>
      <w:sz w:val="40"/>
    </w:rPr>
  </w:style>
  <w:style w:type="paragraph" w:customStyle="1" w:styleId="TOCTitle">
    <w:name w:val="TOCTitle"/>
    <w:basedOn w:val="Heading1"/>
    <w:rsid w:val="003A7353"/>
    <w:pPr>
      <w:spacing w:after="240"/>
      <w:jc w:val="center"/>
      <w:outlineLvl w:val="9"/>
    </w:pPr>
    <w:rPr>
      <w:caps/>
    </w:rPr>
  </w:style>
  <w:style w:type="paragraph" w:customStyle="1" w:styleId="Version">
    <w:name w:val="Version"/>
    <w:rsid w:val="003A73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7353"/>
    <w:pPr>
      <w:numPr>
        <w:numId w:val="12"/>
      </w:numPr>
      <w:tabs>
        <w:tab w:val="clear" w:pos="680"/>
      </w:tabs>
    </w:pPr>
  </w:style>
  <w:style w:type="paragraph" w:styleId="Index1">
    <w:name w:val="index 1"/>
    <w:basedOn w:val="Normal"/>
    <w:next w:val="Normal"/>
    <w:semiHidden/>
    <w:rsid w:val="003A7353"/>
    <w:pPr>
      <w:keepNext w:val="0"/>
      <w:tabs>
        <w:tab w:val="right" w:pos="4176"/>
      </w:tabs>
      <w:ind w:left="198" w:hanging="198"/>
    </w:pPr>
    <w:rPr>
      <w:rFonts w:ascii="Garamond" w:hAnsi="Garamond"/>
    </w:rPr>
  </w:style>
  <w:style w:type="paragraph" w:styleId="IndexHeading">
    <w:name w:val="index heading"/>
    <w:basedOn w:val="Normal"/>
    <w:next w:val="Index1"/>
    <w:semiHidden/>
    <w:rsid w:val="003A7353"/>
    <w:pPr>
      <w:spacing w:before="120" w:after="120"/>
    </w:pPr>
    <w:rPr>
      <w:rFonts w:ascii="Arial" w:hAnsi="Arial"/>
      <w:b/>
      <w:color w:val="918585"/>
      <w:sz w:val="24"/>
    </w:rPr>
  </w:style>
  <w:style w:type="paragraph" w:customStyle="1" w:styleId="Chapter">
    <w:name w:val="Chapter"/>
    <w:basedOn w:val="Normal"/>
    <w:rsid w:val="003A7353"/>
    <w:pPr>
      <w:spacing w:before="240"/>
    </w:pPr>
    <w:rPr>
      <w:rFonts w:ascii="Times New Roman" w:hAnsi="Times New Roman"/>
      <w:smallCaps/>
      <w:spacing w:val="80"/>
      <w:sz w:val="28"/>
    </w:rPr>
  </w:style>
  <w:style w:type="paragraph" w:customStyle="1" w:styleId="InChapter">
    <w:name w:val="InChapter"/>
    <w:basedOn w:val="Heading3"/>
    <w:rsid w:val="003A7353"/>
    <w:pPr>
      <w:spacing w:after="240"/>
      <w:outlineLvl w:val="9"/>
    </w:pPr>
    <w:rPr>
      <w:noProof/>
    </w:rPr>
  </w:style>
  <w:style w:type="paragraph" w:styleId="Index2">
    <w:name w:val="index 2"/>
    <w:basedOn w:val="Normal"/>
    <w:next w:val="Normal"/>
    <w:semiHidden/>
    <w:rsid w:val="003A7353"/>
    <w:pPr>
      <w:tabs>
        <w:tab w:val="right" w:pos="4176"/>
      </w:tabs>
      <w:ind w:left="568" w:hanging="284"/>
    </w:pPr>
    <w:rPr>
      <w:rFonts w:ascii="Garamond" w:hAnsi="Garamond"/>
    </w:rPr>
  </w:style>
  <w:style w:type="paragraph" w:customStyle="1" w:styleId="Byline">
    <w:name w:val="Byline"/>
    <w:rsid w:val="003A73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7353"/>
    <w:pPr>
      <w:tabs>
        <w:tab w:val="clear" w:pos="3600"/>
        <w:tab w:val="clear" w:pos="3958"/>
      </w:tabs>
      <w:jc w:val="right"/>
    </w:pPr>
  </w:style>
  <w:style w:type="character" w:styleId="Emphasis">
    <w:name w:val="Emphasis"/>
    <w:basedOn w:val="DefaultParagraphFont"/>
    <w:qFormat/>
    <w:rsid w:val="003A7353"/>
    <w:rPr>
      <w:i/>
    </w:rPr>
  </w:style>
  <w:style w:type="paragraph" w:styleId="Caption">
    <w:name w:val="caption"/>
    <w:basedOn w:val="BodyText"/>
    <w:next w:val="Normal"/>
    <w:qFormat/>
    <w:rsid w:val="003A7353"/>
    <w:pPr>
      <w:framePr w:w="2268" w:hSpace="181" w:vSpace="181" w:wrap="around" w:vAnchor="text" w:hAnchor="page" w:x="1135" w:y="285" w:anchorLock="1"/>
    </w:pPr>
    <w:rPr>
      <w:i/>
    </w:rPr>
  </w:style>
  <w:style w:type="paragraph" w:customStyle="1" w:styleId="MiniTOCTitle">
    <w:name w:val="MiniTOCTitle"/>
    <w:basedOn w:val="Heading4"/>
    <w:rsid w:val="003A7353"/>
    <w:pPr>
      <w:spacing w:before="240"/>
      <w:outlineLvl w:val="9"/>
    </w:pPr>
    <w:rPr>
      <w:noProof/>
      <w:sz w:val="24"/>
    </w:rPr>
  </w:style>
  <w:style w:type="paragraph" w:customStyle="1" w:styleId="MiniTOCItem">
    <w:name w:val="MiniTOCItem"/>
    <w:basedOn w:val="ListBullet"/>
    <w:rsid w:val="003A7353"/>
    <w:pPr>
      <w:numPr>
        <w:numId w:val="0"/>
      </w:numPr>
      <w:tabs>
        <w:tab w:val="right" w:leader="dot" w:pos="6521"/>
      </w:tabs>
      <w:spacing w:before="0" w:after="0"/>
    </w:pPr>
  </w:style>
  <w:style w:type="paragraph" w:customStyle="1" w:styleId="TOFTitle">
    <w:name w:val="TOFTitle"/>
    <w:basedOn w:val="TOCTitle"/>
    <w:rsid w:val="003A7353"/>
  </w:style>
  <w:style w:type="paragraph" w:styleId="TableofFigures">
    <w:name w:val="table of figures"/>
    <w:basedOn w:val="Normal"/>
    <w:next w:val="Normal"/>
    <w:semiHidden/>
    <w:rsid w:val="003A7353"/>
    <w:pPr>
      <w:tabs>
        <w:tab w:val="right" w:leader="dot" w:pos="9072"/>
      </w:tabs>
      <w:ind w:left="970" w:hanging="403"/>
    </w:pPr>
    <w:rPr>
      <w:rFonts w:ascii="Times New Roman" w:hAnsi="Times New Roman"/>
      <w:b/>
    </w:rPr>
  </w:style>
  <w:style w:type="paragraph" w:styleId="ListNumber">
    <w:name w:val="List Number"/>
    <w:basedOn w:val="List"/>
    <w:rsid w:val="003A7353"/>
    <w:pPr>
      <w:numPr>
        <w:numId w:val="9"/>
      </w:numPr>
    </w:pPr>
  </w:style>
  <w:style w:type="character" w:customStyle="1" w:styleId="WingdingSymbols">
    <w:name w:val="Wingding Symbols"/>
    <w:rsid w:val="003A7353"/>
    <w:rPr>
      <w:rFonts w:ascii="Wingdings" w:hAnsi="Wingdings"/>
    </w:rPr>
  </w:style>
  <w:style w:type="paragraph" w:customStyle="1" w:styleId="TableHeading">
    <w:name w:val="Table Heading"/>
    <w:basedOn w:val="HeadingBase"/>
    <w:rsid w:val="003A7353"/>
    <w:pPr>
      <w:keepLines/>
      <w:pBdr>
        <w:bottom w:val="single" w:sz="6" w:space="1" w:color="918585"/>
      </w:pBdr>
      <w:spacing w:before="240"/>
    </w:pPr>
  </w:style>
  <w:style w:type="character" w:customStyle="1" w:styleId="HotSpot">
    <w:name w:val="HotSpot"/>
    <w:rsid w:val="003A7353"/>
    <w:rPr>
      <w:color w:val="0033CC"/>
      <w:u w:val="none"/>
    </w:rPr>
  </w:style>
  <w:style w:type="paragraph" w:customStyle="1" w:styleId="BodyTextRight">
    <w:name w:val="Body Text Right"/>
    <w:basedOn w:val="BodyText"/>
    <w:rsid w:val="003A7353"/>
    <w:pPr>
      <w:spacing w:before="0" w:after="0"/>
      <w:jc w:val="right"/>
    </w:pPr>
  </w:style>
  <w:style w:type="paragraph" w:styleId="Index3">
    <w:name w:val="index 3"/>
    <w:basedOn w:val="ListNumber2"/>
    <w:next w:val="Normal"/>
    <w:semiHidden/>
    <w:rsid w:val="003A7353"/>
    <w:pPr>
      <w:numPr>
        <w:numId w:val="0"/>
      </w:numPr>
      <w:tabs>
        <w:tab w:val="right" w:leader="dot" w:pos="4176"/>
      </w:tabs>
    </w:pPr>
  </w:style>
  <w:style w:type="paragraph" w:styleId="ListNumber2">
    <w:name w:val="List Number 2"/>
    <w:basedOn w:val="List2"/>
    <w:rsid w:val="003A7353"/>
    <w:pPr>
      <w:numPr>
        <w:numId w:val="8"/>
      </w:numPr>
      <w:tabs>
        <w:tab w:val="clear" w:pos="1060"/>
      </w:tabs>
    </w:pPr>
  </w:style>
  <w:style w:type="paragraph" w:customStyle="1" w:styleId="MarginNote">
    <w:name w:val="Margin Note"/>
    <w:basedOn w:val="BodyText"/>
    <w:rsid w:val="003A73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73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735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7353"/>
    <w:rPr>
      <w:sz w:val="32"/>
    </w:rPr>
  </w:style>
  <w:style w:type="paragraph" w:customStyle="1" w:styleId="HeadingProcedure">
    <w:name w:val="Heading Procedure"/>
    <w:basedOn w:val="HeadingBase"/>
    <w:next w:val="Normal"/>
    <w:rsid w:val="003A7353"/>
    <w:pPr>
      <w:tabs>
        <w:tab w:val="left" w:pos="0"/>
      </w:tabs>
      <w:spacing w:before="120" w:after="60"/>
    </w:pPr>
    <w:rPr>
      <w:i/>
      <w:color w:val="918585"/>
      <w:sz w:val="22"/>
    </w:rPr>
  </w:style>
  <w:style w:type="paragraph" w:customStyle="1" w:styleId="TableBodyText">
    <w:name w:val="Table Body Text"/>
    <w:basedOn w:val="BodyText"/>
    <w:rsid w:val="003A7353"/>
    <w:pPr>
      <w:spacing w:before="60" w:after="60"/>
    </w:pPr>
  </w:style>
  <w:style w:type="paragraph" w:styleId="ListContinue">
    <w:name w:val="List Continue"/>
    <w:basedOn w:val="List"/>
    <w:rsid w:val="003A7353"/>
    <w:pPr>
      <w:ind w:firstLine="0"/>
    </w:pPr>
  </w:style>
  <w:style w:type="paragraph" w:customStyle="1" w:styleId="ListNote">
    <w:name w:val="List Note"/>
    <w:basedOn w:val="List"/>
    <w:rsid w:val="003A7353"/>
    <w:pPr>
      <w:pBdr>
        <w:top w:val="single" w:sz="6" w:space="2" w:color="918585"/>
        <w:bottom w:val="single" w:sz="6" w:space="2" w:color="918585"/>
      </w:pBdr>
      <w:tabs>
        <w:tab w:val="left" w:pos="1021"/>
      </w:tabs>
      <w:ind w:firstLine="0"/>
    </w:pPr>
  </w:style>
  <w:style w:type="paragraph" w:customStyle="1" w:styleId="Warning">
    <w:name w:val="Warning"/>
    <w:basedOn w:val="BodyText"/>
    <w:rsid w:val="003A7353"/>
    <w:pPr>
      <w:shd w:val="clear" w:color="auto" w:fill="D9D9D9"/>
      <w:tabs>
        <w:tab w:val="left" w:pos="992"/>
      </w:tabs>
      <w:ind w:left="119" w:right="119"/>
    </w:pPr>
    <w:rPr>
      <w:sz w:val="20"/>
    </w:rPr>
  </w:style>
  <w:style w:type="paragraph" w:customStyle="1" w:styleId="MarginIcons">
    <w:name w:val="Margin Icons"/>
    <w:basedOn w:val="BodyText"/>
    <w:rsid w:val="003A73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7353"/>
    <w:rPr>
      <w:rFonts w:ascii="Courier New" w:hAnsi="Courier New"/>
    </w:rPr>
  </w:style>
  <w:style w:type="paragraph" w:customStyle="1" w:styleId="NoteBullet">
    <w:name w:val="Note Bullet"/>
    <w:basedOn w:val="Note"/>
    <w:rsid w:val="003A7353"/>
    <w:pPr>
      <w:tabs>
        <w:tab w:val="clear" w:pos="680"/>
      </w:tabs>
      <w:spacing w:before="60" w:after="60"/>
    </w:pPr>
  </w:style>
  <w:style w:type="paragraph" w:customStyle="1" w:styleId="SubHeading2">
    <w:name w:val="SubHeading2"/>
    <w:basedOn w:val="HeadingBase"/>
    <w:rsid w:val="003A7353"/>
    <w:pPr>
      <w:spacing w:before="240" w:after="60"/>
    </w:pPr>
    <w:rPr>
      <w:sz w:val="20"/>
    </w:rPr>
  </w:style>
  <w:style w:type="paragraph" w:customStyle="1" w:styleId="SubHeading1">
    <w:name w:val="SubHeading1"/>
    <w:basedOn w:val="HeadingBase"/>
    <w:rsid w:val="003A7353"/>
    <w:pPr>
      <w:spacing w:before="240" w:after="60"/>
    </w:pPr>
    <w:rPr>
      <w:color w:val="918585"/>
      <w:sz w:val="22"/>
    </w:rPr>
  </w:style>
  <w:style w:type="paragraph" w:customStyle="1" w:styleId="SideHeading">
    <w:name w:val="Side Heading"/>
    <w:basedOn w:val="HeadingBase"/>
    <w:rsid w:val="003A73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7353"/>
    <w:pPr>
      <w:numPr>
        <w:numId w:val="10"/>
      </w:numPr>
    </w:pPr>
  </w:style>
  <w:style w:type="paragraph" w:styleId="PlainText">
    <w:name w:val="Plain Text"/>
    <w:basedOn w:val="Normal"/>
    <w:link w:val="PlainTextChar"/>
    <w:rsid w:val="003A7353"/>
    <w:rPr>
      <w:sz w:val="20"/>
    </w:rPr>
  </w:style>
  <w:style w:type="character" w:customStyle="1" w:styleId="PlainTextChar">
    <w:name w:val="Plain Text Char"/>
    <w:basedOn w:val="DefaultParagraphFont"/>
    <w:link w:val="PlainText"/>
    <w:rsid w:val="003A735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A7353"/>
    <w:rPr>
      <w:b/>
      <w:smallCaps/>
    </w:rPr>
  </w:style>
  <w:style w:type="paragraph" w:customStyle="1" w:styleId="TableListNumber">
    <w:name w:val="Table List Number"/>
    <w:basedOn w:val="ListNumber"/>
    <w:rsid w:val="003A7353"/>
    <w:pPr>
      <w:numPr>
        <w:numId w:val="0"/>
      </w:numPr>
    </w:pPr>
  </w:style>
  <w:style w:type="paragraph" w:styleId="TOC4">
    <w:name w:val="toc 4"/>
    <w:basedOn w:val="TOCBase"/>
    <w:next w:val="Normal"/>
    <w:semiHidden/>
    <w:rsid w:val="003A7353"/>
    <w:pPr>
      <w:tabs>
        <w:tab w:val="right" w:leader="dot" w:pos="9071"/>
      </w:tabs>
      <w:ind w:left="1701"/>
    </w:pPr>
  </w:style>
  <w:style w:type="paragraph" w:customStyle="1" w:styleId="ListAlpha">
    <w:name w:val="List Alpha"/>
    <w:basedOn w:val="List"/>
    <w:rsid w:val="003A7353"/>
    <w:pPr>
      <w:numPr>
        <w:numId w:val="7"/>
      </w:numPr>
    </w:pPr>
  </w:style>
  <w:style w:type="paragraph" w:customStyle="1" w:styleId="ListAlpha2">
    <w:name w:val="List Alpha 2"/>
    <w:basedOn w:val="List2"/>
    <w:rsid w:val="003A7353"/>
    <w:pPr>
      <w:numPr>
        <w:numId w:val="6"/>
      </w:numPr>
    </w:pPr>
  </w:style>
  <w:style w:type="paragraph" w:styleId="List2">
    <w:name w:val="List 2"/>
    <w:basedOn w:val="BodyText"/>
    <w:rsid w:val="003A7353"/>
    <w:pPr>
      <w:tabs>
        <w:tab w:val="left" w:pos="680"/>
      </w:tabs>
      <w:spacing w:before="60" w:after="60"/>
      <w:ind w:left="680" w:hanging="340"/>
    </w:pPr>
  </w:style>
  <w:style w:type="paragraph" w:styleId="List3">
    <w:name w:val="List 3"/>
    <w:basedOn w:val="BodyText"/>
    <w:rsid w:val="003A7353"/>
    <w:pPr>
      <w:tabs>
        <w:tab w:val="left" w:pos="1021"/>
      </w:tabs>
      <w:spacing w:before="60" w:after="60"/>
      <w:ind w:left="1020" w:hanging="340"/>
    </w:pPr>
  </w:style>
  <w:style w:type="paragraph" w:styleId="List4">
    <w:name w:val="List 4"/>
    <w:basedOn w:val="BodyText"/>
    <w:rsid w:val="003A7353"/>
    <w:pPr>
      <w:tabs>
        <w:tab w:val="left" w:pos="1361"/>
      </w:tabs>
      <w:spacing w:before="60" w:after="60"/>
      <w:ind w:left="1361" w:hanging="340"/>
    </w:pPr>
  </w:style>
  <w:style w:type="paragraph" w:styleId="List5">
    <w:name w:val="List 5"/>
    <w:basedOn w:val="BodyText"/>
    <w:rsid w:val="003A7353"/>
    <w:pPr>
      <w:tabs>
        <w:tab w:val="left" w:pos="1701"/>
      </w:tabs>
      <w:spacing w:before="60" w:after="60"/>
      <w:ind w:left="1701" w:hanging="340"/>
    </w:pPr>
  </w:style>
  <w:style w:type="paragraph" w:styleId="ListBullet3">
    <w:name w:val="List Bullet 3"/>
    <w:basedOn w:val="List3"/>
    <w:rsid w:val="003A7353"/>
    <w:pPr>
      <w:numPr>
        <w:numId w:val="13"/>
      </w:numPr>
      <w:tabs>
        <w:tab w:val="clear" w:pos="1021"/>
      </w:tabs>
      <w:ind w:left="1037" w:hanging="357"/>
    </w:pPr>
  </w:style>
  <w:style w:type="paragraph" w:styleId="ListBullet4">
    <w:name w:val="List Bullet 4"/>
    <w:basedOn w:val="List4"/>
    <w:rsid w:val="003A7353"/>
    <w:pPr>
      <w:numPr>
        <w:numId w:val="1"/>
      </w:numPr>
    </w:pPr>
  </w:style>
  <w:style w:type="paragraph" w:styleId="ListBullet5">
    <w:name w:val="List Bullet 5"/>
    <w:basedOn w:val="List5"/>
    <w:rsid w:val="003A7353"/>
    <w:pPr>
      <w:numPr>
        <w:numId w:val="2"/>
      </w:numPr>
    </w:pPr>
  </w:style>
  <w:style w:type="paragraph" w:styleId="ListContinue2">
    <w:name w:val="List Continue 2"/>
    <w:basedOn w:val="List2"/>
    <w:rsid w:val="003A7353"/>
    <w:pPr>
      <w:ind w:firstLine="0"/>
    </w:pPr>
  </w:style>
  <w:style w:type="paragraph" w:styleId="ListContinue3">
    <w:name w:val="List Continue 3"/>
    <w:basedOn w:val="List3"/>
    <w:rsid w:val="003A7353"/>
    <w:pPr>
      <w:ind w:left="1021" w:firstLine="0"/>
    </w:pPr>
  </w:style>
  <w:style w:type="paragraph" w:styleId="ListContinue4">
    <w:name w:val="List Continue 4"/>
    <w:basedOn w:val="List4"/>
    <w:rsid w:val="003A7353"/>
    <w:pPr>
      <w:ind w:firstLine="0"/>
    </w:pPr>
  </w:style>
  <w:style w:type="paragraph" w:styleId="ListContinue5">
    <w:name w:val="List Continue 5"/>
    <w:basedOn w:val="List5"/>
    <w:rsid w:val="003A7353"/>
    <w:pPr>
      <w:ind w:firstLine="0"/>
    </w:pPr>
  </w:style>
  <w:style w:type="paragraph" w:styleId="ListNumber3">
    <w:name w:val="List Number 3"/>
    <w:basedOn w:val="List3"/>
    <w:rsid w:val="003A7353"/>
    <w:pPr>
      <w:numPr>
        <w:numId w:val="3"/>
      </w:numPr>
    </w:pPr>
  </w:style>
  <w:style w:type="paragraph" w:styleId="ListNumber4">
    <w:name w:val="List Number 4"/>
    <w:basedOn w:val="List4"/>
    <w:rsid w:val="003A7353"/>
    <w:pPr>
      <w:numPr>
        <w:numId w:val="4"/>
      </w:numPr>
    </w:pPr>
  </w:style>
  <w:style w:type="paragraph" w:styleId="ListNumber5">
    <w:name w:val="List Number 5"/>
    <w:basedOn w:val="List5"/>
    <w:rsid w:val="003A7353"/>
    <w:pPr>
      <w:numPr>
        <w:numId w:val="5"/>
      </w:numPr>
    </w:pPr>
  </w:style>
  <w:style w:type="paragraph" w:styleId="BlockText">
    <w:name w:val="Block Text"/>
    <w:basedOn w:val="Normal"/>
    <w:rsid w:val="003A7353"/>
    <w:pPr>
      <w:spacing w:after="120"/>
      <w:ind w:left="1440" w:right="1440"/>
    </w:pPr>
  </w:style>
  <w:style w:type="character" w:customStyle="1" w:styleId="Subscript">
    <w:name w:val="Subscript"/>
    <w:basedOn w:val="DefaultParagraphFont"/>
    <w:rsid w:val="003A7353"/>
    <w:rPr>
      <w:sz w:val="16"/>
      <w:vertAlign w:val="subscript"/>
    </w:rPr>
  </w:style>
  <w:style w:type="character" w:customStyle="1" w:styleId="Superscript">
    <w:name w:val="Superscript"/>
    <w:basedOn w:val="DefaultParagraphFont"/>
    <w:rsid w:val="003A7353"/>
    <w:rPr>
      <w:sz w:val="16"/>
      <w:vertAlign w:val="superscript"/>
    </w:rPr>
  </w:style>
  <w:style w:type="character" w:customStyle="1" w:styleId="Symbols">
    <w:name w:val="Symbols"/>
    <w:basedOn w:val="DefaultParagraphFont"/>
    <w:rsid w:val="003A7353"/>
    <w:rPr>
      <w:rFonts w:ascii="Symbol" w:hAnsi="Symbol"/>
    </w:rPr>
  </w:style>
  <w:style w:type="character" w:customStyle="1" w:styleId="MenuOptions">
    <w:name w:val="Menu Options"/>
    <w:basedOn w:val="DefaultParagraphFont"/>
    <w:rsid w:val="003A7353"/>
    <w:rPr>
      <w:rFonts w:ascii="Arial Narrow" w:hAnsi="Arial Narrow"/>
      <w:smallCaps/>
    </w:rPr>
  </w:style>
  <w:style w:type="character" w:customStyle="1" w:styleId="Buttons">
    <w:name w:val="Buttons"/>
    <w:basedOn w:val="DefaultParagraphFont"/>
    <w:rsid w:val="003A7353"/>
    <w:rPr>
      <w:b/>
    </w:rPr>
  </w:style>
  <w:style w:type="character" w:customStyle="1" w:styleId="Underlined">
    <w:name w:val="Underlined"/>
    <w:basedOn w:val="DefaultParagraphFont"/>
    <w:rsid w:val="003A7353"/>
    <w:rPr>
      <w:u w:val="single"/>
    </w:rPr>
  </w:style>
  <w:style w:type="paragraph" w:customStyle="1" w:styleId="TableBodyTextRight">
    <w:name w:val="Table Body Text Right"/>
    <w:basedOn w:val="TableBodyText"/>
    <w:rsid w:val="003A7353"/>
    <w:pPr>
      <w:widowControl w:val="0"/>
      <w:autoSpaceDE w:val="0"/>
      <w:autoSpaceDN w:val="0"/>
      <w:adjustRightInd w:val="0"/>
      <w:jc w:val="right"/>
    </w:pPr>
    <w:rPr>
      <w:rFonts w:cs="Arial"/>
      <w:szCs w:val="18"/>
    </w:rPr>
  </w:style>
  <w:style w:type="paragraph" w:customStyle="1" w:styleId="CopyrightText">
    <w:name w:val="Copyright Text"/>
    <w:basedOn w:val="BodyText"/>
    <w:rsid w:val="003A7353"/>
    <w:rPr>
      <w:sz w:val="18"/>
    </w:rPr>
  </w:style>
  <w:style w:type="paragraph" w:customStyle="1" w:styleId="BodySmallRight">
    <w:name w:val="Body Small Right"/>
    <w:basedOn w:val="BodyTextRight"/>
    <w:rsid w:val="003A7353"/>
    <w:rPr>
      <w:sz w:val="18"/>
      <w:szCs w:val="18"/>
    </w:rPr>
  </w:style>
  <w:style w:type="paragraph" w:customStyle="1" w:styleId="MarginEdition">
    <w:name w:val="Margin Edition"/>
    <w:basedOn w:val="MarginNote"/>
    <w:rsid w:val="003A7353"/>
    <w:pPr>
      <w:spacing w:before="0" w:after="0"/>
    </w:pPr>
    <w:rPr>
      <w:rFonts w:ascii="Times New Roman" w:hAnsi="Times New Roman"/>
      <w:color w:val="999999"/>
    </w:rPr>
  </w:style>
  <w:style w:type="paragraph" w:customStyle="1" w:styleId="Spacer">
    <w:name w:val="Spacer"/>
    <w:basedOn w:val="Normal"/>
    <w:rsid w:val="003A7353"/>
    <w:rPr>
      <w:sz w:val="2"/>
      <w:szCs w:val="2"/>
    </w:rPr>
  </w:style>
  <w:style w:type="character" w:customStyle="1" w:styleId="Small">
    <w:name w:val="Small"/>
    <w:basedOn w:val="DefaultParagraphFont"/>
    <w:rsid w:val="003A7353"/>
    <w:rPr>
      <w:sz w:val="16"/>
    </w:rPr>
  </w:style>
  <w:style w:type="paragraph" w:customStyle="1" w:styleId="WideTable">
    <w:name w:val="Wide Table"/>
    <w:basedOn w:val="Normal"/>
    <w:rsid w:val="003A7353"/>
    <w:pPr>
      <w:ind w:left="-1418"/>
    </w:pPr>
    <w:rPr>
      <w:sz w:val="2"/>
      <w:szCs w:val="2"/>
    </w:rPr>
  </w:style>
  <w:style w:type="character" w:styleId="PageNumber">
    <w:name w:val="page number"/>
    <w:basedOn w:val="DefaultParagraphFont"/>
    <w:rsid w:val="003A7353"/>
  </w:style>
  <w:style w:type="paragraph" w:styleId="Quote">
    <w:name w:val="Quote"/>
    <w:basedOn w:val="Heading1"/>
    <w:link w:val="QuoteChar"/>
    <w:qFormat/>
    <w:rsid w:val="003A7353"/>
    <w:rPr>
      <w:b w:val="0"/>
      <w:sz w:val="72"/>
      <w:szCs w:val="72"/>
      <w:lang w:val="en-NZ"/>
    </w:rPr>
  </w:style>
  <w:style w:type="character" w:customStyle="1" w:styleId="QuoteChar">
    <w:name w:val="Quote Char"/>
    <w:basedOn w:val="DefaultParagraphFont"/>
    <w:link w:val="Quote"/>
    <w:rsid w:val="003A73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7353"/>
    <w:pPr>
      <w:pageBreakBefore/>
    </w:pPr>
  </w:style>
  <w:style w:type="paragraph" w:customStyle="1" w:styleId="Border">
    <w:name w:val="Border"/>
    <w:basedOn w:val="Normal"/>
    <w:qFormat/>
    <w:rsid w:val="003A73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7353"/>
    <w:rPr>
      <w:b/>
      <w:bCs/>
      <w:i/>
      <w:iCs/>
      <w:color w:val="auto"/>
    </w:rPr>
  </w:style>
  <w:style w:type="paragraph" w:styleId="IntenseQuote">
    <w:name w:val="Intense Quote"/>
    <w:basedOn w:val="Normal"/>
    <w:next w:val="Normal"/>
    <w:link w:val="IntenseQuoteChar"/>
    <w:uiPriority w:val="30"/>
    <w:qFormat/>
    <w:rsid w:val="003A73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735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A7353"/>
    <w:rPr>
      <w:smallCaps/>
      <w:color w:val="auto"/>
      <w:u w:val="single"/>
    </w:rPr>
  </w:style>
  <w:style w:type="character" w:styleId="IntenseReference">
    <w:name w:val="Intense Reference"/>
    <w:basedOn w:val="DefaultParagraphFont"/>
    <w:uiPriority w:val="32"/>
    <w:qFormat/>
    <w:rsid w:val="003A7353"/>
    <w:rPr>
      <w:b/>
      <w:bCs/>
      <w:smallCaps/>
      <w:color w:val="auto"/>
      <w:spacing w:val="5"/>
      <w:u w:val="single"/>
    </w:rPr>
  </w:style>
  <w:style w:type="paragraph" w:customStyle="1" w:styleId="2ColumnHeading">
    <w:name w:val="2Column Heading"/>
    <w:basedOn w:val="BodyText"/>
    <w:qFormat/>
    <w:rsid w:val="003A7353"/>
    <w:pPr>
      <w:spacing w:after="60"/>
      <w:ind w:left="-2268"/>
    </w:pPr>
    <w:rPr>
      <w:b/>
    </w:rPr>
  </w:style>
  <w:style w:type="paragraph" w:customStyle="1" w:styleId="Heading1TOC">
    <w:name w:val="Heading1 TOC"/>
    <w:basedOn w:val="Normal"/>
    <w:qFormat/>
    <w:rsid w:val="003A7353"/>
    <w:pPr>
      <w:spacing w:before="240" w:after="120"/>
    </w:pPr>
    <w:rPr>
      <w:rFonts w:ascii="Times New Roman" w:hAnsi="Times New Roman"/>
      <w:b/>
      <w:sz w:val="32"/>
    </w:rPr>
  </w:style>
  <w:style w:type="paragraph" w:customStyle="1" w:styleId="Heading2TOC">
    <w:name w:val="Heading2 TOC"/>
    <w:basedOn w:val="Normal"/>
    <w:qFormat/>
    <w:rsid w:val="003A7353"/>
    <w:pPr>
      <w:spacing w:before="240" w:after="60"/>
    </w:pPr>
    <w:rPr>
      <w:rFonts w:ascii="Times New Roman" w:hAnsi="Times New Roman"/>
      <w:b/>
      <w:sz w:val="28"/>
    </w:rPr>
  </w:style>
  <w:style w:type="character" w:customStyle="1" w:styleId="Underline">
    <w:name w:val="Underline"/>
    <w:basedOn w:val="DefaultParagraphFont"/>
    <w:qFormat/>
    <w:rsid w:val="003A7353"/>
    <w:rPr>
      <w:u w:val="single"/>
    </w:rPr>
  </w:style>
  <w:style w:type="character" w:customStyle="1" w:styleId="BoldandItalics">
    <w:name w:val="Bold and Italics"/>
    <w:qFormat/>
    <w:rsid w:val="003A7353"/>
    <w:rPr>
      <w:b/>
      <w:i/>
      <w:u w:val="none"/>
    </w:rPr>
  </w:style>
  <w:style w:type="paragraph" w:styleId="BalloonText">
    <w:name w:val="Balloon Text"/>
    <w:basedOn w:val="Normal"/>
    <w:link w:val="BalloonTextChar"/>
    <w:rsid w:val="003A7353"/>
    <w:rPr>
      <w:rFonts w:ascii="Tahoma" w:hAnsi="Tahoma" w:cs="Tahoma"/>
      <w:sz w:val="16"/>
      <w:szCs w:val="16"/>
    </w:rPr>
  </w:style>
  <w:style w:type="character" w:customStyle="1" w:styleId="BalloonTextChar">
    <w:name w:val="Balloon Text Char"/>
    <w:basedOn w:val="DefaultParagraphFont"/>
    <w:link w:val="BalloonText"/>
    <w:rsid w:val="003A735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73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735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1105</Words>
  <Characters>6821</Characters>
  <Application>Microsoft Office Word</Application>
  <DocSecurity>0</DocSecurity>
  <Lines>224</Lines>
  <Paragraphs>125</Paragraphs>
  <ScaleCrop>false</ScaleCrop>
  <Company>Author-it Software Corporation Ltd.</Company>
  <LinksUpToDate>false</LinksUpToDate>
  <CharactersWithSpaces>7842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FNSICACC304B Prepare and bank receipts</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2012-05-26T03:52:00Z</dcterms:created>
  <dcterms:modified xsi:type="dcterms:W3CDTF">2012-05-26T03:52:00Z</dcterms:modified>
</cp:coreProperties>
</file>