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2E63" w:rsidP="00ED2E63">
      <w:pPr>
        <w:pStyle w:val="Title"/>
      </w:pPr>
      <w:r>
        <w:fldChar w:fldCharType="begin"/>
      </w:r>
      <w:r>
        <w:instrText xml:space="preserve"> TITLE   \* MERGEFORMAT </w:instrText>
      </w:r>
      <w:r>
        <w:fldChar w:fldCharType="separate"/>
      </w:r>
      <w:r>
        <w:t>FNSICACC303B Prepare, match and process receipts</w:t>
      </w:r>
      <w:r>
        <w:fldChar w:fldCharType="end"/>
      </w:r>
    </w:p>
    <w:p w:rsidR="00ED2E63" w:rsidP="00ED2E63">
      <w:pPr>
        <w:pStyle w:val="Version"/>
        <w:sectPr w:rsidSect="007778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78B7" w:rsidP="007778B7">
      <w:pPr>
        <w:pStyle w:val="SuperHeading"/>
      </w:pPr>
      <w:r w:rsidRPr="007778B7">
        <w:t>FNSICACC303B Prepare, match and process receipts</w:t>
      </w:r>
    </w:p>
    <w:p w:rsidR="00000000" w:rsidRPr="007778B7" w:rsidP="007778B7">
      <w:pPr>
        <w:pStyle w:val="Heading1"/>
      </w:pPr>
      <w:bookmarkStart w:id="1" w:name="O_318214"/>
      <w:bookmarkEnd w:id="1"/>
      <w:r w:rsidRPr="007778B7">
        <w:t>Modification History</w:t>
      </w:r>
    </w:p>
    <w:p w:rsidR="00000000" w:rsidRPr="007778B7" w:rsidP="007778B7">
      <w:pPr>
        <w:pStyle w:val="BodyText"/>
      </w:pPr>
      <w:r w:rsidRPr="007778B7">
        <w:t>Not applicable.</w:t>
      </w:r>
    </w:p>
    <w:p w:rsidR="00000000" w:rsidRPr="007778B7" w:rsidP="007778B7">
      <w:pPr>
        <w:pStyle w:val="AllowPageBreak"/>
      </w:pPr>
    </w:p>
    <w:p w:rsidR="00000000" w:rsidRPr="007778B7" w:rsidP="007778B7">
      <w:pPr>
        <w:pStyle w:val="Heading1"/>
      </w:pPr>
      <w:bookmarkStart w:id="2" w:name="O_318211"/>
      <w:bookmarkEnd w:id="2"/>
      <w:r w:rsidRPr="007778B7">
        <w:t>Unit Descriptor</w:t>
      </w:r>
    </w:p>
    <w:p w:rsidR="00000000" w:rsidRPr="007778B7" w:rsidP="007778B7">
      <w:pPr>
        <w:pStyle w:val="BodyText"/>
      </w:pPr>
      <w:r w:rsidRPr="007778B7">
        <w:t>This unit describes the functions involved in preparing, matching and processing a range of financial receipts.</w:t>
      </w:r>
    </w:p>
    <w:p w:rsidR="00000000" w:rsidRPr="007778B7" w:rsidP="007778B7">
      <w:pPr>
        <w:pStyle w:val="BodyText"/>
      </w:pPr>
      <w:r w:rsidRPr="007778B7">
        <w:t xml:space="preserve">This </w:t>
      </w:r>
      <w:r w:rsidRPr="007778B7">
        <w:t>unit describes the functions involved in preparing, matching and processing a range of financial receipts.</w:t>
      </w:r>
    </w:p>
    <w:p w:rsidR="00000000" w:rsidRPr="007778B7" w:rsidP="007778B7">
      <w:pPr>
        <w:pStyle w:val="AllowPageBreak"/>
      </w:pPr>
    </w:p>
    <w:p w:rsidR="00000000" w:rsidRPr="007778B7" w:rsidP="007778B7">
      <w:pPr>
        <w:pStyle w:val="Heading1"/>
      </w:pPr>
      <w:bookmarkStart w:id="3" w:name="O_318210"/>
      <w:bookmarkEnd w:id="3"/>
      <w:r w:rsidRPr="007778B7">
        <w:t>Application of the Unit</w:t>
      </w:r>
    </w:p>
    <w:p w:rsidR="00000000" w:rsidRPr="007778B7" w:rsidP="007778B7">
      <w:pPr>
        <w:pStyle w:val="BodyText"/>
      </w:pPr>
      <w:r w:rsidRPr="007778B7">
        <w:t xml:space="preserve">This unit requires the application of skills and knowledge required to prepare, match and process receipts. </w:t>
      </w:r>
      <w:r w:rsidRPr="007778B7">
        <w:t xml:space="preserve">The unit encompasses receiving, identifying and recording receipts, matching receipts to documentation, entering data into organisational operating/accounting systems and filing necessary documentation. </w:t>
      </w:r>
    </w:p>
    <w:p w:rsidR="00000000" w:rsidRPr="007778B7" w:rsidP="007778B7">
      <w:pPr>
        <w:pStyle w:val="BodyText"/>
      </w:pPr>
      <w:r w:rsidRPr="007778B7">
        <w:t>It may apply to a range of financial industry contex</w:t>
      </w:r>
      <w:r w:rsidRPr="007778B7">
        <w:t xml:space="preserve">ts such as banking, credit unions, insurance sectors etc. The unit has application to those individuals whose job function requires them to process, match and process receipts.   </w:t>
      </w:r>
    </w:p>
    <w:p w:rsidR="00000000" w:rsidRPr="007778B7" w:rsidP="007778B7">
      <w:pPr>
        <w:pStyle w:val="BodyText"/>
      </w:pPr>
      <w:r w:rsidRPr="007778B7">
        <w:t>This unit requires the application of skills and knowledge required to prepa</w:t>
      </w:r>
      <w:r w:rsidRPr="007778B7">
        <w:t xml:space="preserve">re, match and process receipts. The unit encompasses receiving, identifying and recording receipts, matching receipts to documentation, entering data into organisational operating/accounting systems and filing necessary documentation. </w:t>
      </w:r>
    </w:p>
    <w:p w:rsidR="00000000" w:rsidRPr="007778B7" w:rsidP="007778B7">
      <w:pPr>
        <w:pStyle w:val="BodyText"/>
      </w:pPr>
      <w:r w:rsidRPr="007778B7">
        <w:t xml:space="preserve">It may apply to a range of financial industry contexts such as banking, credit unions, insurance sectors etc. The unit has application to those individuals whose job function requires them to process, match and process receipts.   </w:t>
      </w:r>
    </w:p>
    <w:p w:rsidR="00000000" w:rsidRPr="007778B7" w:rsidP="007778B7">
      <w:pPr>
        <w:pStyle w:val="AllowPageBreak"/>
      </w:pPr>
    </w:p>
    <w:p w:rsidR="00000000" w:rsidRPr="007778B7" w:rsidP="007778B7">
      <w:pPr>
        <w:pStyle w:val="Heading1"/>
      </w:pPr>
      <w:bookmarkStart w:id="4" w:name="O_318209"/>
      <w:bookmarkEnd w:id="4"/>
      <w:r w:rsidRPr="007778B7">
        <w:t>Licensi</w:t>
      </w:r>
      <w:r w:rsidRPr="007778B7">
        <w:t>ng/Regulatory Information</w:t>
      </w:r>
    </w:p>
    <w:p w:rsidR="00000000" w:rsidRPr="007778B7" w:rsidP="007778B7">
      <w:pPr>
        <w:pStyle w:val="BodyText"/>
      </w:pPr>
      <w:r w:rsidRPr="007778B7">
        <w:t>Not applicable.</w:t>
      </w:r>
    </w:p>
    <w:p w:rsidR="00000000" w:rsidRPr="007778B7" w:rsidP="007778B7">
      <w:pPr>
        <w:pStyle w:val="AllowPageBreak"/>
      </w:pPr>
    </w:p>
    <w:p w:rsidR="00000000" w:rsidRPr="007778B7" w:rsidP="007778B7">
      <w:pPr>
        <w:pStyle w:val="Heading1"/>
      </w:pPr>
      <w:bookmarkStart w:id="5" w:name="O_318208"/>
      <w:bookmarkEnd w:id="5"/>
      <w:r w:rsidRPr="007778B7">
        <w:t>Pre-Requisites</w:t>
      </w:r>
    </w:p>
    <w:p w:rsidR="00000000" w:rsidRPr="007778B7" w:rsidP="007778B7">
      <w:pPr>
        <w:pStyle w:val="BodyText"/>
      </w:pPr>
      <w:r w:rsidRPr="007778B7">
        <w:t>Not applicable.</w:t>
      </w:r>
    </w:p>
    <w:p w:rsidR="00000000" w:rsidRPr="007778B7" w:rsidP="007778B7">
      <w:pPr>
        <w:pStyle w:val="AllowPageBreak"/>
      </w:pPr>
    </w:p>
    <w:p w:rsidR="00000000" w:rsidRPr="007778B7" w:rsidP="007778B7">
      <w:pPr>
        <w:pStyle w:val="Heading1"/>
      </w:pPr>
      <w:bookmarkStart w:id="6" w:name="O_318202"/>
      <w:bookmarkEnd w:id="6"/>
      <w:r w:rsidRPr="007778B7">
        <w:t>Employability Skills Information</w:t>
      </w:r>
    </w:p>
    <w:p w:rsidR="00000000" w:rsidRPr="007778B7" w:rsidP="007778B7">
      <w:pPr>
        <w:pStyle w:val="BodyText"/>
      </w:pPr>
      <w:r w:rsidRPr="007778B7">
        <w:t>The required outcomes described in this unit of competency contain applicable facets of employability skills. The Em</w:t>
      </w:r>
      <w:r w:rsidRPr="007778B7">
        <w:t>ployability Skills Summary for the qualification in which this unit of competency is packaged, will assist in identifying employability skills requirements.</w:t>
      </w:r>
    </w:p>
    <w:p w:rsidR="00000000" w:rsidRPr="007778B7" w:rsidP="007778B7">
      <w:pPr>
        <w:pStyle w:val="BodyText"/>
      </w:pPr>
      <w:r w:rsidRPr="007778B7">
        <w:t>The required outcomes described in this unit of competency contain applicable facets of employabili</w:t>
      </w:r>
      <w:r w:rsidRPr="007778B7">
        <w:t>ty skills. The Employability Skills Summary for the qualification in which this unit of competency is packaged, will assist in identifying employability skills requirements.</w:t>
      </w:r>
    </w:p>
    <w:p w:rsidR="00000000" w:rsidRPr="007778B7" w:rsidP="007778B7">
      <w:pPr>
        <w:pStyle w:val="AllowPageBreak"/>
      </w:pPr>
    </w:p>
    <w:p w:rsidR="00000000" w:rsidRPr="007778B7" w:rsidP="007778B7">
      <w:pPr>
        <w:pStyle w:val="Heading1"/>
      </w:pPr>
      <w:bookmarkStart w:id="7" w:name="O_318207"/>
      <w:bookmarkEnd w:id="7"/>
      <w:r w:rsidRPr="007778B7">
        <w:t>Elements and Performance Criteria Pre-Content</w:t>
      </w:r>
    </w:p>
    <w:p w:rsidR="00000000" w:rsidRPr="007778B7" w:rsidP="007778B7">
      <w:pPr>
        <w:pStyle w:val="BodyText"/>
      </w:pPr>
      <w:r w:rsidRPr="007778B7">
        <w:t>Elements define the essential outcomes of a unit of competency.</w:t>
      </w:r>
    </w:p>
    <w:p w:rsidR="00000000" w:rsidRPr="007778B7" w:rsidP="007778B7">
      <w:pPr>
        <w:pStyle w:val="BodyText"/>
      </w:pPr>
      <w:r w:rsidRPr="007778B7">
        <w:t xml:space="preserve">Performance Criteria describe the required performance needed to demonstrate achievement of the Element. </w:t>
      </w:r>
      <w:r w:rsidRPr="007778B7">
        <w:rPr>
          <w:rStyle w:val="SpecialBold"/>
        </w:rPr>
        <w:t xml:space="preserve">Bold, italicised </w:t>
      </w:r>
      <w:r w:rsidRPr="007778B7">
        <w:t>terms are elaborated in the Range Statement. Assessment of performance</w:t>
      </w:r>
      <w:r w:rsidRPr="007778B7">
        <w:t xml:space="preserve"> is to be consistent with the Evidence Guide.</w:t>
      </w:r>
    </w:p>
    <w:p w:rsidR="00000000" w:rsidRPr="007778B7" w:rsidP="007778B7">
      <w:pPr>
        <w:pStyle w:val="BodyText"/>
      </w:pPr>
      <w:r w:rsidRPr="007778B7">
        <w:t>Elements define the essential outcomes of a unit of competency.</w:t>
      </w:r>
    </w:p>
    <w:p w:rsidR="00000000" w:rsidRPr="007778B7" w:rsidP="007778B7">
      <w:pPr>
        <w:pStyle w:val="BodyText"/>
      </w:pPr>
      <w:r w:rsidRPr="007778B7">
        <w:t xml:space="preserve">Performance Criteria describe the required performance needed to demonstrate achievement of the Element. </w:t>
      </w:r>
      <w:r w:rsidRPr="007778B7">
        <w:rPr>
          <w:rStyle w:val="SpecialBold"/>
        </w:rPr>
        <w:t xml:space="preserve">Bold, italicised </w:t>
      </w:r>
      <w:r w:rsidRPr="007778B7">
        <w:t xml:space="preserve">terms are elaborated in </w:t>
      </w:r>
      <w:r w:rsidRPr="007778B7">
        <w:t>the Range Statement. Assessment of performance is to be consistent with the Evidence Guide.</w:t>
      </w:r>
    </w:p>
    <w:p w:rsidR="00000000" w:rsidRPr="007778B7" w:rsidP="007778B7">
      <w:pPr>
        <w:pStyle w:val="AllowPageBreak"/>
      </w:pPr>
    </w:p>
    <w:p w:rsidR="00000000" w:rsidRPr="007778B7" w:rsidP="007778B7">
      <w:pPr>
        <w:pStyle w:val="Heading1"/>
      </w:pPr>
      <w:bookmarkStart w:id="8" w:name="O_318206"/>
      <w:bookmarkEnd w:id="8"/>
      <w:r w:rsidRPr="007778B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D2E6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Elements and Performance Criteria</w:t>
            </w:r>
          </w:p>
        </w:tc>
      </w:tr>
      <w:tr w:rsidTr="00ED2E6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Performance Criteria</w:t>
            </w:r>
          </w:p>
        </w:tc>
      </w:tr>
      <w:tr w:rsidTr="00ED2E6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1</w:t>
            </w:r>
          </w:p>
        </w:tc>
        <w:tc>
          <w:tcPr>
            <w:tcW w:w="3000" w:type="dxa"/>
            <w:vMerge w:val="restart"/>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Receive, identify and record receipt</w:t>
            </w: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1.1</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Established procedures are followed</w:t>
            </w:r>
          </w:p>
        </w:tc>
      </w:tr>
      <w:tr w:rsidTr="00ED2E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1.2</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 xml:space="preserve">All </w:t>
            </w:r>
            <w:r w:rsidRPr="007778B7">
              <w:rPr>
                <w:rStyle w:val="SpecialBold"/>
              </w:rPr>
              <w:t xml:space="preserve">receipts </w:t>
            </w:r>
            <w:r w:rsidRPr="007778B7">
              <w:t>are checked for accuracy against remittance document</w:t>
            </w:r>
          </w:p>
        </w:tc>
      </w:tr>
      <w:tr w:rsidTr="00ED2E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1.3</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All receipts are accurately recorded in accordance with company procedures</w:t>
            </w:r>
          </w:p>
        </w:tc>
      </w:tr>
      <w:tr w:rsidTr="00ED2E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1.4</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Remittance types are accurately identified to ensure correct allocation</w:t>
            </w:r>
          </w:p>
        </w:tc>
      </w:tr>
      <w:tr w:rsidTr="00ED2E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1.5</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Batching is completed in accordance with company systems and operating procedures</w:t>
            </w:r>
          </w:p>
        </w:tc>
      </w:tr>
      <w:tr w:rsidTr="00ED2E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1.6</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Relevant departments are advised of total daily receipts according to company operating procedures</w:t>
            </w:r>
          </w:p>
        </w:tc>
      </w:tr>
      <w:tr w:rsidTr="00ED2E6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2</w:t>
            </w:r>
          </w:p>
        </w:tc>
        <w:tc>
          <w:tcPr>
            <w:tcW w:w="3000" w:type="dxa"/>
            <w:vMerge w:val="restart"/>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Match receipts to documentation</w:t>
            </w: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2.1</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Receipts are checked and matched to documentation accurately and promptly in accordance with company procedures</w:t>
            </w:r>
          </w:p>
        </w:tc>
      </w:tr>
      <w:tr w:rsidTr="00ED2E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2.2</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Security of documentation is maintained to protect interests of all parties to transaction</w:t>
            </w:r>
          </w:p>
        </w:tc>
      </w:tr>
      <w:tr w:rsidTr="00ED2E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2.3</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 xml:space="preserve">Unmatched receipts are noted for follow-up and/or referral in accordance with company, </w:t>
            </w:r>
            <w:r w:rsidRPr="007778B7">
              <w:rPr>
                <w:rStyle w:val="SpecialBold"/>
              </w:rPr>
              <w:t>industry and legislative requirements</w:t>
            </w:r>
          </w:p>
        </w:tc>
      </w:tr>
      <w:tr w:rsidTr="00ED2E6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3</w:t>
            </w:r>
          </w:p>
        </w:tc>
        <w:tc>
          <w:tcPr>
            <w:tcW w:w="3000" w:type="dxa"/>
            <w:vMerge w:val="restart"/>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Enter data to systems</w:t>
            </w: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3.1</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All</w:t>
            </w:r>
            <w:r w:rsidRPr="007778B7">
              <w:t xml:space="preserve"> receipts are accurately allocated to appropriate chart of account areas</w:t>
            </w:r>
          </w:p>
        </w:tc>
      </w:tr>
      <w:tr w:rsidTr="00ED2E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3.2</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 xml:space="preserve">Data is entered to </w:t>
            </w:r>
            <w:r w:rsidRPr="007778B7">
              <w:rPr>
                <w:rStyle w:val="SpecialBold"/>
              </w:rPr>
              <w:t xml:space="preserve">systems </w:t>
            </w:r>
            <w:r w:rsidRPr="007778B7">
              <w:t>without error and within time requirements, as specified in relevant company policy and procedures</w:t>
            </w:r>
          </w:p>
        </w:tc>
      </w:tr>
      <w:tr w:rsidTr="00ED2E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3.3</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All receipts are accurately matched to system debit</w:t>
            </w:r>
          </w:p>
        </w:tc>
      </w:tr>
      <w:tr w:rsidTr="00ED2E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t>3.4</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 xml:space="preserve">Data and allocation discrepancies </w:t>
            </w:r>
            <w:r w:rsidRPr="007778B7">
              <w:t>are identified promptly to enable early follow-up</w:t>
            </w:r>
          </w:p>
        </w:tc>
      </w:tr>
      <w:tr w:rsidTr="00ED2E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3.5</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Advice on source and solution to discrepancies is sought, where necessary, to solve outstanding problems</w:t>
            </w:r>
          </w:p>
        </w:tc>
      </w:tr>
      <w:tr w:rsidTr="00ED2E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3.6</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Related systems are updated</w:t>
            </w:r>
          </w:p>
        </w:tc>
      </w:tr>
      <w:tr w:rsidTr="00ED2E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3.7</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Reconciliations are completed and discrepancies between general ledger and sub systems are resolved</w:t>
            </w:r>
          </w:p>
        </w:tc>
      </w:tr>
      <w:tr w:rsidTr="00ED2E6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4</w:t>
            </w:r>
          </w:p>
        </w:tc>
        <w:tc>
          <w:tcPr>
            <w:tcW w:w="3000" w:type="dxa"/>
            <w:vMerge w:val="restart"/>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File documentation</w:t>
            </w: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4.1</w:t>
            </w:r>
          </w:p>
        </w:tc>
        <w:tc>
          <w:tcPr>
            <w:tcW w:w="51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 xml:space="preserve">Documentation is filed promptly in accordance with </w:t>
            </w:r>
            <w:r w:rsidRPr="007778B7">
              <w:rPr>
                <w:rStyle w:val="SpecialBold"/>
              </w:rPr>
              <w:t>company policy and procedures</w:t>
            </w:r>
          </w:p>
        </w:tc>
      </w:tr>
      <w:tr w:rsidTr="00ED2E6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4.2</w:t>
            </w:r>
          </w:p>
        </w:tc>
        <w:tc>
          <w:tcPr>
            <w:tcW w:w="5100" w:type="dxa"/>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t>Location of filed documentation is traceable</w:t>
            </w:r>
          </w:p>
        </w:tc>
      </w:tr>
    </w:tbl>
    <w:p w:rsidR="00000000" w:rsidRPr="007778B7" w:rsidP="007778B7">
      <w:pPr>
        <w:pStyle w:val="BodyText"/>
      </w:pPr>
    </w:p>
    <w:p w:rsidR="00000000" w:rsidRPr="007778B7" w:rsidP="007778B7">
      <w:pPr>
        <w:pStyle w:val="AllowPageBreak"/>
      </w:pPr>
    </w:p>
    <w:p w:rsidR="00000000" w:rsidRPr="007778B7" w:rsidP="007778B7">
      <w:pPr>
        <w:pStyle w:val="Heading1"/>
      </w:pPr>
      <w:bookmarkStart w:id="9" w:name="O_318205"/>
      <w:bookmarkEnd w:id="9"/>
      <w:r w:rsidRPr="007778B7">
        <w:t>Required Skills and Knowledge</w:t>
      </w:r>
    </w:p>
    <w:tbl>
      <w:tblPr>
        <w:tblW w:w="0" w:type="auto"/>
        <w:tblLayout w:type="fixed"/>
        <w:tblCellMar>
          <w:left w:w="62" w:type="dxa"/>
          <w:right w:w="62" w:type="dxa"/>
        </w:tblCellMar>
        <w:tblLook w:val="0000"/>
      </w:tblPr>
      <w:tblGrid>
        <w:gridCol w:w="9000"/>
      </w:tblGrid>
      <w:tr w:rsidTr="00ED2E6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REQUIRED KNOWLEDGE</w:t>
            </w:r>
            <w:r w:rsidRPr="007778B7">
              <w:t>&amp;</w:t>
            </w:r>
            <w:r w:rsidRPr="007778B7">
              <w:rPr>
                <w:rStyle w:val="SpecialBold"/>
              </w:rPr>
              <w:t>SKILLS</w:t>
            </w:r>
          </w:p>
        </w:tc>
      </w:tr>
      <w:tr w:rsidTr="00ED2E6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rPr>
                <w:rStyle w:val="SpecialBold"/>
              </w:rPr>
              <w:t>Knowledge requirements include</w:t>
            </w:r>
            <w:r w:rsidRPr="007778B7">
              <w:t xml:space="preserve">: </w:t>
            </w:r>
          </w:p>
          <w:p w:rsidR="00000000" w:rsidRPr="007778B7" w:rsidP="007778B7">
            <w:pPr>
              <w:pStyle w:val="BodyText"/>
            </w:pPr>
            <w:r w:rsidRPr="007778B7">
              <w:t>company policy and procedures</w:t>
            </w:r>
          </w:p>
          <w:p w:rsidR="00000000" w:rsidRPr="007778B7" w:rsidP="007778B7">
            <w:pPr>
              <w:pStyle w:val="BodyText"/>
            </w:pPr>
            <w:r w:rsidRPr="007778B7">
              <w:t>knowledge or awareness of relevant acts and regulations</w:t>
            </w:r>
          </w:p>
          <w:p w:rsidR="00000000" w:rsidRPr="007778B7" w:rsidP="007778B7">
            <w:pPr>
              <w:pStyle w:val="BodyText"/>
            </w:pPr>
            <w:r w:rsidRPr="007778B7">
              <w:t>legal systems and procedures</w:t>
            </w:r>
          </w:p>
          <w:p w:rsidR="00000000" w:rsidRPr="007778B7" w:rsidP="007778B7">
            <w:pPr>
              <w:pStyle w:val="BodyText"/>
            </w:pPr>
            <w:r w:rsidRPr="007778B7">
              <w:t>industry codes of practice</w:t>
            </w:r>
          </w:p>
          <w:p w:rsidR="00000000" w:rsidRPr="007778B7" w:rsidP="007778B7">
            <w:pPr>
              <w:pStyle w:val="BodyText"/>
            </w:pPr>
            <w:r w:rsidRPr="007778B7">
              <w:t>computer systems</w:t>
            </w:r>
          </w:p>
          <w:p w:rsidR="00000000" w:rsidP="007778B7">
            <w:pPr>
              <w:pStyle w:val="BodyText"/>
              <w:rPr>
                <w:lang w:val="en-NZ"/>
              </w:rPr>
            </w:pPr>
            <w:r w:rsidRPr="007778B7">
              <w:t xml:space="preserve">procedure writing </w:t>
            </w:r>
          </w:p>
        </w:tc>
      </w:tr>
      <w:tr w:rsidTr="00ED2E6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rPr>
                <w:rStyle w:val="SpecialBold"/>
              </w:rPr>
              <w:t>Skills requirements include</w:t>
            </w:r>
            <w:r w:rsidRPr="007778B7">
              <w:t xml:space="preserve">: </w:t>
            </w:r>
          </w:p>
          <w:p w:rsidR="00000000" w:rsidRPr="007778B7" w:rsidP="007778B7">
            <w:pPr>
              <w:pStyle w:val="BodyText"/>
            </w:pPr>
            <w:r w:rsidRPr="007778B7">
              <w:t>computerised spreadsheet and database</w:t>
            </w:r>
          </w:p>
          <w:p w:rsidR="00000000" w:rsidRPr="007778B7" w:rsidP="007778B7">
            <w:pPr>
              <w:pStyle w:val="BodyText"/>
            </w:pPr>
            <w:r w:rsidRPr="007778B7">
              <w:t>data analysis and interpretation</w:t>
            </w:r>
          </w:p>
          <w:p w:rsidR="00000000" w:rsidRPr="007778B7" w:rsidP="007778B7">
            <w:pPr>
              <w:pStyle w:val="BodyText"/>
            </w:pPr>
            <w:r w:rsidRPr="007778B7">
              <w:t xml:space="preserve">evaluative and general analytical skills </w:t>
            </w:r>
          </w:p>
          <w:p w:rsidR="00000000" w:rsidRPr="007778B7" w:rsidP="007778B7">
            <w:pPr>
              <w:pStyle w:val="BodyText"/>
            </w:pPr>
            <w:r w:rsidRPr="007778B7">
              <w:t>negotiation and inte</w:t>
            </w:r>
            <w:r w:rsidRPr="007778B7">
              <w:t xml:space="preserve">rpersonal skills </w:t>
            </w:r>
          </w:p>
        </w:tc>
      </w:tr>
    </w:tbl>
    <w:p w:rsidR="00000000" w:rsidRPr="007778B7" w:rsidP="007778B7">
      <w:pPr>
        <w:pStyle w:val="BodyText"/>
      </w:pPr>
    </w:p>
    <w:p w:rsidR="00000000" w:rsidRPr="007778B7" w:rsidP="007778B7">
      <w:pPr>
        <w:pStyle w:val="AllowPageBreak"/>
      </w:pPr>
    </w:p>
    <w:p w:rsidR="00000000" w:rsidRPr="007778B7" w:rsidP="007778B7">
      <w:pPr>
        <w:pStyle w:val="Heading1"/>
      </w:pPr>
      <w:bookmarkStart w:id="10" w:name="O_318204"/>
      <w:bookmarkEnd w:id="10"/>
      <w:r w:rsidRPr="007778B7">
        <w:t>Evidence Guide</w:t>
      </w:r>
    </w:p>
    <w:tbl>
      <w:tblPr>
        <w:tblW w:w="0" w:type="auto"/>
        <w:tblLayout w:type="fixed"/>
        <w:tblCellMar>
          <w:left w:w="62" w:type="dxa"/>
          <w:right w:w="62" w:type="dxa"/>
        </w:tblCellMar>
        <w:tblLook w:val="0000"/>
      </w:tblPr>
      <w:tblGrid>
        <w:gridCol w:w="4500"/>
        <w:gridCol w:w="4500"/>
      </w:tblGrid>
      <w:tr w:rsidTr="00ED2E6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 xml:space="preserve"> EVIDENCE GUIDE</w:t>
            </w:r>
          </w:p>
        </w:tc>
      </w:tr>
      <w:tr w:rsidTr="00ED2E6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 xml:space="preserve">Assessment of performance requirements in the unit should be undertaken in an industry context. The Evidence Guide identifies the critical </w:t>
            </w:r>
            <w:r w:rsidRPr="007778B7">
              <w:t xml:space="preserve">aspects, knowledge and skills to be demonstrated to confirm competency for the unit. Competency is demonstrated by performance of all stated criteria including the Range Statement applicable to the workplace. </w:t>
            </w:r>
          </w:p>
        </w:tc>
      </w:tr>
      <w:tr w:rsidTr="00ED2E6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Overview of assessment requirements</w:t>
            </w:r>
          </w:p>
        </w:tc>
      </w:tr>
      <w:tr w:rsidTr="00ED2E6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t>To ach</w:t>
            </w:r>
            <w:r w:rsidRPr="007778B7">
              <w:t xml:space="preserve">ieve competency in this unit, a person must be able to demonstrate: </w:t>
            </w:r>
          </w:p>
          <w:p w:rsidR="00000000" w:rsidRPr="007778B7" w:rsidP="007778B7">
            <w:pPr>
              <w:pStyle w:val="BodyText"/>
            </w:pPr>
            <w:r w:rsidRPr="007778B7">
              <w:t xml:space="preserve">knowledge of company organisational policies and procedures for preparing, matching and processing receipts  </w:t>
            </w:r>
          </w:p>
          <w:p w:rsidR="00000000" w:rsidRPr="007778B7" w:rsidP="007778B7">
            <w:pPr>
              <w:pStyle w:val="BodyText"/>
            </w:pPr>
            <w:r w:rsidRPr="007778B7">
              <w:t xml:space="preserve">knowledge of industry and legislative requirements for processing receipts </w:t>
            </w:r>
          </w:p>
          <w:p w:rsidR="00000000" w:rsidRPr="007778B7" w:rsidP="007778B7">
            <w:pPr>
              <w:pStyle w:val="BodyText"/>
            </w:pPr>
            <w:r w:rsidRPr="007778B7">
              <w:t>a</w:t>
            </w:r>
            <w:r w:rsidRPr="007778B7">
              <w:t>bility to receive, identify and record receipts</w:t>
            </w:r>
          </w:p>
          <w:p w:rsidR="00000000" w:rsidRPr="007778B7" w:rsidP="007778B7">
            <w:pPr>
              <w:pStyle w:val="BodyText"/>
            </w:pPr>
            <w:r w:rsidRPr="007778B7">
              <w:t xml:space="preserve">ability to match receipts to relevant documentation </w:t>
            </w:r>
          </w:p>
          <w:p w:rsidR="00000000" w:rsidRPr="007778B7" w:rsidP="007778B7">
            <w:pPr>
              <w:pStyle w:val="BodyText"/>
            </w:pPr>
            <w:r w:rsidRPr="007778B7">
              <w:t xml:space="preserve">ability to enter data into organisational systems </w:t>
            </w:r>
          </w:p>
          <w:p w:rsidR="00000000" w:rsidP="007778B7">
            <w:pPr>
              <w:pStyle w:val="BodyText"/>
              <w:rPr>
                <w:lang w:val="en-NZ"/>
              </w:rPr>
            </w:pPr>
            <w:r w:rsidRPr="007778B7">
              <w:t xml:space="preserve">ability to file documentation       </w:t>
            </w:r>
          </w:p>
        </w:tc>
      </w:tr>
      <w:tr w:rsidTr="00ED2E6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Critical aspects of evidence</w:t>
            </w:r>
          </w:p>
        </w:tc>
      </w:tr>
      <w:tr w:rsidTr="00ED2E6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Evidence required for demonstratio</w:t>
            </w:r>
            <w:r w:rsidRPr="007778B7">
              <w:rPr>
                <w:rStyle w:val="SpecialBold"/>
              </w:rPr>
              <w:t>n of consistent performance</w:t>
            </w:r>
            <w:r w:rsidRPr="007778B7">
              <w:t xml:space="preserve">: </w:t>
            </w:r>
          </w:p>
        </w:tc>
        <w:tc>
          <w:tcPr>
            <w:tcW w:w="4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t xml:space="preserve">Competence in this unit must be assessed over a period of time in order to ensure consistency of performance over the Range Statement and contexts applicable to the work environment. </w:t>
            </w:r>
          </w:p>
        </w:tc>
      </w:tr>
      <w:tr w:rsidTr="00ED2E6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Delivery</w:t>
            </w:r>
            <w:r w:rsidRPr="007778B7">
              <w:t>/</w:t>
            </w:r>
            <w:r w:rsidRPr="007778B7">
              <w:rPr>
                <w:rStyle w:val="SpecialBold"/>
              </w:rPr>
              <w:t>relationship to other units</w:t>
            </w:r>
            <w:r w:rsidRPr="007778B7">
              <w:t xml:space="preserve">: </w:t>
            </w:r>
          </w:p>
        </w:tc>
        <w:tc>
          <w:tcPr>
            <w:tcW w:w="4500" w:type="dxa"/>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t>This unit may be assessed on its own or it may be assessed with other units that cover related skills and knowledge.</w:t>
            </w:r>
          </w:p>
          <w:p w:rsidR="00000000" w:rsidP="007778B7">
            <w:pPr>
              <w:pStyle w:val="BodyText"/>
              <w:rPr>
                <w:lang w:val="en-NZ"/>
              </w:rPr>
            </w:pPr>
            <w:r w:rsidRPr="007778B7">
              <w:t>Evidence is most relevant when provided through an integrated activity, which combines the elements of competency for the unit, or a cluste</w:t>
            </w:r>
            <w:r w:rsidRPr="007778B7">
              <w:t xml:space="preserve">r of units of competency. </w:t>
            </w:r>
          </w:p>
        </w:tc>
      </w:tr>
      <w:tr w:rsidTr="00ED2E6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Assessment requirements</w:t>
            </w:r>
          </w:p>
        </w:tc>
      </w:tr>
      <w:tr w:rsidTr="00ED2E6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Method of assessment</w:t>
            </w:r>
            <w:r w:rsidRPr="007778B7">
              <w:t xml:space="preserve">: </w:t>
            </w:r>
          </w:p>
        </w:tc>
        <w:tc>
          <w:tcPr>
            <w:tcW w:w="4500" w:type="dxa"/>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t>For valid and reliable assessment of this unit, evidence should be gathered through a range of methods to indicate consistent performance.</w:t>
            </w:r>
          </w:p>
          <w:p w:rsidR="00000000" w:rsidP="007778B7">
            <w:pPr>
              <w:pStyle w:val="BodyText"/>
              <w:rPr>
                <w:lang w:val="en-NZ"/>
              </w:rPr>
            </w:pPr>
            <w:r w:rsidRPr="007778B7">
              <w:t>Assessment of this unit of competence wi</w:t>
            </w:r>
            <w:r w:rsidRPr="007778B7">
              <w:t xml:space="preserve">ll usually include observation of processes and procedures, oral and/or written questioning on underpinning knowledge and skills and other methods as required. </w:t>
            </w:r>
          </w:p>
        </w:tc>
      </w:tr>
      <w:tr w:rsidTr="00ED2E6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Context of assessment</w:t>
            </w:r>
            <w:r w:rsidRPr="007778B7">
              <w:t xml:space="preserve">: </w:t>
            </w:r>
          </w:p>
        </w:tc>
        <w:tc>
          <w:tcPr>
            <w:tcW w:w="4500" w:type="dxa"/>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t>Assessment of performance requirements in this unit should be undertak</w:t>
            </w:r>
            <w:r w:rsidRPr="007778B7">
              <w:t xml:space="preserve">en within the financial services industry context and should cover aspects of personal/financial responsibility and accountability. </w:t>
            </w:r>
          </w:p>
          <w:p w:rsidR="00000000" w:rsidP="007778B7">
            <w:pPr>
              <w:pStyle w:val="BodyText"/>
              <w:rPr>
                <w:lang w:val="en-NZ"/>
              </w:rPr>
            </w:pPr>
            <w:r w:rsidRPr="007778B7">
              <w:t xml:space="preserve">Aspects of competency, including the attainment of relevant knowledge and skills, may be assessed in a relevant workplace, </w:t>
            </w:r>
            <w:r w:rsidRPr="007778B7">
              <w:t xml:space="preserve">a closely simulated work environment, or other appropriate means that clearly meet industry competency requirements. </w:t>
            </w:r>
          </w:p>
        </w:tc>
      </w:tr>
      <w:tr w:rsidTr="00ED2E6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Resources required for assessment</w:t>
            </w:r>
            <w:r w:rsidRPr="007778B7">
              <w:t xml:space="preserve">: </w:t>
            </w:r>
          </w:p>
        </w:tc>
        <w:tc>
          <w:tcPr>
            <w:tcW w:w="4500" w:type="dxa"/>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t>Unless otherwise specified, there are no significant resource implications for assessment of this uni</w:t>
            </w:r>
            <w:r w:rsidRPr="007778B7">
              <w:t>t, apart from access to a relevant workplace or closely simulated office environment and the use of a range of office equipment, technology and consumables. These may include standard commercial computer hardware, software, telephones, facsimiles, and othe</w:t>
            </w:r>
            <w:r w:rsidRPr="007778B7">
              <w:t xml:space="preserve">r relevant office equipment. </w:t>
            </w:r>
          </w:p>
        </w:tc>
      </w:tr>
    </w:tbl>
    <w:p w:rsidR="00000000" w:rsidRPr="007778B7" w:rsidP="007778B7">
      <w:pPr>
        <w:pStyle w:val="BodyText"/>
      </w:pPr>
    </w:p>
    <w:p w:rsidR="00000000" w:rsidRPr="007778B7" w:rsidP="007778B7">
      <w:pPr>
        <w:pStyle w:val="AllowPageBreak"/>
      </w:pPr>
    </w:p>
    <w:p w:rsidR="00000000" w:rsidRPr="007778B7" w:rsidP="007778B7">
      <w:pPr>
        <w:pStyle w:val="Heading1"/>
      </w:pPr>
      <w:bookmarkStart w:id="11" w:name="O_318203"/>
      <w:bookmarkEnd w:id="11"/>
      <w:r w:rsidRPr="007778B7">
        <w:t>Range Statement</w:t>
      </w:r>
    </w:p>
    <w:tbl>
      <w:tblPr>
        <w:tblW w:w="0" w:type="auto"/>
        <w:tblLayout w:type="fixed"/>
        <w:tblCellMar>
          <w:left w:w="62" w:type="dxa"/>
          <w:right w:w="62" w:type="dxa"/>
        </w:tblCellMar>
        <w:tblLook w:val="0000"/>
      </w:tblPr>
      <w:tblGrid>
        <w:gridCol w:w="4500"/>
        <w:gridCol w:w="4500"/>
      </w:tblGrid>
      <w:tr w:rsidTr="00ED2E6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78B7">
            <w:pPr>
              <w:pStyle w:val="BodyText"/>
              <w:rPr>
                <w:lang w:val="en-NZ"/>
              </w:rPr>
            </w:pPr>
          </w:p>
        </w:tc>
      </w:tr>
      <w:tr w:rsidTr="00ED2E6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t>The Range Statement relates to the unit of competency as a whole. It allows for different work environments and situations that will affect performance.</w:t>
            </w:r>
          </w:p>
          <w:p w:rsidR="00000000" w:rsidP="007778B7">
            <w:pPr>
              <w:pStyle w:val="BodyText"/>
              <w:rPr>
                <w:lang w:val="en-NZ"/>
              </w:rPr>
            </w:pPr>
            <w:r w:rsidRPr="007778B7">
              <w:t xml:space="preserve">The following variables may be present with training and assessment depending on the work situation, needs of the candidate, accessibility of the item, and local industry and regional contexts. If </w:t>
            </w:r>
            <w:r w:rsidRPr="007778B7">
              <w:rPr>
                <w:rStyle w:val="SpecialBold"/>
              </w:rPr>
              <w:t>bold italicised</w:t>
            </w:r>
            <w:r w:rsidRPr="007778B7">
              <w:t xml:space="preserve"> text is shown in Performance Criteria, deta</w:t>
            </w:r>
            <w:r w:rsidRPr="007778B7">
              <w:t xml:space="preserve">ils of the text are provided in the Range Statement. </w:t>
            </w:r>
          </w:p>
        </w:tc>
      </w:tr>
      <w:tr w:rsidTr="00ED2E6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Receipts</w:t>
            </w:r>
            <w:r w:rsidRPr="007778B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t>cheques</w:t>
            </w:r>
          </w:p>
          <w:p w:rsidR="00000000" w:rsidRPr="007778B7" w:rsidP="007778B7">
            <w:pPr>
              <w:pStyle w:val="BodyText"/>
            </w:pPr>
            <w:r w:rsidRPr="007778B7">
              <w:t>cash</w:t>
            </w:r>
          </w:p>
          <w:p w:rsidR="00000000" w:rsidRPr="007778B7" w:rsidP="007778B7">
            <w:pPr>
              <w:pStyle w:val="BodyText"/>
            </w:pPr>
            <w:r w:rsidRPr="007778B7">
              <w:t>bankers orders</w:t>
            </w:r>
          </w:p>
          <w:p w:rsidR="00000000" w:rsidRPr="007778B7" w:rsidP="007778B7">
            <w:pPr>
              <w:pStyle w:val="BodyText"/>
            </w:pPr>
            <w:r w:rsidRPr="007778B7">
              <w:t>postal money order</w:t>
            </w:r>
          </w:p>
          <w:p w:rsidR="00000000" w:rsidRPr="007778B7" w:rsidP="007778B7">
            <w:pPr>
              <w:pStyle w:val="BodyText"/>
            </w:pPr>
            <w:r w:rsidRPr="007778B7">
              <w:t>cash journal entry</w:t>
            </w:r>
          </w:p>
          <w:p w:rsidR="00000000" w:rsidRPr="007778B7" w:rsidP="007778B7">
            <w:pPr>
              <w:pStyle w:val="BodyText"/>
            </w:pPr>
            <w:r w:rsidRPr="007778B7">
              <w:t>direct debits</w:t>
            </w:r>
          </w:p>
          <w:p w:rsidR="00000000" w:rsidRPr="007778B7" w:rsidP="007778B7">
            <w:pPr>
              <w:pStyle w:val="BodyText"/>
            </w:pPr>
            <w:r w:rsidRPr="007778B7">
              <w:t>credit cards (direct, mail and telephone)</w:t>
            </w:r>
          </w:p>
          <w:p w:rsidR="00000000" w:rsidRPr="007778B7" w:rsidP="007778B7">
            <w:pPr>
              <w:pStyle w:val="BodyText"/>
            </w:pPr>
            <w:r w:rsidRPr="007778B7">
              <w:t>direct drawing</w:t>
            </w:r>
          </w:p>
          <w:p w:rsidR="00000000" w:rsidP="007778B7">
            <w:pPr>
              <w:pStyle w:val="BodyText"/>
              <w:rPr>
                <w:lang w:val="en-NZ"/>
              </w:rPr>
            </w:pPr>
            <w:r w:rsidRPr="007778B7">
              <w:t xml:space="preserve">payroll deduction </w:t>
            </w:r>
          </w:p>
        </w:tc>
      </w:tr>
      <w:tr w:rsidTr="00ED2E6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Receipt system</w:t>
            </w:r>
            <w:r w:rsidRPr="007778B7">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t>investment</w:t>
            </w:r>
          </w:p>
          <w:p w:rsidR="00000000" w:rsidRPr="007778B7" w:rsidP="007778B7">
            <w:pPr>
              <w:pStyle w:val="BodyText"/>
            </w:pPr>
            <w:r w:rsidRPr="007778B7">
              <w:t>loans</w:t>
            </w:r>
          </w:p>
          <w:p w:rsidR="00000000" w:rsidRPr="007778B7" w:rsidP="007778B7">
            <w:pPr>
              <w:pStyle w:val="BodyText"/>
            </w:pPr>
            <w:r w:rsidRPr="007778B7">
              <w:t>cash receipts debiting</w:t>
            </w:r>
          </w:p>
          <w:p w:rsidR="00000000" w:rsidRPr="007778B7" w:rsidP="007778B7">
            <w:pPr>
              <w:pStyle w:val="BodyText"/>
            </w:pPr>
            <w:r w:rsidRPr="007778B7">
              <w:t>assets</w:t>
            </w:r>
          </w:p>
          <w:p w:rsidR="00000000" w:rsidRPr="007778B7" w:rsidP="007778B7">
            <w:pPr>
              <w:pStyle w:val="BodyText"/>
            </w:pPr>
            <w:r w:rsidRPr="007778B7">
              <w:t>commissions</w:t>
            </w:r>
          </w:p>
          <w:p w:rsidR="00000000" w:rsidP="007778B7">
            <w:pPr>
              <w:pStyle w:val="BodyText"/>
              <w:rPr>
                <w:lang w:val="en-NZ"/>
              </w:rPr>
            </w:pPr>
            <w:r w:rsidRPr="007778B7">
              <w:t xml:space="preserve">receipting system may take account of optimising legislative requirements including Financial Institutions Duty (FID) </w:t>
            </w:r>
          </w:p>
        </w:tc>
      </w:tr>
      <w:tr w:rsidTr="00ED2E6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Industry and legislative requirements</w:t>
            </w:r>
            <w:r w:rsidRPr="007778B7">
              <w:t xml:space="preserve"> may cover:</w:t>
            </w:r>
          </w:p>
        </w:tc>
        <w:tc>
          <w:tcPr>
            <w:tcW w:w="4500" w:type="dxa"/>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t>Australian Ac</w:t>
            </w:r>
            <w:r w:rsidRPr="007778B7">
              <w:t>counting Standards</w:t>
            </w:r>
          </w:p>
          <w:p w:rsidR="00000000" w:rsidRPr="007778B7" w:rsidP="007778B7">
            <w:pPr>
              <w:pStyle w:val="BodyText"/>
            </w:pPr>
            <w:r w:rsidRPr="007778B7">
              <w:t>relevant Insurance Act</w:t>
            </w:r>
          </w:p>
          <w:p w:rsidR="00000000" w:rsidRPr="007778B7" w:rsidP="007778B7">
            <w:pPr>
              <w:pStyle w:val="BodyText"/>
            </w:pPr>
            <w:r w:rsidRPr="007778B7">
              <w:t>Consumer Credit legislation</w:t>
            </w:r>
          </w:p>
          <w:p w:rsidR="00000000" w:rsidRPr="007778B7" w:rsidP="007778B7">
            <w:pPr>
              <w:pStyle w:val="BodyText"/>
            </w:pPr>
            <w:r w:rsidRPr="007778B7">
              <w:t>Privacy Act</w:t>
            </w:r>
          </w:p>
          <w:p w:rsidR="00000000" w:rsidRPr="007778B7" w:rsidP="007778B7">
            <w:pPr>
              <w:pStyle w:val="BodyText"/>
            </w:pPr>
            <w:r w:rsidRPr="007778B7">
              <w:t>Taxation Act</w:t>
            </w:r>
          </w:p>
          <w:p w:rsidR="00000000" w:rsidRPr="007778B7" w:rsidP="007778B7">
            <w:pPr>
              <w:pStyle w:val="BodyText"/>
            </w:pPr>
            <w:r w:rsidRPr="007778B7">
              <w:t>Cash Transaction Act</w:t>
            </w:r>
          </w:p>
          <w:p w:rsidR="00000000" w:rsidRPr="007778B7" w:rsidP="007778B7">
            <w:pPr>
              <w:pStyle w:val="BodyText"/>
            </w:pPr>
            <w:r w:rsidRPr="007778B7">
              <w:t>industry codes of practice</w:t>
            </w:r>
          </w:p>
          <w:p w:rsidR="00000000" w:rsidRPr="007778B7" w:rsidP="007778B7">
            <w:pPr>
              <w:pStyle w:val="BodyText"/>
            </w:pPr>
            <w:r w:rsidRPr="007778B7">
              <w:t>Australian Securities and Investments Commission (ASIC) code</w:t>
            </w:r>
          </w:p>
          <w:p w:rsidR="00000000" w:rsidRPr="007778B7" w:rsidP="007778B7">
            <w:pPr>
              <w:pStyle w:val="BodyText"/>
            </w:pPr>
            <w:r w:rsidRPr="007778B7">
              <w:t>Trade Practices Act</w:t>
            </w:r>
          </w:p>
          <w:p w:rsidR="00000000" w:rsidRPr="007778B7" w:rsidP="007778B7">
            <w:pPr>
              <w:pStyle w:val="BodyText"/>
            </w:pPr>
            <w:r w:rsidRPr="007778B7">
              <w:t>Stamp Duties Act</w:t>
            </w:r>
          </w:p>
          <w:p w:rsidR="00000000" w:rsidP="007778B7">
            <w:pPr>
              <w:pStyle w:val="BodyText"/>
              <w:rPr>
                <w:lang w:val="en-NZ"/>
              </w:rPr>
            </w:pPr>
            <w:r w:rsidRPr="007778B7">
              <w:t xml:space="preserve">occupational health and safety (OH&amp;S) acts and guidelines </w:t>
            </w:r>
          </w:p>
        </w:tc>
      </w:tr>
      <w:tr w:rsidTr="00ED2E6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Systems</w:t>
            </w:r>
            <w:r w:rsidRPr="007778B7">
              <w:t xml:space="preserve"> may be: </w:t>
            </w:r>
          </w:p>
        </w:tc>
        <w:tc>
          <w:tcPr>
            <w:tcW w:w="4500" w:type="dxa"/>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t>manual</w:t>
            </w:r>
          </w:p>
          <w:p w:rsidR="00000000" w:rsidP="007778B7">
            <w:pPr>
              <w:pStyle w:val="BodyText"/>
              <w:rPr>
                <w:lang w:val="en-NZ"/>
              </w:rPr>
            </w:pPr>
            <w:r w:rsidRPr="007778B7">
              <w:t xml:space="preserve">computer based </w:t>
            </w:r>
          </w:p>
        </w:tc>
      </w:tr>
      <w:tr w:rsidTr="00ED2E6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Data and allocation discrepancies</w:t>
            </w:r>
            <w:r w:rsidRPr="007778B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t>key stroke error</w:t>
            </w:r>
          </w:p>
          <w:p w:rsidR="00000000" w:rsidP="007778B7">
            <w:pPr>
              <w:pStyle w:val="BodyText"/>
              <w:rPr>
                <w:lang w:val="en-NZ"/>
              </w:rPr>
            </w:pPr>
            <w:r w:rsidRPr="007778B7">
              <w:t xml:space="preserve">incorrect account allocation </w:t>
            </w:r>
          </w:p>
        </w:tc>
      </w:tr>
      <w:tr w:rsidTr="00ED2E6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78B7">
            <w:pPr>
              <w:pStyle w:val="BodyText"/>
              <w:rPr>
                <w:lang w:val="en-NZ"/>
              </w:rPr>
            </w:pPr>
            <w:r w:rsidRPr="007778B7">
              <w:rPr>
                <w:rStyle w:val="SpecialBold"/>
              </w:rPr>
              <w:t>Company policy and procedures</w:t>
            </w:r>
            <w:r w:rsidRPr="007778B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778B7" w:rsidP="007778B7">
            <w:pPr>
              <w:pStyle w:val="BodyText"/>
            </w:pPr>
            <w:r w:rsidRPr="007778B7">
              <w:t>operations manual</w:t>
            </w:r>
            <w:r w:rsidRPr="007778B7">
              <w:t xml:space="preserve">s </w:t>
            </w:r>
          </w:p>
          <w:p w:rsidR="00000000" w:rsidRPr="007778B7" w:rsidP="007778B7">
            <w:pPr>
              <w:pStyle w:val="BodyText"/>
            </w:pPr>
            <w:r w:rsidRPr="007778B7">
              <w:t xml:space="preserve">internal control guidelines </w:t>
            </w:r>
          </w:p>
          <w:p w:rsidR="00000000" w:rsidRPr="007778B7" w:rsidP="007778B7">
            <w:pPr>
              <w:pStyle w:val="BodyText"/>
            </w:pPr>
            <w:r w:rsidRPr="007778B7">
              <w:t xml:space="preserve">computer systems documentation   </w:t>
            </w:r>
          </w:p>
        </w:tc>
      </w:tr>
    </w:tbl>
    <w:p w:rsidR="00000000" w:rsidRPr="007778B7" w:rsidP="007778B7">
      <w:pPr>
        <w:pStyle w:val="BodyText"/>
      </w:pPr>
    </w:p>
    <w:p w:rsidR="00000000" w:rsidRPr="007778B7" w:rsidP="007778B7">
      <w:pPr>
        <w:pStyle w:val="AllowPageBreak"/>
      </w:pPr>
    </w:p>
    <w:p w:rsidR="00000000" w:rsidRPr="007778B7" w:rsidP="007778B7">
      <w:pPr>
        <w:pStyle w:val="Heading1"/>
      </w:pPr>
      <w:bookmarkStart w:id="12" w:name="O_318212"/>
      <w:bookmarkEnd w:id="12"/>
      <w:r w:rsidRPr="007778B7">
        <w:t>Unit Sector(s)</w:t>
      </w:r>
    </w:p>
    <w:p w:rsidR="00000000" w:rsidRPr="007778B7" w:rsidP="007778B7">
      <w:pPr>
        <w:pStyle w:val="BodyText"/>
      </w:pPr>
      <w:r w:rsidRPr="007778B7">
        <w:t>Not applicable.</w:t>
      </w:r>
    </w:p>
    <w:p w:rsidR="00000000" w:rsidRPr="007778B7" w:rsidP="007778B7">
      <w:pPr>
        <w:pStyle w:val="AllowPageBreak"/>
      </w:pPr>
    </w:p>
    <w:p w:rsidR="00000000" w:rsidRPr="007778B7" w:rsidP="007778B7">
      <w:pPr>
        <w:pStyle w:val="Heading1"/>
      </w:pPr>
      <w:bookmarkStart w:id="13" w:name="O_318213"/>
      <w:bookmarkEnd w:id="13"/>
      <w:r w:rsidRPr="007778B7">
        <w:t>Relationship to other units</w:t>
      </w:r>
    </w:p>
    <w:p w:rsidR="00000000" w:rsidRPr="007778B7" w:rsidP="007778B7">
      <w:pPr>
        <w:pStyle w:val="BodyText"/>
      </w:pPr>
      <w:r w:rsidRPr="007778B7">
        <w:t>This unit replaces FNSICACC303A.</w:t>
      </w:r>
    </w:p>
    <w:p w:rsidR="00000000" w:rsidRPr="007778B7" w:rsidP="007778B7">
      <w:pPr>
        <w:pStyle w:val="BodyText"/>
      </w:pPr>
      <w:r w:rsidRPr="007778B7">
        <w:t>This unit replaces FNSICACC303A.</w:t>
      </w:r>
    </w:p>
    <w:p w:rsidR="00000000" w:rsidRPr="007778B7" w:rsidP="007778B7"/>
    <w:sectPr w:rsidSect="007778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8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2E63" w:rsidP="00ED2E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8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E63" w:rsidP="007778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2E63" w:rsidP="007778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D2E63" w:rsidP="007778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8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2E63" w:rsidP="00ED2E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8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E63" w:rsidP="007778B7">
    <w:pPr>
      <w:pStyle w:val="Header"/>
      <w:framePr w:wrap="around"/>
    </w:pPr>
    <w:r>
      <w:fldChar w:fldCharType="begin"/>
    </w:r>
    <w:r>
      <w:instrText xml:space="preserve"> TITLE   \* MERGEFORMAT </w:instrText>
    </w:r>
    <w:r>
      <w:fldChar w:fldCharType="separate"/>
    </w:r>
    <w:r>
      <w:t>FNSICACC303B Prepare, match and process receipts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2E63" w:rsidP="007778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8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78B7"/>
    <w:pPr>
      <w:spacing w:before="360" w:after="60"/>
      <w:outlineLvl w:val="0"/>
    </w:pPr>
    <w:rPr>
      <w:sz w:val="32"/>
    </w:rPr>
  </w:style>
  <w:style w:type="paragraph" w:styleId="Heading2">
    <w:name w:val="heading 2"/>
    <w:basedOn w:val="HeadingBase"/>
    <w:next w:val="BodyText"/>
    <w:link w:val="Heading2Char"/>
    <w:qFormat/>
    <w:rsid w:val="007778B7"/>
    <w:pPr>
      <w:keepLines/>
      <w:spacing w:before="240" w:after="120"/>
      <w:outlineLvl w:val="1"/>
    </w:pPr>
    <w:rPr>
      <w:sz w:val="28"/>
      <w:szCs w:val="40"/>
    </w:rPr>
  </w:style>
  <w:style w:type="paragraph" w:styleId="Heading3">
    <w:name w:val="heading 3"/>
    <w:basedOn w:val="HeadingBase"/>
    <w:next w:val="BodyText"/>
    <w:link w:val="Heading3Char"/>
    <w:qFormat/>
    <w:rsid w:val="007778B7"/>
    <w:pPr>
      <w:spacing w:before="180" w:after="120"/>
      <w:outlineLvl w:val="2"/>
    </w:pPr>
    <w:rPr>
      <w:spacing w:val="-10"/>
      <w:kern w:val="32"/>
    </w:rPr>
  </w:style>
  <w:style w:type="paragraph" w:styleId="Heading4">
    <w:name w:val="heading 4"/>
    <w:basedOn w:val="HeadingBase"/>
    <w:next w:val="BodyText"/>
    <w:link w:val="Heading4Char"/>
    <w:qFormat/>
    <w:rsid w:val="007778B7"/>
    <w:pPr>
      <w:spacing w:before="160" w:after="120"/>
      <w:outlineLvl w:val="3"/>
    </w:pPr>
    <w:rPr>
      <w:sz w:val="22"/>
    </w:rPr>
  </w:style>
  <w:style w:type="paragraph" w:styleId="Heading5">
    <w:name w:val="heading 5"/>
    <w:basedOn w:val="HeadingBase"/>
    <w:next w:val="Normal"/>
    <w:link w:val="Heading5Char"/>
    <w:qFormat/>
    <w:rsid w:val="007778B7"/>
    <w:pPr>
      <w:spacing w:before="80"/>
      <w:outlineLvl w:val="4"/>
    </w:pPr>
    <w:rPr>
      <w:color w:val="918585"/>
      <w:sz w:val="20"/>
    </w:rPr>
  </w:style>
  <w:style w:type="paragraph" w:styleId="Heading6">
    <w:name w:val="heading 6"/>
    <w:basedOn w:val="HeadingBase"/>
    <w:next w:val="Normal"/>
    <w:link w:val="Heading6Char"/>
    <w:qFormat/>
    <w:rsid w:val="007778B7"/>
    <w:pPr>
      <w:spacing w:before="60"/>
      <w:outlineLvl w:val="5"/>
    </w:pPr>
    <w:rPr>
      <w:color w:val="918585"/>
      <w:sz w:val="20"/>
    </w:rPr>
  </w:style>
  <w:style w:type="paragraph" w:styleId="Heading7">
    <w:name w:val="heading 7"/>
    <w:basedOn w:val="Normal"/>
    <w:next w:val="Normal"/>
    <w:link w:val="Heading7Char"/>
    <w:qFormat/>
    <w:rsid w:val="007778B7"/>
    <w:pPr>
      <w:ind w:left="720"/>
      <w:outlineLvl w:val="6"/>
    </w:pPr>
    <w:rPr>
      <w:i/>
    </w:rPr>
  </w:style>
  <w:style w:type="paragraph" w:styleId="Heading8">
    <w:name w:val="heading 8"/>
    <w:basedOn w:val="Normal"/>
    <w:next w:val="Normal"/>
    <w:link w:val="Heading8Char"/>
    <w:qFormat/>
    <w:rsid w:val="007778B7"/>
    <w:pPr>
      <w:ind w:left="720"/>
      <w:outlineLvl w:val="7"/>
    </w:pPr>
    <w:rPr>
      <w:i/>
    </w:rPr>
  </w:style>
  <w:style w:type="paragraph" w:styleId="Heading9">
    <w:name w:val="heading 9"/>
    <w:basedOn w:val="Normal"/>
    <w:next w:val="Normal"/>
    <w:link w:val="Heading9Char"/>
    <w:qFormat/>
    <w:rsid w:val="007778B7"/>
    <w:pPr>
      <w:ind w:left="720"/>
      <w:outlineLvl w:val="8"/>
    </w:pPr>
    <w:rPr>
      <w:i/>
    </w:rPr>
  </w:style>
  <w:style w:type="character" w:default="1" w:styleId="DefaultParagraphFont">
    <w:name w:val="Default Paragraph Font"/>
    <w:uiPriority w:val="1"/>
    <w:unhideWhenUsed/>
    <w:rsid w:val="007778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8B7"/>
  </w:style>
  <w:style w:type="character" w:customStyle="1" w:styleId="Heading1Char">
    <w:name w:val="Heading 1 Char"/>
    <w:basedOn w:val="DefaultParagraphFont"/>
    <w:link w:val="Heading1"/>
    <w:rsid w:val="007778B7"/>
    <w:rPr>
      <w:rFonts w:ascii="Times New Roman" w:eastAsia="Times New Roman" w:hAnsi="Times New Roman" w:cs="Times New Roman"/>
      <w:b/>
      <w:sz w:val="32"/>
      <w:szCs w:val="20"/>
      <w:lang w:eastAsia="en-US"/>
    </w:rPr>
  </w:style>
  <w:style w:type="paragraph" w:styleId="BodyText">
    <w:name w:val="Body Text"/>
    <w:basedOn w:val="Normal"/>
    <w:link w:val="BodyTextChar"/>
    <w:rsid w:val="007778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78B7"/>
    <w:rPr>
      <w:rFonts w:ascii="Times New Roman" w:eastAsia="Times New Roman" w:hAnsi="Times New Roman" w:cs="Times New Roman"/>
      <w:sz w:val="24"/>
      <w:lang w:val="en-US" w:eastAsia="en-US"/>
    </w:rPr>
  </w:style>
  <w:style w:type="paragraph" w:styleId="Footer">
    <w:name w:val="footer"/>
    <w:basedOn w:val="Normal"/>
    <w:link w:val="FooterChar"/>
    <w:rsid w:val="007778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8B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778B7"/>
    <w:rPr>
      <w:b/>
      <w:spacing w:val="0"/>
    </w:rPr>
  </w:style>
  <w:style w:type="paragraph" w:styleId="Header">
    <w:name w:val="header"/>
    <w:basedOn w:val="Normal"/>
    <w:link w:val="HeaderChar"/>
    <w:rsid w:val="007778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8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78B7"/>
    <w:pPr>
      <w:spacing w:before="240" w:after="120"/>
      <w:outlineLvl w:val="0"/>
    </w:pPr>
    <w:rPr>
      <w:rFonts w:ascii="Times New Roman" w:hAnsi="Times New Roman"/>
      <w:b/>
      <w:sz w:val="28"/>
    </w:rPr>
  </w:style>
  <w:style w:type="paragraph" w:customStyle="1" w:styleId="AllowPageBreak">
    <w:name w:val="AllowPageBreak"/>
    <w:rsid w:val="007778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78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8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8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8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8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8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78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78B7"/>
    <w:rPr>
      <w:rFonts w:ascii="Courier New" w:eastAsia="Times New Roman" w:hAnsi="Courier New" w:cs="Times New Roman"/>
      <w:i/>
      <w:szCs w:val="20"/>
      <w:lang w:val="en-US" w:eastAsia="en-US"/>
    </w:rPr>
  </w:style>
  <w:style w:type="paragraph" w:customStyle="1" w:styleId="HeadingBase">
    <w:name w:val="Heading Base"/>
    <w:rsid w:val="007778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8B7"/>
    <w:pPr>
      <w:tabs>
        <w:tab w:val="right" w:leader="dot" w:pos="9072"/>
      </w:tabs>
      <w:ind w:left="567"/>
    </w:pPr>
    <w:rPr>
      <w:szCs w:val="22"/>
    </w:rPr>
  </w:style>
  <w:style w:type="paragraph" w:customStyle="1" w:styleId="TOCBase">
    <w:name w:val="TOC Base"/>
    <w:rsid w:val="007778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8B7"/>
    <w:pPr>
      <w:tabs>
        <w:tab w:val="right" w:leader="dot" w:pos="9072"/>
      </w:tabs>
      <w:spacing w:before="40" w:after="40"/>
      <w:ind w:left="284"/>
    </w:pPr>
    <w:rPr>
      <w:rFonts w:ascii="Times New Roman" w:hAnsi="Times New Roman"/>
    </w:rPr>
  </w:style>
  <w:style w:type="paragraph" w:styleId="TOC1">
    <w:name w:val="toc 1"/>
    <w:basedOn w:val="TOCBase"/>
    <w:next w:val="Normal"/>
    <w:rsid w:val="007778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78B7"/>
    <w:pPr>
      <w:spacing w:before="5040"/>
      <w:jc w:val="center"/>
    </w:pPr>
    <w:rPr>
      <w:sz w:val="48"/>
      <w:szCs w:val="72"/>
      <w:lang w:val="en-US"/>
    </w:rPr>
  </w:style>
  <w:style w:type="character" w:customStyle="1" w:styleId="TitleChar">
    <w:name w:val="Title Char"/>
    <w:basedOn w:val="DefaultParagraphFont"/>
    <w:link w:val="Title"/>
    <w:rsid w:val="007778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8B7"/>
    <w:pPr>
      <w:tabs>
        <w:tab w:val="left" w:pos="3600"/>
        <w:tab w:val="left" w:pos="3958"/>
      </w:tabs>
    </w:pPr>
  </w:style>
  <w:style w:type="paragraph" w:styleId="List">
    <w:name w:val="List"/>
    <w:basedOn w:val="BodyText"/>
    <w:next w:val="BodyText"/>
    <w:rsid w:val="007778B7"/>
    <w:pPr>
      <w:tabs>
        <w:tab w:val="left" w:pos="340"/>
      </w:tabs>
      <w:spacing w:before="60" w:after="60"/>
      <w:ind w:left="340" w:hanging="340"/>
    </w:pPr>
  </w:style>
  <w:style w:type="paragraph" w:styleId="ListBullet">
    <w:name w:val="List Bullet"/>
    <w:basedOn w:val="List"/>
    <w:rsid w:val="007778B7"/>
    <w:pPr>
      <w:numPr>
        <w:numId w:val="11"/>
      </w:numPr>
      <w:tabs>
        <w:tab w:val="clear" w:pos="340"/>
      </w:tabs>
      <w:spacing w:before="40" w:after="40"/>
    </w:pPr>
  </w:style>
  <w:style w:type="paragraph" w:customStyle="1" w:styleId="Note">
    <w:name w:val="Note"/>
    <w:basedOn w:val="BodyText"/>
    <w:rsid w:val="007778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8B7"/>
    <w:pPr>
      <w:framePr w:wrap="auto" w:hAnchor="text" w:y="6049"/>
    </w:pPr>
    <w:rPr>
      <w:color w:val="000000"/>
      <w:sz w:val="40"/>
    </w:rPr>
  </w:style>
  <w:style w:type="paragraph" w:customStyle="1" w:styleId="TOCTitle">
    <w:name w:val="TOCTitle"/>
    <w:basedOn w:val="Heading1"/>
    <w:rsid w:val="007778B7"/>
    <w:pPr>
      <w:spacing w:after="240"/>
      <w:jc w:val="center"/>
      <w:outlineLvl w:val="9"/>
    </w:pPr>
    <w:rPr>
      <w:caps/>
    </w:rPr>
  </w:style>
  <w:style w:type="paragraph" w:customStyle="1" w:styleId="Version">
    <w:name w:val="Version"/>
    <w:rsid w:val="007778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78B7"/>
    <w:pPr>
      <w:numPr>
        <w:numId w:val="12"/>
      </w:numPr>
      <w:tabs>
        <w:tab w:val="clear" w:pos="680"/>
      </w:tabs>
    </w:pPr>
  </w:style>
  <w:style w:type="paragraph" w:styleId="Index1">
    <w:name w:val="index 1"/>
    <w:basedOn w:val="Normal"/>
    <w:next w:val="Normal"/>
    <w:semiHidden/>
    <w:rsid w:val="007778B7"/>
    <w:pPr>
      <w:keepNext w:val="0"/>
      <w:tabs>
        <w:tab w:val="right" w:pos="4176"/>
      </w:tabs>
      <w:ind w:left="198" w:hanging="198"/>
    </w:pPr>
    <w:rPr>
      <w:rFonts w:ascii="Garamond" w:hAnsi="Garamond"/>
    </w:rPr>
  </w:style>
  <w:style w:type="paragraph" w:styleId="IndexHeading">
    <w:name w:val="index heading"/>
    <w:basedOn w:val="Normal"/>
    <w:next w:val="Index1"/>
    <w:semiHidden/>
    <w:rsid w:val="007778B7"/>
    <w:pPr>
      <w:spacing w:before="120" w:after="120"/>
    </w:pPr>
    <w:rPr>
      <w:rFonts w:ascii="Arial" w:hAnsi="Arial"/>
      <w:b/>
      <w:color w:val="918585"/>
      <w:sz w:val="24"/>
    </w:rPr>
  </w:style>
  <w:style w:type="paragraph" w:customStyle="1" w:styleId="Chapter">
    <w:name w:val="Chapter"/>
    <w:basedOn w:val="Normal"/>
    <w:rsid w:val="007778B7"/>
    <w:pPr>
      <w:spacing w:before="240"/>
    </w:pPr>
    <w:rPr>
      <w:rFonts w:ascii="Times New Roman" w:hAnsi="Times New Roman"/>
      <w:smallCaps/>
      <w:spacing w:val="80"/>
      <w:sz w:val="28"/>
    </w:rPr>
  </w:style>
  <w:style w:type="paragraph" w:customStyle="1" w:styleId="InChapter">
    <w:name w:val="InChapter"/>
    <w:basedOn w:val="Heading3"/>
    <w:rsid w:val="007778B7"/>
    <w:pPr>
      <w:spacing w:after="240"/>
      <w:outlineLvl w:val="9"/>
    </w:pPr>
    <w:rPr>
      <w:noProof/>
    </w:rPr>
  </w:style>
  <w:style w:type="paragraph" w:styleId="Index2">
    <w:name w:val="index 2"/>
    <w:basedOn w:val="Normal"/>
    <w:next w:val="Normal"/>
    <w:semiHidden/>
    <w:rsid w:val="007778B7"/>
    <w:pPr>
      <w:tabs>
        <w:tab w:val="right" w:pos="4176"/>
      </w:tabs>
      <w:ind w:left="568" w:hanging="284"/>
    </w:pPr>
    <w:rPr>
      <w:rFonts w:ascii="Garamond" w:hAnsi="Garamond"/>
    </w:rPr>
  </w:style>
  <w:style w:type="paragraph" w:customStyle="1" w:styleId="Byline">
    <w:name w:val="Byline"/>
    <w:rsid w:val="007778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8B7"/>
    <w:pPr>
      <w:tabs>
        <w:tab w:val="clear" w:pos="3600"/>
        <w:tab w:val="clear" w:pos="3958"/>
      </w:tabs>
      <w:jc w:val="right"/>
    </w:pPr>
  </w:style>
  <w:style w:type="character" w:styleId="Emphasis">
    <w:name w:val="Emphasis"/>
    <w:basedOn w:val="DefaultParagraphFont"/>
    <w:qFormat/>
    <w:rsid w:val="007778B7"/>
    <w:rPr>
      <w:i/>
    </w:rPr>
  </w:style>
  <w:style w:type="paragraph" w:styleId="Caption">
    <w:name w:val="caption"/>
    <w:basedOn w:val="BodyText"/>
    <w:next w:val="Normal"/>
    <w:qFormat/>
    <w:rsid w:val="007778B7"/>
    <w:pPr>
      <w:framePr w:w="2268" w:hSpace="181" w:vSpace="181" w:wrap="around" w:vAnchor="text" w:hAnchor="page" w:x="1135" w:y="285" w:anchorLock="1"/>
    </w:pPr>
    <w:rPr>
      <w:i/>
    </w:rPr>
  </w:style>
  <w:style w:type="paragraph" w:customStyle="1" w:styleId="MiniTOCTitle">
    <w:name w:val="MiniTOCTitle"/>
    <w:basedOn w:val="Heading4"/>
    <w:rsid w:val="007778B7"/>
    <w:pPr>
      <w:spacing w:before="240"/>
      <w:outlineLvl w:val="9"/>
    </w:pPr>
    <w:rPr>
      <w:noProof/>
      <w:sz w:val="24"/>
    </w:rPr>
  </w:style>
  <w:style w:type="paragraph" w:customStyle="1" w:styleId="MiniTOCItem">
    <w:name w:val="MiniTOCItem"/>
    <w:basedOn w:val="ListBullet"/>
    <w:rsid w:val="007778B7"/>
    <w:pPr>
      <w:numPr>
        <w:numId w:val="0"/>
      </w:numPr>
      <w:tabs>
        <w:tab w:val="right" w:leader="dot" w:pos="6521"/>
      </w:tabs>
      <w:spacing w:before="0" w:after="0"/>
    </w:pPr>
  </w:style>
  <w:style w:type="paragraph" w:customStyle="1" w:styleId="TOFTitle">
    <w:name w:val="TOFTitle"/>
    <w:basedOn w:val="TOCTitle"/>
    <w:rsid w:val="007778B7"/>
  </w:style>
  <w:style w:type="paragraph" w:styleId="TableofFigures">
    <w:name w:val="table of figures"/>
    <w:basedOn w:val="Normal"/>
    <w:next w:val="Normal"/>
    <w:semiHidden/>
    <w:rsid w:val="007778B7"/>
    <w:pPr>
      <w:tabs>
        <w:tab w:val="right" w:leader="dot" w:pos="9072"/>
      </w:tabs>
      <w:ind w:left="970" w:hanging="403"/>
    </w:pPr>
    <w:rPr>
      <w:rFonts w:ascii="Times New Roman" w:hAnsi="Times New Roman"/>
      <w:b/>
    </w:rPr>
  </w:style>
  <w:style w:type="paragraph" w:styleId="ListNumber">
    <w:name w:val="List Number"/>
    <w:basedOn w:val="List"/>
    <w:rsid w:val="007778B7"/>
    <w:pPr>
      <w:numPr>
        <w:numId w:val="9"/>
      </w:numPr>
    </w:pPr>
  </w:style>
  <w:style w:type="character" w:customStyle="1" w:styleId="WingdingSymbols">
    <w:name w:val="Wingding Symbols"/>
    <w:rsid w:val="007778B7"/>
    <w:rPr>
      <w:rFonts w:ascii="Wingdings" w:hAnsi="Wingdings"/>
    </w:rPr>
  </w:style>
  <w:style w:type="paragraph" w:customStyle="1" w:styleId="TableHeading">
    <w:name w:val="Table Heading"/>
    <w:basedOn w:val="HeadingBase"/>
    <w:rsid w:val="007778B7"/>
    <w:pPr>
      <w:keepLines/>
      <w:pBdr>
        <w:bottom w:val="single" w:sz="6" w:space="1" w:color="918585"/>
      </w:pBdr>
      <w:spacing w:before="240"/>
    </w:pPr>
  </w:style>
  <w:style w:type="character" w:customStyle="1" w:styleId="HotSpot">
    <w:name w:val="HotSpot"/>
    <w:rsid w:val="007778B7"/>
    <w:rPr>
      <w:color w:val="0033CC"/>
      <w:u w:val="none"/>
    </w:rPr>
  </w:style>
  <w:style w:type="paragraph" w:customStyle="1" w:styleId="BodyTextRight">
    <w:name w:val="Body Text Right"/>
    <w:basedOn w:val="BodyText"/>
    <w:rsid w:val="007778B7"/>
    <w:pPr>
      <w:spacing w:before="0" w:after="0"/>
      <w:jc w:val="right"/>
    </w:pPr>
  </w:style>
  <w:style w:type="paragraph" w:styleId="Index3">
    <w:name w:val="index 3"/>
    <w:basedOn w:val="ListNumber2"/>
    <w:next w:val="Normal"/>
    <w:semiHidden/>
    <w:rsid w:val="007778B7"/>
    <w:pPr>
      <w:numPr>
        <w:numId w:val="0"/>
      </w:numPr>
      <w:tabs>
        <w:tab w:val="right" w:leader="dot" w:pos="4176"/>
      </w:tabs>
    </w:pPr>
  </w:style>
  <w:style w:type="paragraph" w:styleId="ListNumber2">
    <w:name w:val="List Number 2"/>
    <w:basedOn w:val="List2"/>
    <w:rsid w:val="007778B7"/>
    <w:pPr>
      <w:numPr>
        <w:numId w:val="8"/>
      </w:numPr>
      <w:tabs>
        <w:tab w:val="clear" w:pos="1060"/>
      </w:tabs>
    </w:pPr>
  </w:style>
  <w:style w:type="paragraph" w:customStyle="1" w:styleId="MarginNote">
    <w:name w:val="Margin Note"/>
    <w:basedOn w:val="BodyText"/>
    <w:rsid w:val="007778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8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8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78B7"/>
    <w:rPr>
      <w:sz w:val="32"/>
    </w:rPr>
  </w:style>
  <w:style w:type="paragraph" w:customStyle="1" w:styleId="HeadingProcedure">
    <w:name w:val="Heading Procedure"/>
    <w:basedOn w:val="HeadingBase"/>
    <w:next w:val="Normal"/>
    <w:rsid w:val="007778B7"/>
    <w:pPr>
      <w:tabs>
        <w:tab w:val="left" w:pos="0"/>
      </w:tabs>
      <w:spacing w:before="120" w:after="60"/>
    </w:pPr>
    <w:rPr>
      <w:i/>
      <w:color w:val="918585"/>
      <w:sz w:val="22"/>
    </w:rPr>
  </w:style>
  <w:style w:type="paragraph" w:customStyle="1" w:styleId="TableBodyText">
    <w:name w:val="Table Body Text"/>
    <w:basedOn w:val="BodyText"/>
    <w:rsid w:val="007778B7"/>
    <w:pPr>
      <w:spacing w:before="60" w:after="60"/>
    </w:pPr>
  </w:style>
  <w:style w:type="paragraph" w:styleId="ListContinue">
    <w:name w:val="List Continue"/>
    <w:basedOn w:val="List"/>
    <w:rsid w:val="007778B7"/>
    <w:pPr>
      <w:ind w:firstLine="0"/>
    </w:pPr>
  </w:style>
  <w:style w:type="paragraph" w:customStyle="1" w:styleId="ListNote">
    <w:name w:val="List Note"/>
    <w:basedOn w:val="List"/>
    <w:rsid w:val="007778B7"/>
    <w:pPr>
      <w:pBdr>
        <w:top w:val="single" w:sz="6" w:space="2" w:color="918585"/>
        <w:bottom w:val="single" w:sz="6" w:space="2" w:color="918585"/>
      </w:pBdr>
      <w:tabs>
        <w:tab w:val="left" w:pos="1021"/>
      </w:tabs>
      <w:ind w:firstLine="0"/>
    </w:pPr>
  </w:style>
  <w:style w:type="paragraph" w:customStyle="1" w:styleId="Warning">
    <w:name w:val="Warning"/>
    <w:basedOn w:val="BodyText"/>
    <w:rsid w:val="007778B7"/>
    <w:pPr>
      <w:shd w:val="clear" w:color="auto" w:fill="D9D9D9"/>
      <w:tabs>
        <w:tab w:val="left" w:pos="992"/>
      </w:tabs>
      <w:ind w:left="119" w:right="119"/>
    </w:pPr>
    <w:rPr>
      <w:sz w:val="20"/>
    </w:rPr>
  </w:style>
  <w:style w:type="paragraph" w:customStyle="1" w:styleId="MarginIcons">
    <w:name w:val="Margin Icons"/>
    <w:basedOn w:val="BodyText"/>
    <w:rsid w:val="007778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8B7"/>
    <w:rPr>
      <w:rFonts w:ascii="Courier New" w:hAnsi="Courier New"/>
    </w:rPr>
  </w:style>
  <w:style w:type="paragraph" w:customStyle="1" w:styleId="NoteBullet">
    <w:name w:val="Note Bullet"/>
    <w:basedOn w:val="Note"/>
    <w:rsid w:val="007778B7"/>
    <w:pPr>
      <w:tabs>
        <w:tab w:val="clear" w:pos="680"/>
      </w:tabs>
      <w:spacing w:before="60" w:after="60"/>
    </w:pPr>
  </w:style>
  <w:style w:type="paragraph" w:customStyle="1" w:styleId="SubHeading2">
    <w:name w:val="SubHeading2"/>
    <w:basedOn w:val="HeadingBase"/>
    <w:rsid w:val="007778B7"/>
    <w:pPr>
      <w:spacing w:before="240" w:after="60"/>
    </w:pPr>
    <w:rPr>
      <w:sz w:val="20"/>
    </w:rPr>
  </w:style>
  <w:style w:type="paragraph" w:customStyle="1" w:styleId="SubHeading1">
    <w:name w:val="SubHeading1"/>
    <w:basedOn w:val="HeadingBase"/>
    <w:rsid w:val="007778B7"/>
    <w:pPr>
      <w:spacing w:before="240" w:after="60"/>
    </w:pPr>
    <w:rPr>
      <w:color w:val="918585"/>
      <w:sz w:val="22"/>
    </w:rPr>
  </w:style>
  <w:style w:type="paragraph" w:customStyle="1" w:styleId="SideHeading">
    <w:name w:val="Side Heading"/>
    <w:basedOn w:val="HeadingBase"/>
    <w:rsid w:val="007778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8B7"/>
    <w:pPr>
      <w:numPr>
        <w:numId w:val="10"/>
      </w:numPr>
    </w:pPr>
  </w:style>
  <w:style w:type="paragraph" w:styleId="PlainText">
    <w:name w:val="Plain Text"/>
    <w:basedOn w:val="Normal"/>
    <w:link w:val="PlainTextChar"/>
    <w:rsid w:val="007778B7"/>
    <w:rPr>
      <w:sz w:val="20"/>
    </w:rPr>
  </w:style>
  <w:style w:type="character" w:customStyle="1" w:styleId="PlainTextChar">
    <w:name w:val="Plain Text Char"/>
    <w:basedOn w:val="DefaultParagraphFont"/>
    <w:link w:val="PlainText"/>
    <w:rsid w:val="007778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78B7"/>
    <w:rPr>
      <w:b/>
      <w:smallCaps/>
    </w:rPr>
  </w:style>
  <w:style w:type="paragraph" w:customStyle="1" w:styleId="TableListNumber">
    <w:name w:val="Table List Number"/>
    <w:basedOn w:val="ListNumber"/>
    <w:rsid w:val="007778B7"/>
    <w:pPr>
      <w:numPr>
        <w:numId w:val="0"/>
      </w:numPr>
    </w:pPr>
  </w:style>
  <w:style w:type="paragraph" w:styleId="TOC4">
    <w:name w:val="toc 4"/>
    <w:basedOn w:val="TOCBase"/>
    <w:next w:val="Normal"/>
    <w:semiHidden/>
    <w:rsid w:val="007778B7"/>
    <w:pPr>
      <w:tabs>
        <w:tab w:val="right" w:leader="dot" w:pos="9071"/>
      </w:tabs>
      <w:ind w:left="1701"/>
    </w:pPr>
  </w:style>
  <w:style w:type="paragraph" w:customStyle="1" w:styleId="ListAlpha">
    <w:name w:val="List Alpha"/>
    <w:basedOn w:val="List"/>
    <w:rsid w:val="007778B7"/>
    <w:pPr>
      <w:numPr>
        <w:numId w:val="7"/>
      </w:numPr>
    </w:pPr>
  </w:style>
  <w:style w:type="paragraph" w:customStyle="1" w:styleId="ListAlpha2">
    <w:name w:val="List Alpha 2"/>
    <w:basedOn w:val="List2"/>
    <w:rsid w:val="007778B7"/>
    <w:pPr>
      <w:numPr>
        <w:numId w:val="6"/>
      </w:numPr>
    </w:pPr>
  </w:style>
  <w:style w:type="paragraph" w:styleId="List2">
    <w:name w:val="List 2"/>
    <w:basedOn w:val="BodyText"/>
    <w:rsid w:val="007778B7"/>
    <w:pPr>
      <w:tabs>
        <w:tab w:val="left" w:pos="680"/>
      </w:tabs>
      <w:spacing w:before="60" w:after="60"/>
      <w:ind w:left="680" w:hanging="340"/>
    </w:pPr>
  </w:style>
  <w:style w:type="paragraph" w:styleId="List3">
    <w:name w:val="List 3"/>
    <w:basedOn w:val="BodyText"/>
    <w:rsid w:val="007778B7"/>
    <w:pPr>
      <w:tabs>
        <w:tab w:val="left" w:pos="1021"/>
      </w:tabs>
      <w:spacing w:before="60" w:after="60"/>
      <w:ind w:left="1020" w:hanging="340"/>
    </w:pPr>
  </w:style>
  <w:style w:type="paragraph" w:styleId="List4">
    <w:name w:val="List 4"/>
    <w:basedOn w:val="BodyText"/>
    <w:rsid w:val="007778B7"/>
    <w:pPr>
      <w:tabs>
        <w:tab w:val="left" w:pos="1361"/>
      </w:tabs>
      <w:spacing w:before="60" w:after="60"/>
      <w:ind w:left="1361" w:hanging="340"/>
    </w:pPr>
  </w:style>
  <w:style w:type="paragraph" w:styleId="List5">
    <w:name w:val="List 5"/>
    <w:basedOn w:val="BodyText"/>
    <w:rsid w:val="007778B7"/>
    <w:pPr>
      <w:tabs>
        <w:tab w:val="left" w:pos="1701"/>
      </w:tabs>
      <w:spacing w:before="60" w:after="60"/>
      <w:ind w:left="1701" w:hanging="340"/>
    </w:pPr>
  </w:style>
  <w:style w:type="paragraph" w:styleId="ListBullet3">
    <w:name w:val="List Bullet 3"/>
    <w:basedOn w:val="List3"/>
    <w:rsid w:val="007778B7"/>
    <w:pPr>
      <w:numPr>
        <w:numId w:val="13"/>
      </w:numPr>
      <w:tabs>
        <w:tab w:val="clear" w:pos="1021"/>
      </w:tabs>
      <w:ind w:left="1037" w:hanging="357"/>
    </w:pPr>
  </w:style>
  <w:style w:type="paragraph" w:styleId="ListBullet4">
    <w:name w:val="List Bullet 4"/>
    <w:basedOn w:val="List4"/>
    <w:rsid w:val="007778B7"/>
    <w:pPr>
      <w:numPr>
        <w:numId w:val="1"/>
      </w:numPr>
    </w:pPr>
  </w:style>
  <w:style w:type="paragraph" w:styleId="ListBullet5">
    <w:name w:val="List Bullet 5"/>
    <w:basedOn w:val="List5"/>
    <w:rsid w:val="007778B7"/>
    <w:pPr>
      <w:numPr>
        <w:numId w:val="2"/>
      </w:numPr>
    </w:pPr>
  </w:style>
  <w:style w:type="paragraph" w:styleId="ListContinue2">
    <w:name w:val="List Continue 2"/>
    <w:basedOn w:val="List2"/>
    <w:rsid w:val="007778B7"/>
    <w:pPr>
      <w:ind w:firstLine="0"/>
    </w:pPr>
  </w:style>
  <w:style w:type="paragraph" w:styleId="ListContinue3">
    <w:name w:val="List Continue 3"/>
    <w:basedOn w:val="List3"/>
    <w:rsid w:val="007778B7"/>
    <w:pPr>
      <w:ind w:left="1021" w:firstLine="0"/>
    </w:pPr>
  </w:style>
  <w:style w:type="paragraph" w:styleId="ListContinue4">
    <w:name w:val="List Continue 4"/>
    <w:basedOn w:val="List4"/>
    <w:rsid w:val="007778B7"/>
    <w:pPr>
      <w:ind w:firstLine="0"/>
    </w:pPr>
  </w:style>
  <w:style w:type="paragraph" w:styleId="ListContinue5">
    <w:name w:val="List Continue 5"/>
    <w:basedOn w:val="List5"/>
    <w:rsid w:val="007778B7"/>
    <w:pPr>
      <w:ind w:firstLine="0"/>
    </w:pPr>
  </w:style>
  <w:style w:type="paragraph" w:styleId="ListNumber3">
    <w:name w:val="List Number 3"/>
    <w:basedOn w:val="List3"/>
    <w:rsid w:val="007778B7"/>
    <w:pPr>
      <w:numPr>
        <w:numId w:val="3"/>
      </w:numPr>
    </w:pPr>
  </w:style>
  <w:style w:type="paragraph" w:styleId="ListNumber4">
    <w:name w:val="List Number 4"/>
    <w:basedOn w:val="List4"/>
    <w:rsid w:val="007778B7"/>
    <w:pPr>
      <w:numPr>
        <w:numId w:val="4"/>
      </w:numPr>
    </w:pPr>
  </w:style>
  <w:style w:type="paragraph" w:styleId="ListNumber5">
    <w:name w:val="List Number 5"/>
    <w:basedOn w:val="List5"/>
    <w:rsid w:val="007778B7"/>
    <w:pPr>
      <w:numPr>
        <w:numId w:val="5"/>
      </w:numPr>
    </w:pPr>
  </w:style>
  <w:style w:type="paragraph" w:styleId="BlockText">
    <w:name w:val="Block Text"/>
    <w:basedOn w:val="Normal"/>
    <w:rsid w:val="007778B7"/>
    <w:pPr>
      <w:spacing w:after="120"/>
      <w:ind w:left="1440" w:right="1440"/>
    </w:pPr>
  </w:style>
  <w:style w:type="character" w:customStyle="1" w:styleId="Subscript">
    <w:name w:val="Subscript"/>
    <w:basedOn w:val="DefaultParagraphFont"/>
    <w:rsid w:val="007778B7"/>
    <w:rPr>
      <w:sz w:val="16"/>
      <w:vertAlign w:val="subscript"/>
    </w:rPr>
  </w:style>
  <w:style w:type="character" w:customStyle="1" w:styleId="Superscript">
    <w:name w:val="Superscript"/>
    <w:basedOn w:val="DefaultParagraphFont"/>
    <w:rsid w:val="007778B7"/>
    <w:rPr>
      <w:sz w:val="16"/>
      <w:vertAlign w:val="superscript"/>
    </w:rPr>
  </w:style>
  <w:style w:type="character" w:customStyle="1" w:styleId="Symbols">
    <w:name w:val="Symbols"/>
    <w:basedOn w:val="DefaultParagraphFont"/>
    <w:rsid w:val="007778B7"/>
    <w:rPr>
      <w:rFonts w:ascii="Symbol" w:hAnsi="Symbol"/>
    </w:rPr>
  </w:style>
  <w:style w:type="character" w:customStyle="1" w:styleId="MenuOptions">
    <w:name w:val="Menu Options"/>
    <w:basedOn w:val="DefaultParagraphFont"/>
    <w:rsid w:val="007778B7"/>
    <w:rPr>
      <w:rFonts w:ascii="Arial Narrow" w:hAnsi="Arial Narrow"/>
      <w:smallCaps/>
    </w:rPr>
  </w:style>
  <w:style w:type="character" w:customStyle="1" w:styleId="Buttons">
    <w:name w:val="Buttons"/>
    <w:basedOn w:val="DefaultParagraphFont"/>
    <w:rsid w:val="007778B7"/>
    <w:rPr>
      <w:b/>
    </w:rPr>
  </w:style>
  <w:style w:type="character" w:customStyle="1" w:styleId="Underlined">
    <w:name w:val="Underlined"/>
    <w:basedOn w:val="DefaultParagraphFont"/>
    <w:rsid w:val="007778B7"/>
    <w:rPr>
      <w:u w:val="single"/>
    </w:rPr>
  </w:style>
  <w:style w:type="paragraph" w:customStyle="1" w:styleId="TableBodyTextRight">
    <w:name w:val="Table Body Text Right"/>
    <w:basedOn w:val="TableBodyText"/>
    <w:rsid w:val="007778B7"/>
    <w:pPr>
      <w:widowControl w:val="0"/>
      <w:autoSpaceDE w:val="0"/>
      <w:autoSpaceDN w:val="0"/>
      <w:adjustRightInd w:val="0"/>
      <w:jc w:val="right"/>
    </w:pPr>
    <w:rPr>
      <w:rFonts w:cs="Arial"/>
      <w:szCs w:val="18"/>
    </w:rPr>
  </w:style>
  <w:style w:type="paragraph" w:customStyle="1" w:styleId="CopyrightText">
    <w:name w:val="Copyright Text"/>
    <w:basedOn w:val="BodyText"/>
    <w:rsid w:val="007778B7"/>
    <w:rPr>
      <w:sz w:val="18"/>
    </w:rPr>
  </w:style>
  <w:style w:type="paragraph" w:customStyle="1" w:styleId="BodySmallRight">
    <w:name w:val="Body Small Right"/>
    <w:basedOn w:val="BodyTextRight"/>
    <w:rsid w:val="007778B7"/>
    <w:rPr>
      <w:sz w:val="18"/>
      <w:szCs w:val="18"/>
    </w:rPr>
  </w:style>
  <w:style w:type="paragraph" w:customStyle="1" w:styleId="MarginEdition">
    <w:name w:val="Margin Edition"/>
    <w:basedOn w:val="MarginNote"/>
    <w:rsid w:val="007778B7"/>
    <w:pPr>
      <w:spacing w:before="0" w:after="0"/>
    </w:pPr>
    <w:rPr>
      <w:rFonts w:ascii="Times New Roman" w:hAnsi="Times New Roman"/>
      <w:color w:val="999999"/>
    </w:rPr>
  </w:style>
  <w:style w:type="paragraph" w:customStyle="1" w:styleId="Spacer">
    <w:name w:val="Spacer"/>
    <w:basedOn w:val="Normal"/>
    <w:rsid w:val="007778B7"/>
    <w:rPr>
      <w:sz w:val="2"/>
      <w:szCs w:val="2"/>
    </w:rPr>
  </w:style>
  <w:style w:type="character" w:customStyle="1" w:styleId="Small">
    <w:name w:val="Small"/>
    <w:basedOn w:val="DefaultParagraphFont"/>
    <w:rsid w:val="007778B7"/>
    <w:rPr>
      <w:sz w:val="16"/>
    </w:rPr>
  </w:style>
  <w:style w:type="paragraph" w:customStyle="1" w:styleId="WideTable">
    <w:name w:val="Wide Table"/>
    <w:basedOn w:val="Normal"/>
    <w:rsid w:val="007778B7"/>
    <w:pPr>
      <w:ind w:left="-1418"/>
    </w:pPr>
    <w:rPr>
      <w:sz w:val="2"/>
      <w:szCs w:val="2"/>
    </w:rPr>
  </w:style>
  <w:style w:type="character" w:styleId="PageNumber">
    <w:name w:val="page number"/>
    <w:basedOn w:val="DefaultParagraphFont"/>
    <w:rsid w:val="007778B7"/>
  </w:style>
  <w:style w:type="paragraph" w:styleId="Quote">
    <w:name w:val="Quote"/>
    <w:basedOn w:val="Heading1"/>
    <w:link w:val="QuoteChar"/>
    <w:qFormat/>
    <w:rsid w:val="007778B7"/>
    <w:rPr>
      <w:b w:val="0"/>
      <w:sz w:val="72"/>
      <w:szCs w:val="72"/>
      <w:lang w:val="en-NZ"/>
    </w:rPr>
  </w:style>
  <w:style w:type="character" w:customStyle="1" w:styleId="QuoteChar">
    <w:name w:val="Quote Char"/>
    <w:basedOn w:val="DefaultParagraphFont"/>
    <w:link w:val="Quote"/>
    <w:rsid w:val="007778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8B7"/>
    <w:pPr>
      <w:pageBreakBefore/>
    </w:pPr>
  </w:style>
  <w:style w:type="paragraph" w:customStyle="1" w:styleId="Border">
    <w:name w:val="Border"/>
    <w:basedOn w:val="Normal"/>
    <w:qFormat/>
    <w:rsid w:val="007778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8B7"/>
    <w:rPr>
      <w:b/>
      <w:bCs/>
      <w:i/>
      <w:iCs/>
      <w:color w:val="auto"/>
    </w:rPr>
  </w:style>
  <w:style w:type="paragraph" w:styleId="IntenseQuote">
    <w:name w:val="Intense Quote"/>
    <w:basedOn w:val="Normal"/>
    <w:next w:val="Normal"/>
    <w:link w:val="IntenseQuoteChar"/>
    <w:uiPriority w:val="30"/>
    <w:qFormat/>
    <w:rsid w:val="007778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8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78B7"/>
    <w:rPr>
      <w:smallCaps/>
      <w:color w:val="auto"/>
      <w:u w:val="single"/>
    </w:rPr>
  </w:style>
  <w:style w:type="character" w:styleId="IntenseReference">
    <w:name w:val="Intense Reference"/>
    <w:basedOn w:val="DefaultParagraphFont"/>
    <w:uiPriority w:val="32"/>
    <w:qFormat/>
    <w:rsid w:val="007778B7"/>
    <w:rPr>
      <w:b/>
      <w:bCs/>
      <w:smallCaps/>
      <w:color w:val="auto"/>
      <w:spacing w:val="5"/>
      <w:u w:val="single"/>
    </w:rPr>
  </w:style>
  <w:style w:type="paragraph" w:customStyle="1" w:styleId="2ColumnHeading">
    <w:name w:val="2Column Heading"/>
    <w:basedOn w:val="BodyText"/>
    <w:qFormat/>
    <w:rsid w:val="007778B7"/>
    <w:pPr>
      <w:spacing w:after="60"/>
      <w:ind w:left="-2268"/>
    </w:pPr>
    <w:rPr>
      <w:b/>
    </w:rPr>
  </w:style>
  <w:style w:type="paragraph" w:customStyle="1" w:styleId="Heading1TOC">
    <w:name w:val="Heading1 TOC"/>
    <w:basedOn w:val="Normal"/>
    <w:qFormat/>
    <w:rsid w:val="007778B7"/>
    <w:pPr>
      <w:spacing w:before="240" w:after="120"/>
    </w:pPr>
    <w:rPr>
      <w:rFonts w:ascii="Times New Roman" w:hAnsi="Times New Roman"/>
      <w:b/>
      <w:sz w:val="32"/>
    </w:rPr>
  </w:style>
  <w:style w:type="paragraph" w:customStyle="1" w:styleId="Heading2TOC">
    <w:name w:val="Heading2 TOC"/>
    <w:basedOn w:val="Normal"/>
    <w:qFormat/>
    <w:rsid w:val="007778B7"/>
    <w:pPr>
      <w:spacing w:before="240" w:after="60"/>
    </w:pPr>
    <w:rPr>
      <w:rFonts w:ascii="Times New Roman" w:hAnsi="Times New Roman"/>
      <w:b/>
      <w:sz w:val="28"/>
    </w:rPr>
  </w:style>
  <w:style w:type="character" w:customStyle="1" w:styleId="Underline">
    <w:name w:val="Underline"/>
    <w:basedOn w:val="DefaultParagraphFont"/>
    <w:qFormat/>
    <w:rsid w:val="007778B7"/>
    <w:rPr>
      <w:u w:val="single"/>
    </w:rPr>
  </w:style>
  <w:style w:type="character" w:customStyle="1" w:styleId="BoldandItalics">
    <w:name w:val="Bold and Italics"/>
    <w:qFormat/>
    <w:rsid w:val="007778B7"/>
    <w:rPr>
      <w:b/>
      <w:i/>
      <w:u w:val="none"/>
    </w:rPr>
  </w:style>
  <w:style w:type="paragraph" w:styleId="BalloonText">
    <w:name w:val="Balloon Text"/>
    <w:basedOn w:val="Normal"/>
    <w:link w:val="BalloonTextChar"/>
    <w:rsid w:val="007778B7"/>
    <w:rPr>
      <w:rFonts w:ascii="Tahoma" w:hAnsi="Tahoma" w:cs="Tahoma"/>
      <w:sz w:val="16"/>
      <w:szCs w:val="16"/>
    </w:rPr>
  </w:style>
  <w:style w:type="character" w:customStyle="1" w:styleId="BalloonTextChar">
    <w:name w:val="Balloon Text Char"/>
    <w:basedOn w:val="DefaultParagraphFont"/>
    <w:link w:val="BalloonText"/>
    <w:rsid w:val="007778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78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78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1280</Words>
  <Characters>8020</Characters>
  <Application>Microsoft Office Word</Application>
  <DocSecurity>0</DocSecurity>
  <Lines>300</Lines>
  <Paragraphs>160</Paragraphs>
  <ScaleCrop>false</ScaleCrop>
  <Company>Author-it Software Corporation Ltd.</Company>
  <LinksUpToDate>false</LinksUpToDate>
  <CharactersWithSpaces>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FNSICACC303B Prepare, match and process receipts</dc:title>
  <dc:subject>Approved</dc:subject>
  <dc:creator>Government Skills Australia</dc:creator>
  <cp:keywords>Release: 1</cp:keywords>
  <dc:description>Copyright © 1996-2007 Author-it Software Corporation Ltd., all rights reserved.</dc:description>
  <cp:lastModifiedBy>Dennis Urbans</cp:lastModifiedBy>
  <cp:revision>3</cp:revision>
  <dcterms:created xsi:type="dcterms:W3CDTF">2012-05-26T03:52:00Z</dcterms:created>
  <dcterms:modified xsi:type="dcterms:W3CDTF">2012-05-26T03:52:00Z</dcterms:modified>
</cp:coreProperties>
</file>