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4BA" w:rsidP="002764BA">
      <w:pPr>
        <w:pStyle w:val="Title"/>
      </w:pPr>
      <w:r>
        <w:fldChar w:fldCharType="begin"/>
      </w:r>
      <w:r>
        <w:instrText xml:space="preserve"> TITLE   \* MERGEFORMAT </w:instrText>
      </w:r>
      <w:r>
        <w:fldChar w:fldCharType="separate"/>
      </w:r>
      <w:r>
        <w:t>FNSACCT614B Prepare complex corporate financial reports</w:t>
      </w:r>
      <w:r>
        <w:fldChar w:fldCharType="end"/>
      </w:r>
    </w:p>
    <w:p w:rsidR="002764BA" w:rsidP="002764BA">
      <w:pPr>
        <w:pStyle w:val="Version"/>
        <w:sectPr w:rsidSect="006C65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543" w:rsidP="006C6543">
      <w:pPr>
        <w:pStyle w:val="SuperHeading"/>
      </w:pPr>
      <w:r w:rsidRPr="006C6543">
        <w:t>FNSACCT614B Prepare complex corporate financial reports</w:t>
      </w:r>
    </w:p>
    <w:p w:rsidR="00000000" w:rsidRPr="006C6543" w:rsidP="006C6543">
      <w:pPr>
        <w:pStyle w:val="Heading1"/>
      </w:pPr>
      <w:bookmarkStart w:id="1" w:name="O_318164"/>
      <w:bookmarkEnd w:id="1"/>
      <w:r w:rsidRPr="006C6543">
        <w:t>Modification History</w:t>
      </w:r>
    </w:p>
    <w:p w:rsidR="00000000" w:rsidRPr="006C6543" w:rsidP="006C6543">
      <w:pPr>
        <w:pStyle w:val="BodyText"/>
      </w:pPr>
      <w:r w:rsidRPr="006C6543">
        <w:t>Not applicable.</w:t>
      </w:r>
    </w:p>
    <w:p w:rsidR="00000000" w:rsidRPr="006C6543" w:rsidP="006C6543">
      <w:pPr>
        <w:pStyle w:val="AllowPageBreak"/>
      </w:pPr>
    </w:p>
    <w:p w:rsidR="00000000" w:rsidRPr="006C6543" w:rsidP="006C6543">
      <w:pPr>
        <w:pStyle w:val="Heading1"/>
      </w:pPr>
      <w:bookmarkStart w:id="2" w:name="O_318165"/>
      <w:bookmarkEnd w:id="2"/>
      <w:r w:rsidRPr="006C6543">
        <w:t>Unit Descriptor</w:t>
      </w:r>
    </w:p>
    <w:p w:rsidR="00000000" w:rsidRPr="006C6543" w:rsidP="006C6543">
      <w:pPr>
        <w:pStyle w:val="BodyText"/>
      </w:pPr>
      <w:r w:rsidRPr="006C6543">
        <w:t>This unit covers the competency to develop and prepare financial reports for complex reporting entities.</w:t>
      </w:r>
    </w:p>
    <w:p w:rsidR="00000000" w:rsidRPr="006C6543" w:rsidP="006C6543">
      <w:pPr>
        <w:pStyle w:val="BodyText"/>
      </w:pPr>
      <w:r w:rsidRPr="006C6543">
        <w:t>This un</w:t>
      </w:r>
      <w:r w:rsidRPr="006C6543">
        <w:t>it covers the competency to develop and prepare financial reports for complex reporting entities.</w:t>
      </w:r>
    </w:p>
    <w:p w:rsidR="00000000" w:rsidRPr="006C6543" w:rsidP="006C6543">
      <w:pPr>
        <w:pStyle w:val="AllowPageBreak"/>
      </w:pPr>
    </w:p>
    <w:p w:rsidR="00000000" w:rsidRPr="006C6543" w:rsidP="006C6543">
      <w:pPr>
        <w:pStyle w:val="Heading1"/>
      </w:pPr>
      <w:bookmarkStart w:id="3" w:name="O_318166"/>
      <w:bookmarkEnd w:id="3"/>
      <w:r w:rsidRPr="006C6543">
        <w:t>Application of the Unit</w:t>
      </w:r>
    </w:p>
    <w:p w:rsidR="00000000" w:rsidRPr="006C6543" w:rsidP="006C6543">
      <w:pPr>
        <w:pStyle w:val="BodyText"/>
      </w:pPr>
      <w:r w:rsidRPr="006C6543">
        <w:t>This unit requires the application of skills and knowledge required to prepare complex corporate financial reports. T</w:t>
      </w:r>
      <w:r w:rsidRPr="006C6543">
        <w:t>he unit encompasses complying data, identifying appropriate reporting entities, preparing reports and analysing reports. This unit has application to job functions such as accountants.</w:t>
      </w:r>
    </w:p>
    <w:p w:rsidR="00000000" w:rsidRPr="006C6543" w:rsidP="006C6543">
      <w:pPr>
        <w:pStyle w:val="BodyText"/>
      </w:pPr>
      <w:r w:rsidRPr="006C6543">
        <w:t xml:space="preserve">This unit requires the application of skills and knowledge required to </w:t>
      </w:r>
      <w:r w:rsidRPr="006C6543">
        <w:t>prepare complex corporate financial reports. The unit encompasses complying data, identifying appropriate reporting entities, preparing reports and analysing reports. This unit has application to job functions such as accountants.</w:t>
      </w:r>
    </w:p>
    <w:p w:rsidR="00000000" w:rsidRPr="006C6543" w:rsidP="006C6543">
      <w:pPr>
        <w:pStyle w:val="AllowPageBreak"/>
      </w:pPr>
    </w:p>
    <w:p w:rsidR="00000000" w:rsidRPr="006C6543" w:rsidP="006C6543">
      <w:pPr>
        <w:pStyle w:val="Heading1"/>
      </w:pPr>
      <w:bookmarkStart w:id="4" w:name="O_318167"/>
      <w:bookmarkEnd w:id="4"/>
      <w:r w:rsidRPr="006C6543">
        <w:t>Licensing/Regulatory Information</w:t>
      </w:r>
    </w:p>
    <w:p w:rsidR="00000000" w:rsidRPr="006C6543" w:rsidP="006C6543">
      <w:pPr>
        <w:pStyle w:val="BodyText"/>
      </w:pPr>
      <w:r w:rsidRPr="006C6543">
        <w:t>Not applicable.</w:t>
      </w:r>
    </w:p>
    <w:p w:rsidR="00000000" w:rsidRPr="006C6543" w:rsidP="006C6543">
      <w:pPr>
        <w:pStyle w:val="AllowPageBreak"/>
      </w:pPr>
    </w:p>
    <w:p w:rsidR="00000000" w:rsidRPr="006C6543" w:rsidP="006C6543">
      <w:pPr>
        <w:pStyle w:val="Heading1"/>
      </w:pPr>
      <w:bookmarkStart w:id="5" w:name="O_318168"/>
      <w:bookmarkEnd w:id="5"/>
      <w:r w:rsidRPr="006C6543">
        <w:t>Pre-Requisites</w:t>
      </w:r>
    </w:p>
    <w:p w:rsidR="00000000" w:rsidRPr="006C6543" w:rsidP="006C6543">
      <w:pPr>
        <w:pStyle w:val="BodyText"/>
      </w:pPr>
      <w:r w:rsidRPr="006C6543">
        <w:t>Not applicable.</w:t>
      </w:r>
    </w:p>
    <w:p w:rsidR="00000000" w:rsidRPr="006C6543" w:rsidP="006C6543">
      <w:pPr>
        <w:pStyle w:val="AllowPageBreak"/>
      </w:pPr>
    </w:p>
    <w:p w:rsidR="00000000" w:rsidRPr="006C6543" w:rsidP="006C6543">
      <w:pPr>
        <w:pStyle w:val="Heading1"/>
      </w:pPr>
      <w:bookmarkStart w:id="6" w:name="O_318169"/>
      <w:bookmarkEnd w:id="6"/>
      <w:r w:rsidRPr="006C6543">
        <w:t>Employability Skills Information</w:t>
      </w:r>
    </w:p>
    <w:p w:rsidR="00000000" w:rsidRPr="006C6543" w:rsidP="006C6543">
      <w:pPr>
        <w:pStyle w:val="BodyText"/>
      </w:pPr>
      <w:r w:rsidRPr="006C6543">
        <w:t>The required outcomes described in this unit of competency contain applicable facets of employability skills.</w:t>
      </w:r>
      <w:r w:rsidRPr="006C6543">
        <w:t xml:space="preserve"> The Employability Skills Summary for the qualification in which this unit of competency is packaged, will assist in identifying employability skills requirements.</w:t>
      </w:r>
    </w:p>
    <w:p w:rsidR="00000000" w:rsidRPr="006C6543" w:rsidP="006C6543">
      <w:pPr>
        <w:pStyle w:val="BodyText"/>
      </w:pPr>
      <w:r w:rsidRPr="006C6543">
        <w:t>The required outcomes described in this unit of competency contain applicable facets of empl</w:t>
      </w:r>
      <w:r w:rsidRPr="006C6543">
        <w:t>oyability skills. The Employability Skills Summary for the qualification in which this unit of competency is packaged, will assist in identifying employability skills requirements.</w:t>
      </w:r>
    </w:p>
    <w:p w:rsidR="00000000" w:rsidRPr="006C6543" w:rsidP="006C6543">
      <w:pPr>
        <w:pStyle w:val="AllowPageBreak"/>
      </w:pPr>
    </w:p>
    <w:p w:rsidR="00000000" w:rsidRPr="006C6543" w:rsidP="006C6543">
      <w:pPr>
        <w:pStyle w:val="Heading1"/>
      </w:pPr>
      <w:bookmarkStart w:id="7" w:name="O_318170"/>
      <w:bookmarkEnd w:id="7"/>
      <w:r w:rsidRPr="006C6543">
        <w:t>Elements and Performance Criteria Pre-Content</w:t>
      </w:r>
    </w:p>
    <w:p w:rsidR="00000000" w:rsidRPr="006C6543" w:rsidP="006C6543">
      <w:pPr>
        <w:pStyle w:val="BodyText"/>
      </w:pPr>
      <w:r w:rsidRPr="006C6543">
        <w:t>Elements define the essential outcomes of a unit of competency.</w:t>
      </w:r>
    </w:p>
    <w:p w:rsidR="00000000" w:rsidRPr="006C6543" w:rsidP="006C6543">
      <w:pPr>
        <w:pStyle w:val="BodyText"/>
      </w:pPr>
      <w:r w:rsidRPr="006C6543">
        <w:t xml:space="preserve">Performance Criteria describe the required performance needed to demonstrate achievement of the Element. </w:t>
      </w:r>
      <w:r w:rsidRPr="006C6543">
        <w:rPr>
          <w:rStyle w:val="SpecialBold"/>
        </w:rPr>
        <w:t xml:space="preserve">Bold, italicised </w:t>
      </w:r>
      <w:r w:rsidRPr="006C6543">
        <w:t>terms are elaborated in the Range Statement. Assessment of performance</w:t>
      </w:r>
      <w:r w:rsidRPr="006C6543">
        <w:t xml:space="preserve"> is to be consistent with the Evidence Guide.</w:t>
      </w:r>
    </w:p>
    <w:p w:rsidR="00000000" w:rsidRPr="006C6543" w:rsidP="006C6543">
      <w:pPr>
        <w:pStyle w:val="BodyText"/>
      </w:pPr>
      <w:r w:rsidRPr="006C6543">
        <w:t>Elements define the essential outcomes of a unit of competency.</w:t>
      </w:r>
    </w:p>
    <w:p w:rsidR="00000000" w:rsidRPr="006C6543" w:rsidP="006C6543">
      <w:pPr>
        <w:pStyle w:val="BodyText"/>
      </w:pPr>
      <w:r w:rsidRPr="006C6543">
        <w:t xml:space="preserve">Performance Criteria describe the required performance needed to demonstrate achievement of the Element. </w:t>
      </w:r>
      <w:r w:rsidRPr="006C6543">
        <w:rPr>
          <w:rStyle w:val="SpecialBold"/>
        </w:rPr>
        <w:t xml:space="preserve">Bold, italicised </w:t>
      </w:r>
      <w:r w:rsidRPr="006C6543">
        <w:t xml:space="preserve">terms are elaborated in </w:t>
      </w:r>
      <w:r w:rsidRPr="006C6543">
        <w:t>the Range Statement. Assessment of performance is to be consistent with the Evidence Guide.</w:t>
      </w:r>
    </w:p>
    <w:p w:rsidR="00000000" w:rsidRPr="006C6543" w:rsidP="006C6543">
      <w:pPr>
        <w:pStyle w:val="AllowPageBreak"/>
      </w:pPr>
    </w:p>
    <w:p w:rsidR="00000000" w:rsidRPr="006C6543" w:rsidP="006C6543">
      <w:pPr>
        <w:pStyle w:val="Heading1"/>
      </w:pPr>
      <w:bookmarkStart w:id="8" w:name="O_318171"/>
      <w:bookmarkEnd w:id="8"/>
      <w:r w:rsidRPr="006C654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764B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Elements and Performance Criteria</w:t>
            </w:r>
          </w:p>
        </w:tc>
      </w:tr>
      <w:tr w:rsidTr="002764B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Performance Criteria</w:t>
            </w:r>
          </w:p>
        </w:tc>
      </w:tr>
      <w:tr w:rsidTr="002764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1</w:t>
            </w:r>
          </w:p>
        </w:tc>
        <w:tc>
          <w:tcPr>
            <w:tcW w:w="3000" w:type="dxa"/>
            <w:vMerge w:val="restart"/>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Compile data</w:t>
            </w:r>
          </w:p>
        </w:tc>
        <w:tc>
          <w:tcPr>
            <w:tcW w:w="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1.1</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 xml:space="preserve">Data </w:t>
            </w:r>
            <w:r w:rsidRPr="006C6543">
              <w:t xml:space="preserve">is systematically coded, classified and checked for accuracy and reliability in accordance with organisational policies, procedures and </w:t>
            </w:r>
            <w:r w:rsidRPr="006C6543">
              <w:rPr>
                <w:rStyle w:val="SpecialBold"/>
              </w:rPr>
              <w:t>accounting standards</w:t>
            </w:r>
          </w:p>
        </w:tc>
      </w:tr>
      <w:tr w:rsidTr="0027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1.2</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 xml:space="preserve">Conversion and consolidation procedures </w:t>
            </w:r>
            <w:r w:rsidRPr="006C6543">
              <w:t xml:space="preserve">are used to compile data in accordance with </w:t>
            </w:r>
            <w:r w:rsidRPr="006C6543">
              <w:rPr>
                <w:rStyle w:val="SpecialBold"/>
              </w:rPr>
              <w:t>organisational policies and procedures</w:t>
            </w:r>
          </w:p>
        </w:tc>
      </w:tr>
      <w:tr w:rsidTr="0027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1.3</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Valuations in compliance with relevant accounting standards are recorded</w:t>
            </w:r>
          </w:p>
        </w:tc>
      </w:tr>
      <w:tr w:rsidTr="0027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1.4</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Effects of taxation are identified and recorded</w:t>
            </w:r>
          </w:p>
        </w:tc>
      </w:tr>
      <w:tr w:rsidTr="002764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2</w:t>
            </w:r>
          </w:p>
        </w:tc>
        <w:tc>
          <w:tcPr>
            <w:tcW w:w="3000" w:type="dxa"/>
            <w:vMerge w:val="restart"/>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Identify appropriate entities reporting</w:t>
            </w:r>
          </w:p>
        </w:tc>
        <w:tc>
          <w:tcPr>
            <w:tcW w:w="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2.1</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Partially owned subsidiaries and controlled entities are identified</w:t>
            </w:r>
          </w:p>
        </w:tc>
      </w:tr>
      <w:tr w:rsidTr="0027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2.2</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Joint ventures and other entities to be included in reports are identified</w:t>
            </w:r>
          </w:p>
        </w:tc>
      </w:tr>
      <w:tr w:rsidTr="0027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2.3</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 xml:space="preserve">Appropriate accounting treatments for </w:t>
            </w:r>
            <w:r w:rsidRPr="006C6543">
              <w:rPr>
                <w:rStyle w:val="SpecialBold"/>
              </w:rPr>
              <w:t xml:space="preserve">reporting entities </w:t>
            </w:r>
            <w:r w:rsidRPr="006C6543">
              <w:t xml:space="preserve">are identified and applied </w:t>
            </w:r>
          </w:p>
        </w:tc>
      </w:tr>
      <w:tr w:rsidTr="002764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3</w:t>
            </w:r>
          </w:p>
        </w:tc>
        <w:tc>
          <w:tcPr>
            <w:tcW w:w="3000" w:type="dxa"/>
            <w:vMerge w:val="restart"/>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 xml:space="preserve">Prepare reports </w:t>
            </w:r>
          </w:p>
        </w:tc>
        <w:tc>
          <w:tcPr>
            <w:tcW w:w="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3.1</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Charts, diagrams and supporting data are presented in an appropriate format</w:t>
            </w:r>
          </w:p>
        </w:tc>
      </w:tr>
      <w:tr w:rsidTr="0027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3.2</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Structure and format of reports are clear and conform to statutory and other regulatory requirements and organisational procedures</w:t>
            </w:r>
          </w:p>
        </w:tc>
      </w:tr>
      <w:tr w:rsidTr="0027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3.3</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 xml:space="preserve">Statements and data are error free, comprehensive and comply with </w:t>
            </w:r>
            <w:r w:rsidRPr="006C6543">
              <w:rPr>
                <w:rStyle w:val="SpecialBold"/>
              </w:rPr>
              <w:t xml:space="preserve">statutory </w:t>
            </w:r>
            <w:r w:rsidRPr="006C6543">
              <w:t xml:space="preserve">and other regulatory </w:t>
            </w:r>
            <w:r w:rsidRPr="006C6543">
              <w:t>requirements and organisational procedures</w:t>
            </w:r>
          </w:p>
        </w:tc>
      </w:tr>
      <w:tr w:rsidTr="0027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3.4</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 xml:space="preserve">Reports </w:t>
            </w:r>
            <w:r w:rsidRPr="006C6543">
              <w:t>are prepared in accordance with the corporations law, accounting standards, stock exchange listing re</w:t>
            </w:r>
            <w:r w:rsidRPr="006C6543">
              <w:t>quirements and GAAP</w:t>
            </w:r>
          </w:p>
        </w:tc>
      </w:tr>
      <w:tr w:rsidTr="0027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3.5</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Disclosure requirements are complied with</w:t>
            </w:r>
          </w:p>
        </w:tc>
      </w:tr>
      <w:tr w:rsidTr="002764B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4</w:t>
            </w:r>
          </w:p>
        </w:tc>
        <w:tc>
          <w:tcPr>
            <w:tcW w:w="3000" w:type="dxa"/>
            <w:vMerge w:val="restart"/>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Analyse reports</w:t>
            </w:r>
          </w:p>
        </w:tc>
        <w:tc>
          <w:tcPr>
            <w:tcW w:w="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4.1</w:t>
            </w:r>
          </w:p>
        </w:tc>
        <w:tc>
          <w:tcPr>
            <w:tcW w:w="51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 xml:space="preserve">Significant issues </w:t>
            </w:r>
            <w:r w:rsidRPr="006C6543">
              <w:t>in statements including comparative financial performances are identified</w:t>
            </w:r>
          </w:p>
        </w:tc>
      </w:tr>
      <w:tr w:rsidTr="002764B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4.2</w:t>
            </w:r>
          </w:p>
        </w:tc>
        <w:tc>
          <w:tcPr>
            <w:tcW w:w="51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 xml:space="preserve">Implications of analysis are reported to appropriate levels of management and external bodies </w:t>
            </w:r>
          </w:p>
        </w:tc>
      </w:tr>
    </w:tbl>
    <w:p w:rsidR="00000000" w:rsidRPr="006C6543" w:rsidP="006C6543">
      <w:pPr>
        <w:pStyle w:val="BodyText"/>
      </w:pPr>
    </w:p>
    <w:p w:rsidR="00000000" w:rsidRPr="006C6543" w:rsidP="006C6543">
      <w:pPr>
        <w:pStyle w:val="AllowPageBreak"/>
      </w:pPr>
    </w:p>
    <w:p w:rsidR="00000000" w:rsidRPr="006C6543" w:rsidP="006C6543">
      <w:pPr>
        <w:pStyle w:val="Heading1"/>
      </w:pPr>
      <w:bookmarkStart w:id="9" w:name="O_318172"/>
      <w:bookmarkEnd w:id="9"/>
      <w:r w:rsidRPr="006C6543">
        <w:t>Required Skills and Knowledge</w:t>
      </w:r>
    </w:p>
    <w:tbl>
      <w:tblPr>
        <w:tblW w:w="0" w:type="auto"/>
        <w:tblLayout w:type="fixed"/>
        <w:tblCellMar>
          <w:left w:w="62" w:type="dxa"/>
          <w:right w:w="62" w:type="dxa"/>
        </w:tblCellMar>
        <w:tblLook w:val="0000"/>
      </w:tblPr>
      <w:tblGrid>
        <w:gridCol w:w="9000"/>
      </w:tblGrid>
      <w:tr w:rsidTr="0027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REQUIRED KNOWLEDGE</w:t>
            </w:r>
            <w:r w:rsidRPr="006C6543">
              <w:t>&amp;</w:t>
            </w:r>
            <w:r w:rsidRPr="006C6543">
              <w:rPr>
                <w:rStyle w:val="SpecialBold"/>
              </w:rPr>
              <w:t>SKILLS</w:t>
            </w:r>
          </w:p>
        </w:tc>
      </w:tr>
      <w:tr w:rsidTr="0027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rPr>
                <w:rStyle w:val="SpecialBold"/>
              </w:rPr>
              <w:t>Knowledge requirements include</w:t>
            </w:r>
            <w:r w:rsidRPr="006C6543">
              <w:t xml:space="preserve">: </w:t>
            </w:r>
          </w:p>
          <w:p w:rsidR="00000000" w:rsidRPr="006C6543" w:rsidP="006C6543">
            <w:pPr>
              <w:pStyle w:val="BodyText"/>
            </w:pPr>
            <w:r w:rsidRPr="006C6543">
              <w:t>options, methods and practices for deductions, benefits and depreciations</w:t>
            </w:r>
          </w:p>
          <w:p w:rsidR="00000000" w:rsidRPr="006C6543" w:rsidP="006C6543">
            <w:pPr>
              <w:pStyle w:val="BodyText"/>
            </w:pPr>
            <w:r w:rsidRPr="006C6543">
              <w:t>organisational guidelines and procedures</w:t>
            </w:r>
          </w:p>
          <w:p w:rsidR="00000000" w:rsidRPr="006C6543" w:rsidP="006C6543">
            <w:pPr>
              <w:pStyle w:val="BodyText"/>
            </w:pPr>
            <w:r w:rsidRPr="006C6543">
              <w:t>principles of double entry book-keeping and accrual accounting</w:t>
            </w:r>
          </w:p>
          <w:p w:rsidR="00000000" w:rsidRPr="006C6543" w:rsidP="006C6543">
            <w:pPr>
              <w:pStyle w:val="BodyText"/>
            </w:pPr>
            <w:r w:rsidRPr="006C6543">
              <w:t>relevant business legal requirements</w:t>
            </w:r>
          </w:p>
          <w:p w:rsidR="00000000" w:rsidRPr="006C6543" w:rsidP="006C6543">
            <w:pPr>
              <w:pStyle w:val="BodyText"/>
            </w:pPr>
            <w:r w:rsidRPr="006C6543">
              <w:t>methods of presenting financial data</w:t>
            </w:r>
          </w:p>
          <w:p w:rsidR="00000000" w:rsidRPr="006C6543" w:rsidP="006C6543">
            <w:pPr>
              <w:pStyle w:val="BodyText"/>
            </w:pPr>
            <w:r w:rsidRPr="006C6543">
              <w:t>fina</w:t>
            </w:r>
            <w:r w:rsidRPr="006C6543">
              <w:t>ncial legislation (eg taxable transactions, reporting requirements)</w:t>
            </w:r>
          </w:p>
          <w:p w:rsidR="00000000" w:rsidRPr="006C6543" w:rsidP="006C6543">
            <w:pPr>
              <w:pStyle w:val="BodyText"/>
            </w:pPr>
            <w:r w:rsidRPr="006C6543">
              <w:t>ethical considerations (eg conflict of interests, confidentiality, disclosure requirements)</w:t>
            </w:r>
          </w:p>
          <w:p w:rsidR="00000000" w:rsidRPr="006C6543" w:rsidP="006C6543">
            <w:pPr>
              <w:pStyle w:val="BodyText"/>
            </w:pPr>
            <w:r w:rsidRPr="006C6543">
              <w:t>accounting computerised systems</w:t>
            </w:r>
          </w:p>
          <w:p w:rsidR="00000000" w:rsidP="006C6543">
            <w:pPr>
              <w:pStyle w:val="BodyText"/>
              <w:rPr>
                <w:lang w:val="en-NZ"/>
              </w:rPr>
            </w:pPr>
            <w:r w:rsidRPr="006C6543">
              <w:t xml:space="preserve">business taxation requirements </w:t>
            </w:r>
          </w:p>
        </w:tc>
      </w:tr>
      <w:tr w:rsidTr="002764B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rPr>
                <w:rStyle w:val="SpecialBold"/>
              </w:rPr>
              <w:t>Skills requirements include</w:t>
            </w:r>
            <w:r w:rsidRPr="006C6543">
              <w:t xml:space="preserve">: </w:t>
            </w:r>
          </w:p>
          <w:p w:rsidR="00000000" w:rsidRPr="006C6543" w:rsidP="006C6543">
            <w:pPr>
              <w:pStyle w:val="BodyText"/>
            </w:pPr>
            <w:r w:rsidRPr="006C6543">
              <w:t>i</w:t>
            </w:r>
            <w:r w:rsidRPr="006C6543">
              <w:t>nterpersonal skills and communication skills (eg liaising, listening, consulting)</w:t>
            </w:r>
          </w:p>
          <w:p w:rsidR="00000000" w:rsidRPr="006C6543" w:rsidP="006C6543">
            <w:pPr>
              <w:pStyle w:val="BodyText"/>
            </w:pPr>
            <w:r w:rsidRPr="006C6543">
              <w:t>working effectively with a range of stakeholders</w:t>
            </w:r>
          </w:p>
          <w:p w:rsidR="00000000" w:rsidRPr="006C6543" w:rsidP="006C6543">
            <w:pPr>
              <w:pStyle w:val="BodyText"/>
            </w:pPr>
            <w:r w:rsidRPr="006C6543">
              <w:t>report writing, preparation and formatting</w:t>
            </w:r>
          </w:p>
          <w:p w:rsidR="00000000" w:rsidRPr="006C6543" w:rsidP="006C6543">
            <w:pPr>
              <w:pStyle w:val="BodyText"/>
            </w:pPr>
            <w:r w:rsidRPr="006C6543">
              <w:t>numeracy skills for calculation of data</w:t>
            </w:r>
          </w:p>
          <w:p w:rsidR="00000000" w:rsidRPr="006C6543" w:rsidP="006C6543">
            <w:pPr>
              <w:pStyle w:val="BodyText"/>
            </w:pPr>
            <w:r w:rsidRPr="006C6543">
              <w:t>researching for data testing and collectio</w:t>
            </w:r>
            <w:r w:rsidRPr="006C6543">
              <w:t>n</w:t>
            </w:r>
          </w:p>
          <w:p w:rsidR="00000000" w:rsidRPr="006C6543" w:rsidP="006C6543">
            <w:pPr>
              <w:pStyle w:val="BodyText"/>
            </w:pPr>
            <w:r w:rsidRPr="006C6543">
              <w:t>estimating, forecasting and analysis skills</w:t>
            </w:r>
          </w:p>
          <w:p w:rsidR="00000000" w:rsidRPr="006C6543" w:rsidP="006C6543">
            <w:pPr>
              <w:pStyle w:val="BodyText"/>
            </w:pPr>
            <w:r w:rsidRPr="006C6543">
              <w:t xml:space="preserve">information technology skills for set up and use of spreadsheets and preparation of documents </w:t>
            </w:r>
          </w:p>
        </w:tc>
      </w:tr>
    </w:tbl>
    <w:p w:rsidR="00000000" w:rsidRPr="006C6543" w:rsidP="006C6543">
      <w:pPr>
        <w:pStyle w:val="BodyText"/>
      </w:pPr>
    </w:p>
    <w:p w:rsidR="00000000" w:rsidRPr="006C6543" w:rsidP="006C6543">
      <w:pPr>
        <w:pStyle w:val="AllowPageBreak"/>
      </w:pPr>
    </w:p>
    <w:p w:rsidR="00000000" w:rsidRPr="006C6543" w:rsidP="006C6543">
      <w:pPr>
        <w:pStyle w:val="Heading1"/>
      </w:pPr>
      <w:bookmarkStart w:id="10" w:name="O_318173"/>
      <w:bookmarkEnd w:id="10"/>
      <w:r w:rsidRPr="006C6543">
        <w:t>Evidence Guide</w:t>
      </w:r>
    </w:p>
    <w:tbl>
      <w:tblPr>
        <w:tblW w:w="0" w:type="auto"/>
        <w:tblLayout w:type="fixed"/>
        <w:tblCellMar>
          <w:left w:w="62" w:type="dxa"/>
          <w:right w:w="62" w:type="dxa"/>
        </w:tblCellMar>
        <w:tblLook w:val="0000"/>
      </w:tblPr>
      <w:tblGrid>
        <w:gridCol w:w="4500"/>
        <w:gridCol w:w="4500"/>
      </w:tblGrid>
      <w:tr w:rsidTr="0027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 xml:space="preserve"> EVIDENCE GUIDE</w:t>
            </w:r>
          </w:p>
        </w:tc>
      </w:tr>
      <w:tr w:rsidTr="0027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Assessment of performance requirements in the unit should be undertaken in an industry context. The Evidence Guide identifies the critical aspects, knowledge and skills to be demonstrated to confirm competency for the unit. Competency is demonstrated by pe</w:t>
            </w:r>
            <w:r w:rsidRPr="006C6543">
              <w:t xml:space="preserve">rformance of all stated criteria including the Range Statement applicable to the workplace. </w:t>
            </w:r>
          </w:p>
        </w:tc>
      </w:tr>
      <w:tr w:rsidTr="0027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Overview of assessment requirements</w:t>
            </w:r>
          </w:p>
        </w:tc>
      </w:tr>
      <w:tr w:rsidTr="0027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 xml:space="preserve">To achieve competency in this unit, a person must be able to demonstrate: </w:t>
            </w:r>
          </w:p>
          <w:p w:rsidR="00000000" w:rsidRPr="006C6543" w:rsidP="006C6543">
            <w:pPr>
              <w:pStyle w:val="BodyText"/>
            </w:pPr>
            <w:r w:rsidRPr="006C6543">
              <w:t>knowledge of organisational polices and procedur</w:t>
            </w:r>
            <w:r w:rsidRPr="006C6543">
              <w:t>es</w:t>
            </w:r>
          </w:p>
          <w:p w:rsidR="00000000" w:rsidRPr="006C6543" w:rsidP="006C6543">
            <w:pPr>
              <w:pStyle w:val="BodyText"/>
            </w:pPr>
            <w:r w:rsidRPr="006C6543">
              <w:t xml:space="preserve">knowledge of statutory requirements </w:t>
            </w:r>
          </w:p>
          <w:p w:rsidR="00000000" w:rsidRPr="006C6543" w:rsidP="006C6543">
            <w:pPr>
              <w:pStyle w:val="BodyText"/>
            </w:pPr>
            <w:r w:rsidRPr="006C6543">
              <w:t xml:space="preserve">knowledge of accounting standards </w:t>
            </w:r>
          </w:p>
          <w:p w:rsidR="00000000" w:rsidRPr="006C6543" w:rsidP="006C6543">
            <w:pPr>
              <w:pStyle w:val="BodyText"/>
            </w:pPr>
            <w:r w:rsidRPr="006C6543">
              <w:t>ability to comply data</w:t>
            </w:r>
          </w:p>
          <w:p w:rsidR="00000000" w:rsidRPr="006C6543" w:rsidP="006C6543">
            <w:pPr>
              <w:pStyle w:val="BodyText"/>
            </w:pPr>
            <w:r w:rsidRPr="006C6543">
              <w:t xml:space="preserve">ability to identify appropriate entities reporting </w:t>
            </w:r>
          </w:p>
          <w:p w:rsidR="00000000" w:rsidRPr="006C6543" w:rsidP="006C6543">
            <w:pPr>
              <w:pStyle w:val="BodyText"/>
            </w:pPr>
            <w:r w:rsidRPr="006C6543">
              <w:t>ability to prepare reports</w:t>
            </w:r>
          </w:p>
          <w:p w:rsidR="00000000" w:rsidP="006C6543">
            <w:pPr>
              <w:pStyle w:val="BodyText"/>
              <w:rPr>
                <w:lang w:val="en-NZ"/>
              </w:rPr>
            </w:pPr>
            <w:r w:rsidRPr="006C6543">
              <w:t xml:space="preserve">ability to analyse reports </w:t>
            </w:r>
          </w:p>
        </w:tc>
      </w:tr>
      <w:tr w:rsidTr="0027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Critical aspects of evidence</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Evidence required for demonstration of consistent performance</w:t>
            </w:r>
            <w:r w:rsidRPr="006C6543">
              <w:t xml:space="preserve">: </w:t>
            </w:r>
          </w:p>
        </w:tc>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t xml:space="preserve">Competence in this unit must be assessed over a period of time in order to ensure consistency of performance over the Range Statement and contexts applicable to the work environment.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Deliver</w:t>
            </w:r>
            <w:r w:rsidRPr="006C6543">
              <w:rPr>
                <w:rStyle w:val="SpecialBold"/>
              </w:rPr>
              <w:t>y</w:t>
            </w:r>
            <w:r w:rsidRPr="006C6543">
              <w:t>/</w:t>
            </w:r>
            <w:r w:rsidRPr="006C6543">
              <w:rPr>
                <w:rStyle w:val="SpecialBold"/>
              </w:rPr>
              <w:t>assessment relationship to other units</w:t>
            </w:r>
            <w:r w:rsidRPr="006C6543">
              <w:t xml:space="preserve">: </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 xml:space="preserve">Prerequisite units:     </w:t>
            </w:r>
          </w:p>
          <w:p w:rsidR="00000000" w:rsidP="006C6543">
            <w:pPr>
              <w:pStyle w:val="BodyText"/>
              <w:rPr>
                <w:lang w:val="en-NZ"/>
              </w:rPr>
            </w:pPr>
            <w:r w:rsidRPr="006C6543">
              <w:t xml:space="preserve">FNSACCT504B Prepare financial reports for a reporting entity. </w:t>
            </w:r>
          </w:p>
        </w:tc>
      </w:tr>
      <w:tr w:rsidTr="0027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Assessment requirements</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Method of assessment</w:t>
            </w:r>
            <w:r w:rsidRPr="006C6543">
              <w:t xml:space="preserve">: </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For valid and reliable assessment of this unit, evidence should be gathered</w:t>
            </w:r>
            <w:r w:rsidRPr="006C6543">
              <w:t xml:space="preserve"> through a range of methods to indicate consistent performance.</w:t>
            </w:r>
          </w:p>
          <w:p w:rsidR="00000000" w:rsidP="006C6543">
            <w:pPr>
              <w:pStyle w:val="BodyText"/>
              <w:rPr>
                <w:lang w:val="en-NZ"/>
              </w:rPr>
            </w:pPr>
            <w:r w:rsidRPr="006C6543">
              <w:t>Assessment of this unit of competence will usually include observation of processes and procedures, oral and/or written questioning on underpinning knowledge and skills and other methods as re</w:t>
            </w:r>
            <w:r w:rsidRPr="006C6543">
              <w:t xml:space="preserve">quired.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Context of assessment</w:t>
            </w:r>
            <w:r w:rsidRPr="006C6543">
              <w:t xml:space="preserve">: </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 xml:space="preserve">Assessment of performance requirements in this unit should be undertaken within the financial services industry context and should cover aspects of personal/financial responsibility and accountability. </w:t>
            </w:r>
          </w:p>
          <w:p w:rsidR="00000000" w:rsidP="006C6543">
            <w:pPr>
              <w:pStyle w:val="BodyText"/>
              <w:rPr>
                <w:lang w:val="en-NZ"/>
              </w:rPr>
            </w:pPr>
            <w:r w:rsidRPr="006C6543">
              <w:t xml:space="preserve">Aspects of competency, including the attainment of relevant knowledge and skills, may be assessed in a relevant workplace, a closely simulated work environment, or other appropriate means that clearly meet industry competency requirements.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Resources requ</w:t>
            </w:r>
            <w:r w:rsidRPr="006C6543">
              <w:rPr>
                <w:rStyle w:val="SpecialBold"/>
              </w:rPr>
              <w:t>ired for assessment</w:t>
            </w:r>
            <w:r w:rsidRPr="006C6543">
              <w:t xml:space="preserve">: </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Assessment of this unit of competence requires access to suitable resources to demonstrate competence.</w:t>
            </w:r>
          </w:p>
          <w:p w:rsidR="00000000" w:rsidRPr="006C6543" w:rsidP="006C6543">
            <w:pPr>
              <w:pStyle w:val="BodyText"/>
            </w:pPr>
            <w:r w:rsidRPr="006C6543">
              <w:t>Assessment instruments, including personal planner and assessment record book.</w:t>
            </w:r>
          </w:p>
          <w:p w:rsidR="00000000" w:rsidRPr="006C6543" w:rsidP="006C6543">
            <w:pPr>
              <w:pStyle w:val="BodyText"/>
            </w:pPr>
            <w:r w:rsidRPr="006C6543">
              <w:t>Access to registered provider of assessment services</w:t>
            </w:r>
            <w:r w:rsidRPr="006C6543">
              <w:t xml:space="preserve">. </w:t>
            </w:r>
          </w:p>
        </w:tc>
      </w:tr>
    </w:tbl>
    <w:p w:rsidR="00000000" w:rsidRPr="006C6543" w:rsidP="006C6543">
      <w:pPr>
        <w:pStyle w:val="BodyText"/>
      </w:pPr>
    </w:p>
    <w:p w:rsidR="00000000" w:rsidRPr="006C6543" w:rsidP="006C6543">
      <w:pPr>
        <w:pStyle w:val="AllowPageBreak"/>
      </w:pPr>
    </w:p>
    <w:p w:rsidR="00000000" w:rsidRPr="006C6543" w:rsidP="006C6543">
      <w:pPr>
        <w:pStyle w:val="Heading1"/>
      </w:pPr>
      <w:bookmarkStart w:id="11" w:name="O_318174"/>
      <w:bookmarkEnd w:id="11"/>
      <w:r w:rsidRPr="006C6543">
        <w:t>Range Statement</w:t>
      </w:r>
    </w:p>
    <w:tbl>
      <w:tblPr>
        <w:tblW w:w="0" w:type="auto"/>
        <w:tblLayout w:type="fixed"/>
        <w:tblCellMar>
          <w:left w:w="62" w:type="dxa"/>
          <w:right w:w="62" w:type="dxa"/>
        </w:tblCellMar>
        <w:tblLook w:val="0000"/>
      </w:tblPr>
      <w:tblGrid>
        <w:gridCol w:w="4500"/>
        <w:gridCol w:w="4500"/>
      </w:tblGrid>
      <w:tr w:rsidTr="0027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C6543">
            <w:pPr>
              <w:pStyle w:val="BodyText"/>
              <w:rPr>
                <w:lang w:val="en-NZ"/>
              </w:rPr>
            </w:pPr>
          </w:p>
        </w:tc>
      </w:tr>
      <w:tr w:rsidTr="002764B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The Range Statement relates to the unit of competency as a whole. It allows for different work environments and situations that will affect performance.</w:t>
            </w:r>
          </w:p>
          <w:p w:rsidR="00000000" w:rsidP="006C6543">
            <w:pPr>
              <w:pStyle w:val="BodyText"/>
              <w:rPr>
                <w:lang w:val="en-NZ"/>
              </w:rPr>
            </w:pPr>
            <w:r w:rsidRPr="006C6543">
              <w:t xml:space="preserve">The following variables may be present with training and assessment depending on the work situation, needs of the candidate, accessibility of the item, and local industry and regional contexts. If </w:t>
            </w:r>
            <w:r w:rsidRPr="006C6543">
              <w:rPr>
                <w:rStyle w:val="SpecialBold"/>
              </w:rPr>
              <w:t>bold italicised</w:t>
            </w:r>
            <w:r w:rsidRPr="006C6543">
              <w:t xml:space="preserve"> text is shown in Performance Criteria, deta</w:t>
            </w:r>
            <w:r w:rsidRPr="006C6543">
              <w:t xml:space="preserve">ils of the text are provided in the Range Statement.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Data</w:t>
            </w:r>
            <w:r w:rsidRPr="006C654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share and debenture issues</w:t>
            </w:r>
          </w:p>
          <w:p w:rsidR="00000000" w:rsidRPr="006C6543" w:rsidP="006C6543">
            <w:pPr>
              <w:pStyle w:val="BodyText"/>
            </w:pPr>
            <w:r w:rsidRPr="006C6543">
              <w:t>financial/operational statements and reports (eg expenditures and receipts, statements of financial performance, cash flow statements, statements of financial position, consolidated financial statements and notes to the accounts)</w:t>
            </w:r>
          </w:p>
          <w:p w:rsidR="00000000" w:rsidP="006C6543">
            <w:pPr>
              <w:pStyle w:val="BodyText"/>
              <w:rPr>
                <w:lang w:val="en-NZ"/>
              </w:rPr>
            </w:pPr>
            <w:r w:rsidRPr="006C6543">
              <w:t xml:space="preserve">market valuations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Accoun</w:t>
            </w:r>
            <w:r w:rsidRPr="006C6543">
              <w:rPr>
                <w:rStyle w:val="SpecialBold"/>
              </w:rPr>
              <w:t>ting standards</w:t>
            </w:r>
            <w:r w:rsidRPr="006C654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Australian Accounting Standards Board (AASB)</w:t>
            </w:r>
          </w:p>
          <w:p w:rsidR="00000000" w:rsidP="006C6543">
            <w:pPr>
              <w:pStyle w:val="BodyText"/>
              <w:rPr>
                <w:lang w:val="en-NZ"/>
              </w:rPr>
            </w:pPr>
            <w:r w:rsidRPr="006C6543">
              <w:t xml:space="preserve">Australian Accounting Standards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Conversion and consolidation procedures</w:t>
            </w:r>
            <w:r w:rsidRPr="006C654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purchase of the business by a company</w:t>
            </w:r>
          </w:p>
          <w:p w:rsidR="00000000" w:rsidRPr="006C6543" w:rsidP="006C6543">
            <w:pPr>
              <w:pStyle w:val="BodyText"/>
            </w:pPr>
            <w:r w:rsidRPr="006C6543">
              <w:t>consolidation of a wholly and partially owned subsidiari</w:t>
            </w:r>
            <w:r w:rsidRPr="006C6543">
              <w:t>es</w:t>
            </w:r>
          </w:p>
          <w:p w:rsidR="00000000" w:rsidP="006C6543">
            <w:pPr>
              <w:pStyle w:val="BodyText"/>
              <w:rPr>
                <w:lang w:val="en-NZ"/>
              </w:rPr>
            </w:pPr>
            <w:r w:rsidRPr="006C6543">
              <w:t xml:space="preserve">consolidation of controlled entities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Organisational policies and procedures</w:t>
            </w:r>
            <w:r w:rsidRPr="006C654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accounting procedures manuals</w:t>
            </w:r>
          </w:p>
          <w:p w:rsidR="00000000" w:rsidRPr="006C6543" w:rsidP="006C6543">
            <w:pPr>
              <w:pStyle w:val="BodyText"/>
            </w:pPr>
            <w:r w:rsidRPr="006C6543">
              <w:t>ethical requirements</w:t>
            </w:r>
          </w:p>
          <w:p w:rsidR="00000000" w:rsidP="006C6543">
            <w:pPr>
              <w:pStyle w:val="BodyText"/>
              <w:rPr>
                <w:lang w:val="en-NZ"/>
              </w:rPr>
            </w:pPr>
            <w:r w:rsidRPr="006C6543">
              <w:t xml:space="preserve">reporting requirements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Reporting entities</w:t>
            </w:r>
            <w:r w:rsidRPr="006C654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 xml:space="preserve">wholly owned subsidiaries </w:t>
            </w:r>
          </w:p>
          <w:p w:rsidR="00000000" w:rsidRPr="006C6543" w:rsidP="006C6543">
            <w:pPr>
              <w:pStyle w:val="BodyText"/>
            </w:pPr>
            <w:r w:rsidRPr="006C6543">
              <w:t>partially owned subsidiaries</w:t>
            </w:r>
          </w:p>
          <w:p w:rsidR="00000000" w:rsidRPr="006C6543" w:rsidP="006C6543">
            <w:pPr>
              <w:pStyle w:val="BodyText"/>
            </w:pPr>
            <w:r w:rsidRPr="006C6543">
              <w:t>significant influence over</w:t>
            </w:r>
          </w:p>
          <w:p w:rsidR="00000000" w:rsidRPr="006C6543" w:rsidP="006C6543">
            <w:pPr>
              <w:pStyle w:val="BodyText"/>
            </w:pPr>
            <w:r w:rsidRPr="006C6543">
              <w:t>joint ventures</w:t>
            </w:r>
          </w:p>
          <w:p w:rsidR="00000000" w:rsidP="006C6543">
            <w:pPr>
              <w:pStyle w:val="BodyText"/>
              <w:rPr>
                <w:lang w:val="en-NZ"/>
              </w:rPr>
            </w:pPr>
            <w:r w:rsidRPr="006C6543">
              <w:t xml:space="preserve">other joint corporate arrangements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Statutory requirements</w:t>
            </w:r>
            <w:r w:rsidRPr="006C6543">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reporting periods</w:t>
            </w:r>
          </w:p>
          <w:p w:rsidR="00000000" w:rsidRPr="006C6543" w:rsidP="006C6543">
            <w:pPr>
              <w:pStyle w:val="BodyText"/>
            </w:pPr>
            <w:r w:rsidRPr="006C6543">
              <w:t>taxation payment timings</w:t>
            </w:r>
          </w:p>
          <w:p w:rsidR="00000000" w:rsidRPr="006C6543" w:rsidP="006C6543">
            <w:pPr>
              <w:pStyle w:val="BodyText"/>
            </w:pPr>
            <w:r w:rsidRPr="006C6543">
              <w:t>delegated authorities</w:t>
            </w:r>
          </w:p>
          <w:p w:rsidR="00000000" w:rsidP="006C6543">
            <w:pPr>
              <w:pStyle w:val="BodyText"/>
              <w:rPr>
                <w:lang w:val="en-NZ"/>
              </w:rPr>
            </w:pPr>
            <w:r w:rsidRPr="006C6543">
              <w:t xml:space="preserve">disclosure requirements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Report</w:t>
            </w:r>
            <w:r w:rsidRPr="006C654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cash flow statements</w:t>
            </w:r>
          </w:p>
          <w:p w:rsidR="00000000" w:rsidRPr="006C6543" w:rsidP="006C6543">
            <w:pPr>
              <w:pStyle w:val="BodyText"/>
            </w:pPr>
            <w:r w:rsidRPr="006C6543">
              <w:t>statutory forms</w:t>
            </w:r>
          </w:p>
          <w:p w:rsidR="00000000" w:rsidRPr="006C6543" w:rsidP="006C6543">
            <w:pPr>
              <w:pStyle w:val="BodyText"/>
            </w:pPr>
            <w:r w:rsidRPr="006C6543">
              <w:t>financial year reports</w:t>
            </w:r>
          </w:p>
          <w:p w:rsidR="00000000" w:rsidRPr="006C6543" w:rsidP="006C6543">
            <w:pPr>
              <w:pStyle w:val="BodyText"/>
            </w:pPr>
            <w:r w:rsidRPr="006C6543">
              <w:t>statement of financial position</w:t>
            </w:r>
          </w:p>
          <w:p w:rsidR="00000000" w:rsidP="006C6543">
            <w:pPr>
              <w:pStyle w:val="BodyText"/>
              <w:rPr>
                <w:lang w:val="en-NZ"/>
              </w:rPr>
            </w:pPr>
            <w:r w:rsidRPr="006C6543">
              <w:t xml:space="preserve">receiver/liquidator reports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statement of financial performance</w:t>
            </w:r>
          </w:p>
          <w:p w:rsidR="00000000" w:rsidRPr="006C6543" w:rsidP="006C6543">
            <w:pPr>
              <w:pStyle w:val="BodyText"/>
            </w:pPr>
            <w:r w:rsidRPr="006C6543">
              <w:t>spreadsheets</w:t>
            </w:r>
          </w:p>
          <w:p w:rsidR="00000000" w:rsidRPr="006C6543" w:rsidP="006C6543">
            <w:pPr>
              <w:pStyle w:val="BodyText"/>
            </w:pPr>
            <w:r w:rsidRPr="006C6543">
              <w:t>electronic forms</w:t>
            </w:r>
          </w:p>
          <w:p w:rsidR="00000000" w:rsidP="006C6543">
            <w:pPr>
              <w:pStyle w:val="BodyText"/>
              <w:rPr>
                <w:lang w:val="en-NZ"/>
              </w:rPr>
            </w:pPr>
            <w:r w:rsidRPr="006C6543">
              <w:t xml:space="preserve">consolidated financial statements </w:t>
            </w:r>
          </w:p>
        </w:tc>
      </w:tr>
      <w:tr w:rsidTr="002764B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C6543">
            <w:pPr>
              <w:pStyle w:val="BodyText"/>
              <w:rPr>
                <w:lang w:val="en-NZ"/>
              </w:rPr>
            </w:pPr>
            <w:r w:rsidRPr="006C6543">
              <w:rPr>
                <w:rStyle w:val="SpecialBold"/>
              </w:rPr>
              <w:t>Significant issues</w:t>
            </w:r>
            <w:r w:rsidRPr="006C6543">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C6543" w:rsidP="006C6543">
            <w:pPr>
              <w:pStyle w:val="BodyText"/>
            </w:pPr>
            <w:r w:rsidRPr="006C6543">
              <w:t>profitability</w:t>
            </w:r>
          </w:p>
          <w:p w:rsidR="00000000" w:rsidRPr="006C6543" w:rsidP="006C6543">
            <w:pPr>
              <w:pStyle w:val="BodyText"/>
            </w:pPr>
            <w:r w:rsidRPr="006C6543">
              <w:t>liquidity</w:t>
            </w:r>
          </w:p>
          <w:p w:rsidR="00000000" w:rsidRPr="006C6543" w:rsidP="006C6543">
            <w:pPr>
              <w:pStyle w:val="BodyText"/>
            </w:pPr>
            <w:r w:rsidRPr="006C6543">
              <w:t>company restructuring</w:t>
            </w:r>
          </w:p>
          <w:p w:rsidR="00000000" w:rsidRPr="006C6543" w:rsidP="006C6543">
            <w:pPr>
              <w:pStyle w:val="BodyText"/>
            </w:pPr>
            <w:r w:rsidRPr="006C6543">
              <w:t>company liquidation</w:t>
            </w:r>
          </w:p>
          <w:p w:rsidR="00000000" w:rsidRPr="006C6543" w:rsidP="006C6543">
            <w:pPr>
              <w:pStyle w:val="BodyText"/>
            </w:pPr>
            <w:r w:rsidRPr="006C6543">
              <w:t>losses and returns</w:t>
            </w:r>
          </w:p>
          <w:p w:rsidR="00000000" w:rsidRPr="006C6543" w:rsidP="006C6543">
            <w:pPr>
              <w:pStyle w:val="BodyText"/>
            </w:pPr>
            <w:r w:rsidRPr="006C6543">
              <w:t>cost structures</w:t>
            </w:r>
          </w:p>
          <w:p w:rsidR="00000000" w:rsidRPr="006C6543" w:rsidP="006C6543">
            <w:pPr>
              <w:pStyle w:val="BodyText"/>
            </w:pPr>
            <w:r w:rsidRPr="006C6543">
              <w:t>errors and anomalies</w:t>
            </w:r>
          </w:p>
          <w:p w:rsidR="00000000" w:rsidRPr="006C6543" w:rsidP="006C6543">
            <w:pPr>
              <w:pStyle w:val="BodyText"/>
            </w:pPr>
            <w:r w:rsidRPr="006C6543">
              <w:t xml:space="preserve">statutory obligations </w:t>
            </w:r>
          </w:p>
        </w:tc>
      </w:tr>
    </w:tbl>
    <w:p w:rsidR="00000000" w:rsidRPr="006C6543" w:rsidP="006C6543">
      <w:pPr>
        <w:pStyle w:val="BodyText"/>
      </w:pPr>
    </w:p>
    <w:p w:rsidR="00000000" w:rsidRPr="006C6543" w:rsidP="006C6543">
      <w:pPr>
        <w:pStyle w:val="AllowPageBreak"/>
      </w:pPr>
    </w:p>
    <w:p w:rsidR="00000000" w:rsidRPr="006C6543" w:rsidP="006C6543">
      <w:pPr>
        <w:pStyle w:val="Heading1"/>
      </w:pPr>
      <w:bookmarkStart w:id="12" w:name="O_318175"/>
      <w:bookmarkEnd w:id="12"/>
      <w:r w:rsidRPr="006C6543">
        <w:t>Unit Sector(s)</w:t>
      </w:r>
    </w:p>
    <w:p w:rsidR="00000000" w:rsidRPr="006C6543" w:rsidP="006C6543">
      <w:pPr>
        <w:pStyle w:val="BodyText"/>
      </w:pPr>
      <w:r w:rsidRPr="006C6543">
        <w:t>Not applicable.</w:t>
      </w:r>
    </w:p>
    <w:p w:rsidR="00000000" w:rsidRPr="006C6543" w:rsidP="006C6543">
      <w:pPr>
        <w:pStyle w:val="AllowPageBreak"/>
      </w:pPr>
    </w:p>
    <w:p w:rsidR="00000000" w:rsidRPr="006C6543" w:rsidP="006C6543">
      <w:pPr>
        <w:pStyle w:val="Heading1"/>
      </w:pPr>
      <w:bookmarkStart w:id="13" w:name="O_318163"/>
      <w:bookmarkEnd w:id="13"/>
      <w:r w:rsidRPr="006C6543">
        <w:t>Relationship to other units</w:t>
      </w:r>
    </w:p>
    <w:p w:rsidR="00000000" w:rsidRPr="006C6543" w:rsidP="006C6543">
      <w:pPr>
        <w:pStyle w:val="BodyText"/>
      </w:pPr>
      <w:r w:rsidRPr="006C6543">
        <w:t>This unit replaces FNSACCT614A.</w:t>
      </w:r>
    </w:p>
    <w:p w:rsidR="00000000" w:rsidRPr="006C6543" w:rsidP="006C6543">
      <w:pPr>
        <w:pStyle w:val="BodyText"/>
      </w:pPr>
      <w:r w:rsidRPr="006C6543">
        <w:t>This unit replaces FNSACCT614A.</w:t>
      </w:r>
    </w:p>
    <w:p w:rsidR="00000000" w:rsidRPr="006C6543" w:rsidP="006C6543"/>
    <w:sectPr w:rsidSect="006C65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4BA" w:rsidP="00276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BA" w:rsidP="006C65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64BA" w:rsidP="006C65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764BA" w:rsidP="006C65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4BA" w:rsidP="002764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BA" w:rsidP="006C6543">
    <w:pPr>
      <w:pStyle w:val="Header"/>
      <w:framePr w:wrap="around"/>
    </w:pPr>
    <w:r>
      <w:fldChar w:fldCharType="begin"/>
    </w:r>
    <w:r>
      <w:instrText xml:space="preserve"> TITLE   \* MERGEFORMAT </w:instrText>
    </w:r>
    <w:r>
      <w:fldChar w:fldCharType="separate"/>
    </w:r>
    <w:r>
      <w:t>FNSACCT614B Prepare complex corporate financial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64BA" w:rsidP="006C65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5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543"/>
    <w:pPr>
      <w:spacing w:before="360" w:after="60"/>
      <w:outlineLvl w:val="0"/>
    </w:pPr>
    <w:rPr>
      <w:sz w:val="32"/>
    </w:rPr>
  </w:style>
  <w:style w:type="paragraph" w:styleId="Heading2">
    <w:name w:val="heading 2"/>
    <w:basedOn w:val="HeadingBase"/>
    <w:next w:val="BodyText"/>
    <w:link w:val="Heading2Char"/>
    <w:qFormat/>
    <w:rsid w:val="006C6543"/>
    <w:pPr>
      <w:keepLines/>
      <w:spacing w:before="240" w:after="120"/>
      <w:outlineLvl w:val="1"/>
    </w:pPr>
    <w:rPr>
      <w:sz w:val="28"/>
      <w:szCs w:val="40"/>
    </w:rPr>
  </w:style>
  <w:style w:type="paragraph" w:styleId="Heading3">
    <w:name w:val="heading 3"/>
    <w:basedOn w:val="HeadingBase"/>
    <w:next w:val="BodyText"/>
    <w:link w:val="Heading3Char"/>
    <w:qFormat/>
    <w:rsid w:val="006C6543"/>
    <w:pPr>
      <w:spacing w:before="180" w:after="120"/>
      <w:outlineLvl w:val="2"/>
    </w:pPr>
    <w:rPr>
      <w:spacing w:val="-10"/>
      <w:kern w:val="32"/>
    </w:rPr>
  </w:style>
  <w:style w:type="paragraph" w:styleId="Heading4">
    <w:name w:val="heading 4"/>
    <w:basedOn w:val="HeadingBase"/>
    <w:next w:val="BodyText"/>
    <w:link w:val="Heading4Char"/>
    <w:qFormat/>
    <w:rsid w:val="006C6543"/>
    <w:pPr>
      <w:spacing w:before="160" w:after="120"/>
      <w:outlineLvl w:val="3"/>
    </w:pPr>
    <w:rPr>
      <w:sz w:val="22"/>
    </w:rPr>
  </w:style>
  <w:style w:type="paragraph" w:styleId="Heading5">
    <w:name w:val="heading 5"/>
    <w:basedOn w:val="HeadingBase"/>
    <w:next w:val="Normal"/>
    <w:link w:val="Heading5Char"/>
    <w:qFormat/>
    <w:rsid w:val="006C6543"/>
    <w:pPr>
      <w:spacing w:before="80"/>
      <w:outlineLvl w:val="4"/>
    </w:pPr>
    <w:rPr>
      <w:color w:val="918585"/>
      <w:sz w:val="20"/>
    </w:rPr>
  </w:style>
  <w:style w:type="paragraph" w:styleId="Heading6">
    <w:name w:val="heading 6"/>
    <w:basedOn w:val="HeadingBase"/>
    <w:next w:val="Normal"/>
    <w:link w:val="Heading6Char"/>
    <w:qFormat/>
    <w:rsid w:val="006C6543"/>
    <w:pPr>
      <w:spacing w:before="60"/>
      <w:outlineLvl w:val="5"/>
    </w:pPr>
    <w:rPr>
      <w:color w:val="918585"/>
      <w:sz w:val="20"/>
    </w:rPr>
  </w:style>
  <w:style w:type="paragraph" w:styleId="Heading7">
    <w:name w:val="heading 7"/>
    <w:basedOn w:val="Normal"/>
    <w:next w:val="Normal"/>
    <w:link w:val="Heading7Char"/>
    <w:qFormat/>
    <w:rsid w:val="006C6543"/>
    <w:pPr>
      <w:ind w:left="720"/>
      <w:outlineLvl w:val="6"/>
    </w:pPr>
    <w:rPr>
      <w:i/>
    </w:rPr>
  </w:style>
  <w:style w:type="paragraph" w:styleId="Heading8">
    <w:name w:val="heading 8"/>
    <w:basedOn w:val="Normal"/>
    <w:next w:val="Normal"/>
    <w:link w:val="Heading8Char"/>
    <w:qFormat/>
    <w:rsid w:val="006C6543"/>
    <w:pPr>
      <w:ind w:left="720"/>
      <w:outlineLvl w:val="7"/>
    </w:pPr>
    <w:rPr>
      <w:i/>
    </w:rPr>
  </w:style>
  <w:style w:type="paragraph" w:styleId="Heading9">
    <w:name w:val="heading 9"/>
    <w:basedOn w:val="Normal"/>
    <w:next w:val="Normal"/>
    <w:link w:val="Heading9Char"/>
    <w:qFormat/>
    <w:rsid w:val="006C6543"/>
    <w:pPr>
      <w:ind w:left="720"/>
      <w:outlineLvl w:val="8"/>
    </w:pPr>
    <w:rPr>
      <w:i/>
    </w:rPr>
  </w:style>
  <w:style w:type="character" w:default="1" w:styleId="DefaultParagraphFont">
    <w:name w:val="Default Paragraph Font"/>
    <w:uiPriority w:val="1"/>
    <w:unhideWhenUsed/>
    <w:rsid w:val="006C6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543"/>
  </w:style>
  <w:style w:type="character" w:customStyle="1" w:styleId="Heading1Char">
    <w:name w:val="Heading 1 Char"/>
    <w:basedOn w:val="DefaultParagraphFont"/>
    <w:link w:val="Heading1"/>
    <w:rsid w:val="006C6543"/>
    <w:rPr>
      <w:rFonts w:ascii="Times New Roman" w:eastAsia="Times New Roman" w:hAnsi="Times New Roman" w:cs="Times New Roman"/>
      <w:b/>
      <w:sz w:val="32"/>
      <w:szCs w:val="20"/>
      <w:lang w:eastAsia="en-US"/>
    </w:rPr>
  </w:style>
  <w:style w:type="paragraph" w:styleId="BodyText">
    <w:name w:val="Body Text"/>
    <w:basedOn w:val="Normal"/>
    <w:link w:val="BodyTextChar"/>
    <w:rsid w:val="006C65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543"/>
    <w:rPr>
      <w:rFonts w:ascii="Times New Roman" w:eastAsia="Times New Roman" w:hAnsi="Times New Roman" w:cs="Times New Roman"/>
      <w:sz w:val="24"/>
      <w:lang w:val="en-US" w:eastAsia="en-US"/>
    </w:rPr>
  </w:style>
  <w:style w:type="paragraph" w:styleId="Footer">
    <w:name w:val="footer"/>
    <w:basedOn w:val="Normal"/>
    <w:link w:val="FooterChar"/>
    <w:rsid w:val="006C6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54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C6543"/>
    <w:rPr>
      <w:b/>
      <w:spacing w:val="0"/>
    </w:rPr>
  </w:style>
  <w:style w:type="paragraph" w:styleId="Header">
    <w:name w:val="header"/>
    <w:basedOn w:val="Normal"/>
    <w:link w:val="HeaderChar"/>
    <w:rsid w:val="006C6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5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6543"/>
    <w:pPr>
      <w:spacing w:before="240" w:after="120"/>
      <w:outlineLvl w:val="0"/>
    </w:pPr>
    <w:rPr>
      <w:rFonts w:ascii="Times New Roman" w:hAnsi="Times New Roman"/>
      <w:b/>
      <w:sz w:val="28"/>
    </w:rPr>
  </w:style>
  <w:style w:type="paragraph" w:customStyle="1" w:styleId="AllowPageBreak">
    <w:name w:val="AllowPageBreak"/>
    <w:rsid w:val="006C65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5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5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543"/>
    <w:rPr>
      <w:rFonts w:ascii="Courier New" w:eastAsia="Times New Roman" w:hAnsi="Courier New" w:cs="Times New Roman"/>
      <w:i/>
      <w:szCs w:val="20"/>
      <w:lang w:val="en-US" w:eastAsia="en-US"/>
    </w:rPr>
  </w:style>
  <w:style w:type="paragraph" w:customStyle="1" w:styleId="HeadingBase">
    <w:name w:val="Heading Base"/>
    <w:rsid w:val="006C6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543"/>
    <w:pPr>
      <w:tabs>
        <w:tab w:val="right" w:leader="dot" w:pos="9072"/>
      </w:tabs>
      <w:ind w:left="567"/>
    </w:pPr>
    <w:rPr>
      <w:szCs w:val="22"/>
    </w:rPr>
  </w:style>
  <w:style w:type="paragraph" w:customStyle="1" w:styleId="TOCBase">
    <w:name w:val="TOC Base"/>
    <w:rsid w:val="006C6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543"/>
    <w:pPr>
      <w:tabs>
        <w:tab w:val="right" w:leader="dot" w:pos="9072"/>
      </w:tabs>
      <w:spacing w:before="40" w:after="40"/>
      <w:ind w:left="284"/>
    </w:pPr>
    <w:rPr>
      <w:rFonts w:ascii="Times New Roman" w:hAnsi="Times New Roman"/>
    </w:rPr>
  </w:style>
  <w:style w:type="paragraph" w:styleId="TOC1">
    <w:name w:val="toc 1"/>
    <w:basedOn w:val="TOCBase"/>
    <w:next w:val="Normal"/>
    <w:rsid w:val="006C65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543"/>
    <w:pPr>
      <w:spacing w:before="5040"/>
      <w:jc w:val="center"/>
    </w:pPr>
    <w:rPr>
      <w:sz w:val="48"/>
      <w:szCs w:val="72"/>
      <w:lang w:val="en-US"/>
    </w:rPr>
  </w:style>
  <w:style w:type="character" w:customStyle="1" w:styleId="TitleChar">
    <w:name w:val="Title Char"/>
    <w:basedOn w:val="DefaultParagraphFont"/>
    <w:link w:val="Title"/>
    <w:rsid w:val="006C6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543"/>
    <w:pPr>
      <w:tabs>
        <w:tab w:val="left" w:pos="3600"/>
        <w:tab w:val="left" w:pos="3958"/>
      </w:tabs>
    </w:pPr>
  </w:style>
  <w:style w:type="paragraph" w:styleId="List">
    <w:name w:val="List"/>
    <w:basedOn w:val="BodyText"/>
    <w:next w:val="BodyText"/>
    <w:rsid w:val="006C6543"/>
    <w:pPr>
      <w:tabs>
        <w:tab w:val="left" w:pos="340"/>
      </w:tabs>
      <w:spacing w:before="60" w:after="60"/>
      <w:ind w:left="340" w:hanging="340"/>
    </w:pPr>
  </w:style>
  <w:style w:type="paragraph" w:styleId="ListBullet">
    <w:name w:val="List Bullet"/>
    <w:basedOn w:val="List"/>
    <w:rsid w:val="006C6543"/>
    <w:pPr>
      <w:numPr>
        <w:numId w:val="11"/>
      </w:numPr>
      <w:tabs>
        <w:tab w:val="clear" w:pos="340"/>
      </w:tabs>
      <w:spacing w:before="40" w:after="40"/>
    </w:pPr>
  </w:style>
  <w:style w:type="paragraph" w:customStyle="1" w:styleId="Note">
    <w:name w:val="Note"/>
    <w:basedOn w:val="BodyText"/>
    <w:rsid w:val="006C6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543"/>
    <w:pPr>
      <w:framePr w:wrap="auto" w:hAnchor="text" w:y="6049"/>
    </w:pPr>
    <w:rPr>
      <w:color w:val="000000"/>
      <w:sz w:val="40"/>
    </w:rPr>
  </w:style>
  <w:style w:type="paragraph" w:customStyle="1" w:styleId="TOCTitle">
    <w:name w:val="TOCTitle"/>
    <w:basedOn w:val="Heading1"/>
    <w:rsid w:val="006C6543"/>
    <w:pPr>
      <w:spacing w:after="240"/>
      <w:jc w:val="center"/>
      <w:outlineLvl w:val="9"/>
    </w:pPr>
    <w:rPr>
      <w:caps/>
    </w:rPr>
  </w:style>
  <w:style w:type="paragraph" w:customStyle="1" w:styleId="Version">
    <w:name w:val="Version"/>
    <w:rsid w:val="006C65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543"/>
    <w:pPr>
      <w:numPr>
        <w:numId w:val="12"/>
      </w:numPr>
      <w:tabs>
        <w:tab w:val="clear" w:pos="680"/>
      </w:tabs>
    </w:pPr>
  </w:style>
  <w:style w:type="paragraph" w:styleId="Index1">
    <w:name w:val="index 1"/>
    <w:basedOn w:val="Normal"/>
    <w:next w:val="Normal"/>
    <w:semiHidden/>
    <w:rsid w:val="006C6543"/>
    <w:pPr>
      <w:keepNext w:val="0"/>
      <w:tabs>
        <w:tab w:val="right" w:pos="4176"/>
      </w:tabs>
      <w:ind w:left="198" w:hanging="198"/>
    </w:pPr>
    <w:rPr>
      <w:rFonts w:ascii="Garamond" w:hAnsi="Garamond"/>
    </w:rPr>
  </w:style>
  <w:style w:type="paragraph" w:styleId="IndexHeading">
    <w:name w:val="index heading"/>
    <w:basedOn w:val="Normal"/>
    <w:next w:val="Index1"/>
    <w:semiHidden/>
    <w:rsid w:val="006C6543"/>
    <w:pPr>
      <w:spacing w:before="120" w:after="120"/>
    </w:pPr>
    <w:rPr>
      <w:rFonts w:ascii="Arial" w:hAnsi="Arial"/>
      <w:b/>
      <w:color w:val="918585"/>
      <w:sz w:val="24"/>
    </w:rPr>
  </w:style>
  <w:style w:type="paragraph" w:customStyle="1" w:styleId="Chapter">
    <w:name w:val="Chapter"/>
    <w:basedOn w:val="Normal"/>
    <w:rsid w:val="006C6543"/>
    <w:pPr>
      <w:spacing w:before="240"/>
    </w:pPr>
    <w:rPr>
      <w:rFonts w:ascii="Times New Roman" w:hAnsi="Times New Roman"/>
      <w:smallCaps/>
      <w:spacing w:val="80"/>
      <w:sz w:val="28"/>
    </w:rPr>
  </w:style>
  <w:style w:type="paragraph" w:customStyle="1" w:styleId="InChapter">
    <w:name w:val="InChapter"/>
    <w:basedOn w:val="Heading3"/>
    <w:rsid w:val="006C6543"/>
    <w:pPr>
      <w:spacing w:after="240"/>
      <w:outlineLvl w:val="9"/>
    </w:pPr>
    <w:rPr>
      <w:noProof/>
    </w:rPr>
  </w:style>
  <w:style w:type="paragraph" w:styleId="Index2">
    <w:name w:val="index 2"/>
    <w:basedOn w:val="Normal"/>
    <w:next w:val="Normal"/>
    <w:semiHidden/>
    <w:rsid w:val="006C6543"/>
    <w:pPr>
      <w:tabs>
        <w:tab w:val="right" w:pos="4176"/>
      </w:tabs>
      <w:ind w:left="568" w:hanging="284"/>
    </w:pPr>
    <w:rPr>
      <w:rFonts w:ascii="Garamond" w:hAnsi="Garamond"/>
    </w:rPr>
  </w:style>
  <w:style w:type="paragraph" w:customStyle="1" w:styleId="Byline">
    <w:name w:val="Byline"/>
    <w:rsid w:val="006C6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543"/>
    <w:pPr>
      <w:tabs>
        <w:tab w:val="clear" w:pos="3600"/>
        <w:tab w:val="clear" w:pos="3958"/>
      </w:tabs>
      <w:jc w:val="right"/>
    </w:pPr>
  </w:style>
  <w:style w:type="character" w:styleId="Emphasis">
    <w:name w:val="Emphasis"/>
    <w:basedOn w:val="DefaultParagraphFont"/>
    <w:qFormat/>
    <w:rsid w:val="006C6543"/>
    <w:rPr>
      <w:i/>
    </w:rPr>
  </w:style>
  <w:style w:type="paragraph" w:styleId="Caption">
    <w:name w:val="caption"/>
    <w:basedOn w:val="BodyText"/>
    <w:next w:val="Normal"/>
    <w:qFormat/>
    <w:rsid w:val="006C6543"/>
    <w:pPr>
      <w:framePr w:w="2268" w:hSpace="181" w:vSpace="181" w:wrap="around" w:vAnchor="text" w:hAnchor="page" w:x="1135" w:y="285" w:anchorLock="1"/>
    </w:pPr>
    <w:rPr>
      <w:i/>
    </w:rPr>
  </w:style>
  <w:style w:type="paragraph" w:customStyle="1" w:styleId="MiniTOCTitle">
    <w:name w:val="MiniTOCTitle"/>
    <w:basedOn w:val="Heading4"/>
    <w:rsid w:val="006C6543"/>
    <w:pPr>
      <w:spacing w:before="240"/>
      <w:outlineLvl w:val="9"/>
    </w:pPr>
    <w:rPr>
      <w:noProof/>
      <w:sz w:val="24"/>
    </w:rPr>
  </w:style>
  <w:style w:type="paragraph" w:customStyle="1" w:styleId="MiniTOCItem">
    <w:name w:val="MiniTOCItem"/>
    <w:basedOn w:val="ListBullet"/>
    <w:rsid w:val="006C6543"/>
    <w:pPr>
      <w:numPr>
        <w:numId w:val="0"/>
      </w:numPr>
      <w:tabs>
        <w:tab w:val="right" w:leader="dot" w:pos="6521"/>
      </w:tabs>
      <w:spacing w:before="0" w:after="0"/>
    </w:pPr>
  </w:style>
  <w:style w:type="paragraph" w:customStyle="1" w:styleId="TOFTitle">
    <w:name w:val="TOFTitle"/>
    <w:basedOn w:val="TOCTitle"/>
    <w:rsid w:val="006C6543"/>
  </w:style>
  <w:style w:type="paragraph" w:styleId="TableofFigures">
    <w:name w:val="table of figures"/>
    <w:basedOn w:val="Normal"/>
    <w:next w:val="Normal"/>
    <w:semiHidden/>
    <w:rsid w:val="006C6543"/>
    <w:pPr>
      <w:tabs>
        <w:tab w:val="right" w:leader="dot" w:pos="9072"/>
      </w:tabs>
      <w:ind w:left="970" w:hanging="403"/>
    </w:pPr>
    <w:rPr>
      <w:rFonts w:ascii="Times New Roman" w:hAnsi="Times New Roman"/>
      <w:b/>
    </w:rPr>
  </w:style>
  <w:style w:type="paragraph" w:styleId="ListNumber">
    <w:name w:val="List Number"/>
    <w:basedOn w:val="List"/>
    <w:rsid w:val="006C6543"/>
    <w:pPr>
      <w:numPr>
        <w:numId w:val="9"/>
      </w:numPr>
    </w:pPr>
  </w:style>
  <w:style w:type="character" w:customStyle="1" w:styleId="WingdingSymbols">
    <w:name w:val="Wingding Symbols"/>
    <w:rsid w:val="006C6543"/>
    <w:rPr>
      <w:rFonts w:ascii="Wingdings" w:hAnsi="Wingdings"/>
    </w:rPr>
  </w:style>
  <w:style w:type="paragraph" w:customStyle="1" w:styleId="TableHeading">
    <w:name w:val="Table Heading"/>
    <w:basedOn w:val="HeadingBase"/>
    <w:rsid w:val="006C6543"/>
    <w:pPr>
      <w:keepLines/>
      <w:pBdr>
        <w:bottom w:val="single" w:sz="6" w:space="1" w:color="918585"/>
      </w:pBdr>
      <w:spacing w:before="240"/>
    </w:pPr>
  </w:style>
  <w:style w:type="character" w:customStyle="1" w:styleId="HotSpot">
    <w:name w:val="HotSpot"/>
    <w:rsid w:val="006C6543"/>
    <w:rPr>
      <w:color w:val="0033CC"/>
      <w:u w:val="none"/>
    </w:rPr>
  </w:style>
  <w:style w:type="paragraph" w:customStyle="1" w:styleId="BodyTextRight">
    <w:name w:val="Body Text Right"/>
    <w:basedOn w:val="BodyText"/>
    <w:rsid w:val="006C6543"/>
    <w:pPr>
      <w:spacing w:before="0" w:after="0"/>
      <w:jc w:val="right"/>
    </w:pPr>
  </w:style>
  <w:style w:type="paragraph" w:styleId="Index3">
    <w:name w:val="index 3"/>
    <w:basedOn w:val="ListNumber2"/>
    <w:next w:val="Normal"/>
    <w:semiHidden/>
    <w:rsid w:val="006C6543"/>
    <w:pPr>
      <w:numPr>
        <w:numId w:val="0"/>
      </w:numPr>
      <w:tabs>
        <w:tab w:val="right" w:leader="dot" w:pos="4176"/>
      </w:tabs>
    </w:pPr>
  </w:style>
  <w:style w:type="paragraph" w:styleId="ListNumber2">
    <w:name w:val="List Number 2"/>
    <w:basedOn w:val="List2"/>
    <w:rsid w:val="006C6543"/>
    <w:pPr>
      <w:numPr>
        <w:numId w:val="8"/>
      </w:numPr>
      <w:tabs>
        <w:tab w:val="clear" w:pos="1060"/>
      </w:tabs>
    </w:pPr>
  </w:style>
  <w:style w:type="paragraph" w:customStyle="1" w:styleId="MarginNote">
    <w:name w:val="Margin Note"/>
    <w:basedOn w:val="BodyText"/>
    <w:rsid w:val="006C6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5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543"/>
    <w:rPr>
      <w:sz w:val="32"/>
    </w:rPr>
  </w:style>
  <w:style w:type="paragraph" w:customStyle="1" w:styleId="HeadingProcedure">
    <w:name w:val="Heading Procedure"/>
    <w:basedOn w:val="HeadingBase"/>
    <w:next w:val="Normal"/>
    <w:rsid w:val="006C6543"/>
    <w:pPr>
      <w:tabs>
        <w:tab w:val="left" w:pos="0"/>
      </w:tabs>
      <w:spacing w:before="120" w:after="60"/>
    </w:pPr>
    <w:rPr>
      <w:i/>
      <w:color w:val="918585"/>
      <w:sz w:val="22"/>
    </w:rPr>
  </w:style>
  <w:style w:type="paragraph" w:customStyle="1" w:styleId="TableBodyText">
    <w:name w:val="Table Body Text"/>
    <w:basedOn w:val="BodyText"/>
    <w:rsid w:val="006C6543"/>
    <w:pPr>
      <w:spacing w:before="60" w:after="60"/>
    </w:pPr>
  </w:style>
  <w:style w:type="paragraph" w:styleId="ListContinue">
    <w:name w:val="List Continue"/>
    <w:basedOn w:val="List"/>
    <w:rsid w:val="006C6543"/>
    <w:pPr>
      <w:ind w:firstLine="0"/>
    </w:pPr>
  </w:style>
  <w:style w:type="paragraph" w:customStyle="1" w:styleId="ListNote">
    <w:name w:val="List Note"/>
    <w:basedOn w:val="List"/>
    <w:rsid w:val="006C6543"/>
    <w:pPr>
      <w:pBdr>
        <w:top w:val="single" w:sz="6" w:space="2" w:color="918585"/>
        <w:bottom w:val="single" w:sz="6" w:space="2" w:color="918585"/>
      </w:pBdr>
      <w:tabs>
        <w:tab w:val="left" w:pos="1021"/>
      </w:tabs>
      <w:ind w:firstLine="0"/>
    </w:pPr>
  </w:style>
  <w:style w:type="paragraph" w:customStyle="1" w:styleId="Warning">
    <w:name w:val="Warning"/>
    <w:basedOn w:val="BodyText"/>
    <w:rsid w:val="006C6543"/>
    <w:pPr>
      <w:shd w:val="clear" w:color="auto" w:fill="D9D9D9"/>
      <w:tabs>
        <w:tab w:val="left" w:pos="992"/>
      </w:tabs>
      <w:ind w:left="119" w:right="119"/>
    </w:pPr>
    <w:rPr>
      <w:sz w:val="20"/>
    </w:rPr>
  </w:style>
  <w:style w:type="paragraph" w:customStyle="1" w:styleId="MarginIcons">
    <w:name w:val="Margin Icons"/>
    <w:basedOn w:val="BodyText"/>
    <w:rsid w:val="006C6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543"/>
    <w:rPr>
      <w:rFonts w:ascii="Courier New" w:hAnsi="Courier New"/>
    </w:rPr>
  </w:style>
  <w:style w:type="paragraph" w:customStyle="1" w:styleId="NoteBullet">
    <w:name w:val="Note Bullet"/>
    <w:basedOn w:val="Note"/>
    <w:rsid w:val="006C6543"/>
    <w:pPr>
      <w:tabs>
        <w:tab w:val="clear" w:pos="680"/>
      </w:tabs>
      <w:spacing w:before="60" w:after="60"/>
    </w:pPr>
  </w:style>
  <w:style w:type="paragraph" w:customStyle="1" w:styleId="SubHeading2">
    <w:name w:val="SubHeading2"/>
    <w:basedOn w:val="HeadingBase"/>
    <w:rsid w:val="006C6543"/>
    <w:pPr>
      <w:spacing w:before="240" w:after="60"/>
    </w:pPr>
    <w:rPr>
      <w:sz w:val="20"/>
    </w:rPr>
  </w:style>
  <w:style w:type="paragraph" w:customStyle="1" w:styleId="SubHeading1">
    <w:name w:val="SubHeading1"/>
    <w:basedOn w:val="HeadingBase"/>
    <w:rsid w:val="006C6543"/>
    <w:pPr>
      <w:spacing w:before="240" w:after="60"/>
    </w:pPr>
    <w:rPr>
      <w:color w:val="918585"/>
      <w:sz w:val="22"/>
    </w:rPr>
  </w:style>
  <w:style w:type="paragraph" w:customStyle="1" w:styleId="SideHeading">
    <w:name w:val="Side Heading"/>
    <w:basedOn w:val="HeadingBase"/>
    <w:rsid w:val="006C6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543"/>
    <w:pPr>
      <w:numPr>
        <w:numId w:val="10"/>
      </w:numPr>
    </w:pPr>
  </w:style>
  <w:style w:type="paragraph" w:styleId="PlainText">
    <w:name w:val="Plain Text"/>
    <w:basedOn w:val="Normal"/>
    <w:link w:val="PlainTextChar"/>
    <w:rsid w:val="006C6543"/>
    <w:rPr>
      <w:sz w:val="20"/>
    </w:rPr>
  </w:style>
  <w:style w:type="character" w:customStyle="1" w:styleId="PlainTextChar">
    <w:name w:val="Plain Text Char"/>
    <w:basedOn w:val="DefaultParagraphFont"/>
    <w:link w:val="PlainText"/>
    <w:rsid w:val="006C65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6543"/>
    <w:rPr>
      <w:b/>
      <w:smallCaps/>
    </w:rPr>
  </w:style>
  <w:style w:type="paragraph" w:customStyle="1" w:styleId="TableListNumber">
    <w:name w:val="Table List Number"/>
    <w:basedOn w:val="ListNumber"/>
    <w:rsid w:val="006C6543"/>
    <w:pPr>
      <w:numPr>
        <w:numId w:val="0"/>
      </w:numPr>
    </w:pPr>
  </w:style>
  <w:style w:type="paragraph" w:styleId="TOC4">
    <w:name w:val="toc 4"/>
    <w:basedOn w:val="TOCBase"/>
    <w:next w:val="Normal"/>
    <w:semiHidden/>
    <w:rsid w:val="006C6543"/>
    <w:pPr>
      <w:tabs>
        <w:tab w:val="right" w:leader="dot" w:pos="9071"/>
      </w:tabs>
      <w:ind w:left="1701"/>
    </w:pPr>
  </w:style>
  <w:style w:type="paragraph" w:customStyle="1" w:styleId="ListAlpha">
    <w:name w:val="List Alpha"/>
    <w:basedOn w:val="List"/>
    <w:rsid w:val="006C6543"/>
    <w:pPr>
      <w:numPr>
        <w:numId w:val="7"/>
      </w:numPr>
    </w:pPr>
  </w:style>
  <w:style w:type="paragraph" w:customStyle="1" w:styleId="ListAlpha2">
    <w:name w:val="List Alpha 2"/>
    <w:basedOn w:val="List2"/>
    <w:rsid w:val="006C6543"/>
    <w:pPr>
      <w:numPr>
        <w:numId w:val="6"/>
      </w:numPr>
    </w:pPr>
  </w:style>
  <w:style w:type="paragraph" w:styleId="List2">
    <w:name w:val="List 2"/>
    <w:basedOn w:val="BodyText"/>
    <w:rsid w:val="006C6543"/>
    <w:pPr>
      <w:tabs>
        <w:tab w:val="left" w:pos="680"/>
      </w:tabs>
      <w:spacing w:before="60" w:after="60"/>
      <w:ind w:left="680" w:hanging="340"/>
    </w:pPr>
  </w:style>
  <w:style w:type="paragraph" w:styleId="List3">
    <w:name w:val="List 3"/>
    <w:basedOn w:val="BodyText"/>
    <w:rsid w:val="006C6543"/>
    <w:pPr>
      <w:tabs>
        <w:tab w:val="left" w:pos="1021"/>
      </w:tabs>
      <w:spacing w:before="60" w:after="60"/>
      <w:ind w:left="1020" w:hanging="340"/>
    </w:pPr>
  </w:style>
  <w:style w:type="paragraph" w:styleId="List4">
    <w:name w:val="List 4"/>
    <w:basedOn w:val="BodyText"/>
    <w:rsid w:val="006C6543"/>
    <w:pPr>
      <w:tabs>
        <w:tab w:val="left" w:pos="1361"/>
      </w:tabs>
      <w:spacing w:before="60" w:after="60"/>
      <w:ind w:left="1361" w:hanging="340"/>
    </w:pPr>
  </w:style>
  <w:style w:type="paragraph" w:styleId="List5">
    <w:name w:val="List 5"/>
    <w:basedOn w:val="BodyText"/>
    <w:rsid w:val="006C6543"/>
    <w:pPr>
      <w:tabs>
        <w:tab w:val="left" w:pos="1701"/>
      </w:tabs>
      <w:spacing w:before="60" w:after="60"/>
      <w:ind w:left="1701" w:hanging="340"/>
    </w:pPr>
  </w:style>
  <w:style w:type="paragraph" w:styleId="ListBullet3">
    <w:name w:val="List Bullet 3"/>
    <w:basedOn w:val="List3"/>
    <w:rsid w:val="006C6543"/>
    <w:pPr>
      <w:numPr>
        <w:numId w:val="13"/>
      </w:numPr>
      <w:tabs>
        <w:tab w:val="clear" w:pos="1021"/>
      </w:tabs>
      <w:ind w:left="1037" w:hanging="357"/>
    </w:pPr>
  </w:style>
  <w:style w:type="paragraph" w:styleId="ListBullet4">
    <w:name w:val="List Bullet 4"/>
    <w:basedOn w:val="List4"/>
    <w:rsid w:val="006C6543"/>
    <w:pPr>
      <w:numPr>
        <w:numId w:val="1"/>
      </w:numPr>
    </w:pPr>
  </w:style>
  <w:style w:type="paragraph" w:styleId="ListBullet5">
    <w:name w:val="List Bullet 5"/>
    <w:basedOn w:val="List5"/>
    <w:rsid w:val="006C6543"/>
    <w:pPr>
      <w:numPr>
        <w:numId w:val="2"/>
      </w:numPr>
    </w:pPr>
  </w:style>
  <w:style w:type="paragraph" w:styleId="ListContinue2">
    <w:name w:val="List Continue 2"/>
    <w:basedOn w:val="List2"/>
    <w:rsid w:val="006C6543"/>
    <w:pPr>
      <w:ind w:firstLine="0"/>
    </w:pPr>
  </w:style>
  <w:style w:type="paragraph" w:styleId="ListContinue3">
    <w:name w:val="List Continue 3"/>
    <w:basedOn w:val="List3"/>
    <w:rsid w:val="006C6543"/>
    <w:pPr>
      <w:ind w:left="1021" w:firstLine="0"/>
    </w:pPr>
  </w:style>
  <w:style w:type="paragraph" w:styleId="ListContinue4">
    <w:name w:val="List Continue 4"/>
    <w:basedOn w:val="List4"/>
    <w:rsid w:val="006C6543"/>
    <w:pPr>
      <w:ind w:firstLine="0"/>
    </w:pPr>
  </w:style>
  <w:style w:type="paragraph" w:styleId="ListContinue5">
    <w:name w:val="List Continue 5"/>
    <w:basedOn w:val="List5"/>
    <w:rsid w:val="006C6543"/>
    <w:pPr>
      <w:ind w:firstLine="0"/>
    </w:pPr>
  </w:style>
  <w:style w:type="paragraph" w:styleId="ListNumber3">
    <w:name w:val="List Number 3"/>
    <w:basedOn w:val="List3"/>
    <w:rsid w:val="006C6543"/>
    <w:pPr>
      <w:numPr>
        <w:numId w:val="3"/>
      </w:numPr>
    </w:pPr>
  </w:style>
  <w:style w:type="paragraph" w:styleId="ListNumber4">
    <w:name w:val="List Number 4"/>
    <w:basedOn w:val="List4"/>
    <w:rsid w:val="006C6543"/>
    <w:pPr>
      <w:numPr>
        <w:numId w:val="4"/>
      </w:numPr>
    </w:pPr>
  </w:style>
  <w:style w:type="paragraph" w:styleId="ListNumber5">
    <w:name w:val="List Number 5"/>
    <w:basedOn w:val="List5"/>
    <w:rsid w:val="006C6543"/>
    <w:pPr>
      <w:numPr>
        <w:numId w:val="5"/>
      </w:numPr>
    </w:pPr>
  </w:style>
  <w:style w:type="paragraph" w:styleId="BlockText">
    <w:name w:val="Block Text"/>
    <w:basedOn w:val="Normal"/>
    <w:rsid w:val="006C6543"/>
    <w:pPr>
      <w:spacing w:after="120"/>
      <w:ind w:left="1440" w:right="1440"/>
    </w:pPr>
  </w:style>
  <w:style w:type="character" w:customStyle="1" w:styleId="Subscript">
    <w:name w:val="Subscript"/>
    <w:basedOn w:val="DefaultParagraphFont"/>
    <w:rsid w:val="006C6543"/>
    <w:rPr>
      <w:sz w:val="16"/>
      <w:vertAlign w:val="subscript"/>
    </w:rPr>
  </w:style>
  <w:style w:type="character" w:customStyle="1" w:styleId="Superscript">
    <w:name w:val="Superscript"/>
    <w:basedOn w:val="DefaultParagraphFont"/>
    <w:rsid w:val="006C6543"/>
    <w:rPr>
      <w:sz w:val="16"/>
      <w:vertAlign w:val="superscript"/>
    </w:rPr>
  </w:style>
  <w:style w:type="character" w:customStyle="1" w:styleId="Symbols">
    <w:name w:val="Symbols"/>
    <w:basedOn w:val="DefaultParagraphFont"/>
    <w:rsid w:val="006C6543"/>
    <w:rPr>
      <w:rFonts w:ascii="Symbol" w:hAnsi="Symbol"/>
    </w:rPr>
  </w:style>
  <w:style w:type="character" w:customStyle="1" w:styleId="MenuOptions">
    <w:name w:val="Menu Options"/>
    <w:basedOn w:val="DefaultParagraphFont"/>
    <w:rsid w:val="006C6543"/>
    <w:rPr>
      <w:rFonts w:ascii="Arial Narrow" w:hAnsi="Arial Narrow"/>
      <w:smallCaps/>
    </w:rPr>
  </w:style>
  <w:style w:type="character" w:customStyle="1" w:styleId="Buttons">
    <w:name w:val="Buttons"/>
    <w:basedOn w:val="DefaultParagraphFont"/>
    <w:rsid w:val="006C6543"/>
    <w:rPr>
      <w:b/>
    </w:rPr>
  </w:style>
  <w:style w:type="character" w:customStyle="1" w:styleId="Underlined">
    <w:name w:val="Underlined"/>
    <w:basedOn w:val="DefaultParagraphFont"/>
    <w:rsid w:val="006C6543"/>
    <w:rPr>
      <w:u w:val="single"/>
    </w:rPr>
  </w:style>
  <w:style w:type="paragraph" w:customStyle="1" w:styleId="TableBodyTextRight">
    <w:name w:val="Table Body Text Right"/>
    <w:basedOn w:val="TableBodyText"/>
    <w:rsid w:val="006C6543"/>
    <w:pPr>
      <w:widowControl w:val="0"/>
      <w:autoSpaceDE w:val="0"/>
      <w:autoSpaceDN w:val="0"/>
      <w:adjustRightInd w:val="0"/>
      <w:jc w:val="right"/>
    </w:pPr>
    <w:rPr>
      <w:rFonts w:cs="Arial"/>
      <w:szCs w:val="18"/>
    </w:rPr>
  </w:style>
  <w:style w:type="paragraph" w:customStyle="1" w:styleId="CopyrightText">
    <w:name w:val="Copyright Text"/>
    <w:basedOn w:val="BodyText"/>
    <w:rsid w:val="006C6543"/>
    <w:rPr>
      <w:sz w:val="18"/>
    </w:rPr>
  </w:style>
  <w:style w:type="paragraph" w:customStyle="1" w:styleId="BodySmallRight">
    <w:name w:val="Body Small Right"/>
    <w:basedOn w:val="BodyTextRight"/>
    <w:rsid w:val="006C6543"/>
    <w:rPr>
      <w:sz w:val="18"/>
      <w:szCs w:val="18"/>
    </w:rPr>
  </w:style>
  <w:style w:type="paragraph" w:customStyle="1" w:styleId="MarginEdition">
    <w:name w:val="Margin Edition"/>
    <w:basedOn w:val="MarginNote"/>
    <w:rsid w:val="006C6543"/>
    <w:pPr>
      <w:spacing w:before="0" w:after="0"/>
    </w:pPr>
    <w:rPr>
      <w:rFonts w:ascii="Times New Roman" w:hAnsi="Times New Roman"/>
      <w:color w:val="999999"/>
    </w:rPr>
  </w:style>
  <w:style w:type="paragraph" w:customStyle="1" w:styleId="Spacer">
    <w:name w:val="Spacer"/>
    <w:basedOn w:val="Normal"/>
    <w:rsid w:val="006C6543"/>
    <w:rPr>
      <w:sz w:val="2"/>
      <w:szCs w:val="2"/>
    </w:rPr>
  </w:style>
  <w:style w:type="character" w:customStyle="1" w:styleId="Small">
    <w:name w:val="Small"/>
    <w:basedOn w:val="DefaultParagraphFont"/>
    <w:rsid w:val="006C6543"/>
    <w:rPr>
      <w:sz w:val="16"/>
    </w:rPr>
  </w:style>
  <w:style w:type="paragraph" w:customStyle="1" w:styleId="WideTable">
    <w:name w:val="Wide Table"/>
    <w:basedOn w:val="Normal"/>
    <w:rsid w:val="006C6543"/>
    <w:pPr>
      <w:ind w:left="-1418"/>
    </w:pPr>
    <w:rPr>
      <w:sz w:val="2"/>
      <w:szCs w:val="2"/>
    </w:rPr>
  </w:style>
  <w:style w:type="character" w:styleId="PageNumber">
    <w:name w:val="page number"/>
    <w:basedOn w:val="DefaultParagraphFont"/>
    <w:rsid w:val="006C6543"/>
  </w:style>
  <w:style w:type="paragraph" w:styleId="Quote">
    <w:name w:val="Quote"/>
    <w:basedOn w:val="Heading1"/>
    <w:link w:val="QuoteChar"/>
    <w:qFormat/>
    <w:rsid w:val="006C6543"/>
    <w:rPr>
      <w:b w:val="0"/>
      <w:sz w:val="72"/>
      <w:szCs w:val="72"/>
      <w:lang w:val="en-NZ"/>
    </w:rPr>
  </w:style>
  <w:style w:type="character" w:customStyle="1" w:styleId="QuoteChar">
    <w:name w:val="Quote Char"/>
    <w:basedOn w:val="DefaultParagraphFont"/>
    <w:link w:val="Quote"/>
    <w:rsid w:val="006C6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543"/>
    <w:pPr>
      <w:pageBreakBefore/>
    </w:pPr>
  </w:style>
  <w:style w:type="paragraph" w:customStyle="1" w:styleId="Border">
    <w:name w:val="Border"/>
    <w:basedOn w:val="Normal"/>
    <w:qFormat/>
    <w:rsid w:val="006C6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543"/>
    <w:rPr>
      <w:b/>
      <w:bCs/>
      <w:i/>
      <w:iCs/>
      <w:color w:val="auto"/>
    </w:rPr>
  </w:style>
  <w:style w:type="paragraph" w:styleId="IntenseQuote">
    <w:name w:val="Intense Quote"/>
    <w:basedOn w:val="Normal"/>
    <w:next w:val="Normal"/>
    <w:link w:val="IntenseQuoteChar"/>
    <w:uiPriority w:val="30"/>
    <w:qFormat/>
    <w:rsid w:val="006C6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5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6543"/>
    <w:rPr>
      <w:smallCaps/>
      <w:color w:val="auto"/>
      <w:u w:val="single"/>
    </w:rPr>
  </w:style>
  <w:style w:type="character" w:styleId="IntenseReference">
    <w:name w:val="Intense Reference"/>
    <w:basedOn w:val="DefaultParagraphFont"/>
    <w:uiPriority w:val="32"/>
    <w:qFormat/>
    <w:rsid w:val="006C6543"/>
    <w:rPr>
      <w:b/>
      <w:bCs/>
      <w:smallCaps/>
      <w:color w:val="auto"/>
      <w:spacing w:val="5"/>
      <w:u w:val="single"/>
    </w:rPr>
  </w:style>
  <w:style w:type="paragraph" w:customStyle="1" w:styleId="2ColumnHeading">
    <w:name w:val="2Column Heading"/>
    <w:basedOn w:val="BodyText"/>
    <w:qFormat/>
    <w:rsid w:val="006C6543"/>
    <w:pPr>
      <w:spacing w:after="60"/>
      <w:ind w:left="-2268"/>
    </w:pPr>
    <w:rPr>
      <w:b/>
    </w:rPr>
  </w:style>
  <w:style w:type="paragraph" w:customStyle="1" w:styleId="Heading1TOC">
    <w:name w:val="Heading1 TOC"/>
    <w:basedOn w:val="Normal"/>
    <w:qFormat/>
    <w:rsid w:val="006C6543"/>
    <w:pPr>
      <w:spacing w:before="240" w:after="120"/>
    </w:pPr>
    <w:rPr>
      <w:rFonts w:ascii="Times New Roman" w:hAnsi="Times New Roman"/>
      <w:b/>
      <w:sz w:val="32"/>
    </w:rPr>
  </w:style>
  <w:style w:type="paragraph" w:customStyle="1" w:styleId="Heading2TOC">
    <w:name w:val="Heading2 TOC"/>
    <w:basedOn w:val="Normal"/>
    <w:qFormat/>
    <w:rsid w:val="006C6543"/>
    <w:pPr>
      <w:spacing w:before="240" w:after="60"/>
    </w:pPr>
    <w:rPr>
      <w:rFonts w:ascii="Times New Roman" w:hAnsi="Times New Roman"/>
      <w:b/>
      <w:sz w:val="28"/>
    </w:rPr>
  </w:style>
  <w:style w:type="character" w:customStyle="1" w:styleId="Underline">
    <w:name w:val="Underline"/>
    <w:basedOn w:val="DefaultParagraphFont"/>
    <w:qFormat/>
    <w:rsid w:val="006C6543"/>
    <w:rPr>
      <w:u w:val="single"/>
    </w:rPr>
  </w:style>
  <w:style w:type="character" w:customStyle="1" w:styleId="BoldandItalics">
    <w:name w:val="Bold and Italics"/>
    <w:qFormat/>
    <w:rsid w:val="006C6543"/>
    <w:rPr>
      <w:b/>
      <w:i/>
      <w:u w:val="none"/>
    </w:rPr>
  </w:style>
  <w:style w:type="paragraph" w:styleId="BalloonText">
    <w:name w:val="Balloon Text"/>
    <w:basedOn w:val="Normal"/>
    <w:link w:val="BalloonTextChar"/>
    <w:rsid w:val="006C6543"/>
    <w:rPr>
      <w:rFonts w:ascii="Tahoma" w:hAnsi="Tahoma" w:cs="Tahoma"/>
      <w:sz w:val="16"/>
      <w:szCs w:val="16"/>
    </w:rPr>
  </w:style>
  <w:style w:type="character" w:customStyle="1" w:styleId="BalloonTextChar">
    <w:name w:val="Balloon Text Char"/>
    <w:basedOn w:val="DefaultParagraphFont"/>
    <w:link w:val="BalloonText"/>
    <w:rsid w:val="006C65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5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5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1201</Words>
  <Characters>7985</Characters>
  <Application>Microsoft Office Word</Application>
  <DocSecurity>0</DocSecurity>
  <Lines>285</Lines>
  <Paragraphs>165</Paragraphs>
  <ScaleCrop>false</ScaleCrop>
  <Company>Author-it Software Corporation Ltd.</Company>
  <LinksUpToDate>false</LinksUpToDate>
  <CharactersWithSpaces>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FNSACCT614B Prepare complex corporate financial reports</dc:title>
  <dc:subject>Approved</dc:subject>
  <dc:creator>Government Skills Australia</dc:creator>
  <cp:keywords>Release: 1</cp:keywords>
  <dc:description>Copyright © 1996-2007 Author-it Software Corporation Ltd., all rights reserved.</dc:description>
  <cp:lastModifiedBy>Alex Baker</cp:lastModifiedBy>
  <cp:revision>3</cp:revision>
  <dcterms:created xsi:type="dcterms:W3CDTF">2012-05-26T06:59:00Z</dcterms:created>
  <dcterms:modified xsi:type="dcterms:W3CDTF">2012-05-26T06:59:00Z</dcterms:modified>
</cp:coreProperties>
</file>