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A6B" w:rsidP="00381A6B">
      <w:pPr>
        <w:pStyle w:val="Title"/>
      </w:pPr>
      <w:r>
        <w:fldChar w:fldCharType="begin"/>
      </w:r>
      <w:r>
        <w:instrText xml:space="preserve"> TITLE   \* MERGEFORMAT </w:instrText>
      </w:r>
      <w:r>
        <w:fldChar w:fldCharType="separate"/>
      </w:r>
      <w:r>
        <w:t>FNSACCT610B Develop and implement financial strategies</w:t>
      </w:r>
      <w:r>
        <w:fldChar w:fldCharType="end"/>
      </w:r>
    </w:p>
    <w:p w:rsidR="00381A6B" w:rsidP="00381A6B">
      <w:pPr>
        <w:pStyle w:val="Version"/>
        <w:sectPr w:rsidSect="00107E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E0B" w:rsidP="00107E0B">
      <w:pPr>
        <w:pStyle w:val="SuperHeading"/>
      </w:pPr>
      <w:r w:rsidRPr="00107E0B">
        <w:t>FNSACCT610B Develop and implement financial strategies</w:t>
      </w:r>
    </w:p>
    <w:p w:rsidR="00000000" w:rsidRPr="00107E0B" w:rsidP="00107E0B">
      <w:pPr>
        <w:pStyle w:val="Heading1"/>
      </w:pPr>
      <w:bookmarkStart w:id="1" w:name="O_318147"/>
      <w:bookmarkEnd w:id="1"/>
      <w:r w:rsidRPr="00107E0B">
        <w:t>Modification History</w:t>
      </w:r>
    </w:p>
    <w:p w:rsidR="00000000" w:rsidRPr="00107E0B" w:rsidP="00107E0B">
      <w:pPr>
        <w:pStyle w:val="BodyText"/>
      </w:pPr>
      <w:r w:rsidRPr="00107E0B">
        <w:t>Not applicable.</w:t>
      </w:r>
    </w:p>
    <w:p w:rsidR="00000000" w:rsidRPr="00107E0B" w:rsidP="00107E0B">
      <w:pPr>
        <w:pStyle w:val="AllowPageBreak"/>
      </w:pPr>
    </w:p>
    <w:p w:rsidR="00000000" w:rsidRPr="00107E0B" w:rsidP="00107E0B">
      <w:pPr>
        <w:pStyle w:val="Heading1"/>
      </w:pPr>
      <w:bookmarkStart w:id="2" w:name="O_318148"/>
      <w:bookmarkEnd w:id="2"/>
      <w:r w:rsidRPr="00107E0B">
        <w:t>Unit Descriptor</w:t>
      </w:r>
    </w:p>
    <w:p w:rsidR="00000000" w:rsidRPr="00107E0B" w:rsidP="00107E0B">
      <w:pPr>
        <w:pStyle w:val="BodyText"/>
      </w:pPr>
      <w:r w:rsidRPr="00107E0B">
        <w:t>This unit covers the competency to develop and implement long term plans for the optimisation of financial outc</w:t>
      </w:r>
      <w:r w:rsidRPr="00107E0B">
        <w:t>omes for an organisation.</w:t>
      </w:r>
    </w:p>
    <w:p w:rsidR="00000000" w:rsidRPr="00107E0B" w:rsidP="00107E0B">
      <w:pPr>
        <w:pStyle w:val="BodyText"/>
      </w:pPr>
      <w:r w:rsidRPr="00107E0B">
        <w:t>This unit covers the competency to develop and implement long term plans for the optimisation of financial outcomes for an organisation.</w:t>
      </w:r>
    </w:p>
    <w:p w:rsidR="00000000" w:rsidRPr="00107E0B" w:rsidP="00107E0B">
      <w:pPr>
        <w:pStyle w:val="AllowPageBreak"/>
      </w:pPr>
    </w:p>
    <w:p w:rsidR="00000000" w:rsidRPr="00107E0B" w:rsidP="00107E0B">
      <w:pPr>
        <w:pStyle w:val="Heading1"/>
      </w:pPr>
      <w:bookmarkStart w:id="3" w:name="O_318141"/>
      <w:bookmarkEnd w:id="3"/>
      <w:r w:rsidRPr="00107E0B">
        <w:t>Application of the Unit</w:t>
      </w:r>
    </w:p>
    <w:p w:rsidR="00000000" w:rsidRPr="00107E0B" w:rsidP="00107E0B">
      <w:pPr>
        <w:pStyle w:val="BodyText"/>
      </w:pPr>
      <w:r w:rsidRPr="00107E0B">
        <w:t>This unit requires the application of skills and kno</w:t>
      </w:r>
      <w:r w:rsidRPr="00107E0B">
        <w:t xml:space="preserve">wledge required to develop and implement financial strategies. The unit encompasses reviewing data, determining options, implementing strategies and evaluating outcomes. </w:t>
      </w:r>
    </w:p>
    <w:p w:rsidR="00000000" w:rsidRPr="00107E0B" w:rsidP="00107E0B">
      <w:pPr>
        <w:pStyle w:val="BodyText"/>
      </w:pPr>
      <w:r w:rsidRPr="00107E0B">
        <w:t xml:space="preserve">The unit has application to all sectors of the financial services industry. </w:t>
      </w:r>
    </w:p>
    <w:p w:rsidR="00000000" w:rsidRPr="00107E0B" w:rsidP="00107E0B">
      <w:pPr>
        <w:pStyle w:val="BodyText"/>
      </w:pPr>
      <w:r w:rsidRPr="00107E0B">
        <w:t>This uni</w:t>
      </w:r>
      <w:r w:rsidRPr="00107E0B">
        <w:t xml:space="preserve">t requires the application of skills and knowledge required to develop and implement financial strategies. The unit encompasses reviewing data, determining options, implementing strategies and evaluating outcomes. </w:t>
      </w:r>
    </w:p>
    <w:p w:rsidR="00000000" w:rsidRPr="00107E0B" w:rsidP="00107E0B">
      <w:pPr>
        <w:pStyle w:val="BodyText"/>
      </w:pPr>
      <w:r w:rsidRPr="00107E0B">
        <w:t xml:space="preserve">The unit has application to all sectors of the financial services industry. </w:t>
      </w:r>
    </w:p>
    <w:p w:rsidR="00000000" w:rsidRPr="00107E0B" w:rsidP="00107E0B">
      <w:pPr>
        <w:pStyle w:val="AllowPageBreak"/>
      </w:pPr>
    </w:p>
    <w:p w:rsidR="00000000" w:rsidRPr="00107E0B" w:rsidP="00107E0B">
      <w:pPr>
        <w:pStyle w:val="Heading1"/>
      </w:pPr>
      <w:bookmarkStart w:id="4" w:name="O_318143"/>
      <w:bookmarkEnd w:id="4"/>
      <w:r w:rsidRPr="00107E0B">
        <w:t>Licensing/Regulatory Information</w:t>
      </w:r>
    </w:p>
    <w:p w:rsidR="00000000" w:rsidRPr="00107E0B" w:rsidP="00107E0B">
      <w:pPr>
        <w:pStyle w:val="BodyText"/>
      </w:pPr>
      <w:r w:rsidRPr="00107E0B">
        <w:t>Not applicable.</w:t>
      </w:r>
    </w:p>
    <w:p w:rsidR="00000000" w:rsidRPr="00107E0B" w:rsidP="00107E0B">
      <w:pPr>
        <w:pStyle w:val="AllowPageBreak"/>
      </w:pPr>
    </w:p>
    <w:p w:rsidR="00000000" w:rsidRPr="00107E0B" w:rsidP="00107E0B">
      <w:pPr>
        <w:pStyle w:val="Heading1"/>
      </w:pPr>
      <w:bookmarkStart w:id="5" w:name="O_318146"/>
      <w:bookmarkEnd w:id="5"/>
      <w:r w:rsidRPr="00107E0B">
        <w:t>Pre-Requisites</w:t>
      </w:r>
    </w:p>
    <w:p w:rsidR="00000000" w:rsidRPr="00107E0B" w:rsidP="00107E0B">
      <w:pPr>
        <w:pStyle w:val="BodyText"/>
      </w:pPr>
      <w:r w:rsidRPr="00107E0B">
        <w:t>Not applicable.</w:t>
      </w:r>
    </w:p>
    <w:p w:rsidR="00000000" w:rsidRPr="00107E0B" w:rsidP="00107E0B">
      <w:pPr>
        <w:pStyle w:val="AllowPageBreak"/>
      </w:pPr>
    </w:p>
    <w:p w:rsidR="00000000" w:rsidRPr="00107E0B" w:rsidP="00107E0B">
      <w:pPr>
        <w:pStyle w:val="Heading1"/>
      </w:pPr>
      <w:bookmarkStart w:id="6" w:name="O_318145"/>
      <w:bookmarkEnd w:id="6"/>
      <w:r w:rsidRPr="00107E0B">
        <w:t>Employability Skills Information</w:t>
      </w:r>
    </w:p>
    <w:p w:rsidR="00000000" w:rsidRPr="00107E0B" w:rsidP="00107E0B">
      <w:pPr>
        <w:pStyle w:val="BodyText"/>
      </w:pPr>
      <w:r w:rsidRPr="00107E0B">
        <w:t>The required ou</w:t>
      </w:r>
      <w:r w:rsidRPr="00107E0B">
        <w:t>tcomes described in this unit of competency contain applicable facets of employability skills. The Employability Skills Summary for the qualification in which this unit of competency is packaged, will assist in identifying employability skills requirements</w:t>
      </w:r>
      <w:r w:rsidRPr="00107E0B">
        <w:t>.</w:t>
      </w:r>
    </w:p>
    <w:p w:rsidR="00000000" w:rsidRPr="00107E0B" w:rsidP="00107E0B">
      <w:pPr>
        <w:pStyle w:val="BodyText"/>
      </w:pPr>
      <w:r w:rsidRPr="00107E0B">
        <w:t>The required outcomes described in this unit of competency contain applicable facets of employability skills. The Employability Skills Summary for the qualification in which this unit of competency is packaged, will assist in identifying employability sk</w:t>
      </w:r>
      <w:r w:rsidRPr="00107E0B">
        <w:t>ills requirements.</w:t>
      </w:r>
    </w:p>
    <w:p w:rsidR="00000000" w:rsidRPr="00107E0B" w:rsidP="00107E0B">
      <w:pPr>
        <w:pStyle w:val="AllowPageBreak"/>
      </w:pPr>
    </w:p>
    <w:p w:rsidR="00000000" w:rsidRPr="00107E0B" w:rsidP="00107E0B">
      <w:pPr>
        <w:pStyle w:val="Heading1"/>
      </w:pPr>
      <w:bookmarkStart w:id="7" w:name="O_318144"/>
      <w:bookmarkEnd w:id="7"/>
      <w:r w:rsidRPr="00107E0B">
        <w:t>Elements and Performance Criteria Pre-Content</w:t>
      </w:r>
    </w:p>
    <w:p w:rsidR="00000000" w:rsidRPr="00107E0B" w:rsidP="00107E0B">
      <w:pPr>
        <w:pStyle w:val="BodyText"/>
      </w:pPr>
      <w:r w:rsidRPr="00107E0B">
        <w:t>Elements define the essential outcomes of a unit of competency.</w:t>
      </w:r>
    </w:p>
    <w:p w:rsidR="00000000" w:rsidRPr="00107E0B" w:rsidP="00107E0B">
      <w:pPr>
        <w:pStyle w:val="BodyText"/>
      </w:pPr>
      <w:r w:rsidRPr="00107E0B">
        <w:t xml:space="preserve">Performance Criteria describe the required performance needed to demonstrate achievement of the Element. </w:t>
      </w:r>
      <w:r w:rsidRPr="00107E0B">
        <w:rPr>
          <w:rStyle w:val="SpecialBold"/>
        </w:rPr>
        <w:t xml:space="preserve">Bold, italicised </w:t>
      </w:r>
      <w:r w:rsidRPr="00107E0B">
        <w:t>terms are elaborated in the Range Statement. Assessment of performance is to be consistent with the Evidence Guide.</w:t>
      </w:r>
    </w:p>
    <w:p w:rsidR="00000000" w:rsidRPr="00107E0B" w:rsidP="00107E0B">
      <w:pPr>
        <w:pStyle w:val="BodyText"/>
      </w:pPr>
      <w:r w:rsidRPr="00107E0B">
        <w:t>Elements define the essential outcomes of a unit of competency.</w:t>
      </w:r>
    </w:p>
    <w:p w:rsidR="00000000" w:rsidRPr="00107E0B" w:rsidP="00107E0B">
      <w:pPr>
        <w:pStyle w:val="BodyText"/>
      </w:pPr>
      <w:r w:rsidRPr="00107E0B">
        <w:t>Performance Criteria describe the required performance need</w:t>
      </w:r>
      <w:r w:rsidRPr="00107E0B">
        <w:t xml:space="preserve">ed to demonstrate achievement of the Element. </w:t>
      </w:r>
      <w:r w:rsidRPr="00107E0B">
        <w:rPr>
          <w:rStyle w:val="SpecialBold"/>
        </w:rPr>
        <w:t xml:space="preserve">Bold, italicised </w:t>
      </w:r>
      <w:r w:rsidRPr="00107E0B">
        <w:t>terms are elaborated in the Range Statement. Assessment of performance is to be consistent with the Evidence Guide.</w:t>
      </w:r>
    </w:p>
    <w:p w:rsidR="00000000" w:rsidRPr="00107E0B" w:rsidP="00107E0B">
      <w:pPr>
        <w:pStyle w:val="AllowPageBreak"/>
      </w:pPr>
    </w:p>
    <w:p w:rsidR="00000000" w:rsidRPr="00107E0B" w:rsidP="00107E0B">
      <w:pPr>
        <w:pStyle w:val="Heading1"/>
      </w:pPr>
      <w:bookmarkStart w:id="8" w:name="O_318137"/>
      <w:bookmarkEnd w:id="8"/>
      <w:r w:rsidRPr="00107E0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81A6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Elements and Performance C</w:t>
            </w:r>
            <w:r w:rsidRPr="00107E0B">
              <w:rPr>
                <w:rStyle w:val="SpecialBold"/>
              </w:rPr>
              <w:t>riteria</w:t>
            </w:r>
          </w:p>
        </w:tc>
      </w:tr>
      <w:tr w:rsidTr="00381A6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Performance Criteria</w:t>
            </w:r>
          </w:p>
        </w:tc>
      </w:tr>
      <w:tr w:rsidTr="00381A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1</w:t>
            </w:r>
          </w:p>
        </w:tc>
        <w:tc>
          <w:tcPr>
            <w:tcW w:w="3000" w:type="dxa"/>
            <w:vMerge w:val="restart"/>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Review data</w:t>
            </w:r>
          </w:p>
        </w:tc>
        <w:tc>
          <w:tcPr>
            <w:tcW w:w="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1.1</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 xml:space="preserve">Costs of, and returns from, assets and liabilities are analysed using </w:t>
            </w:r>
            <w:r w:rsidRPr="00107E0B">
              <w:rPr>
                <w:rStyle w:val="SpecialBold"/>
              </w:rPr>
              <w:t xml:space="preserve">standard accounting techniques </w:t>
            </w:r>
            <w:r w:rsidRPr="00107E0B">
              <w:t>to identify extent of debt and equity financing</w:t>
            </w:r>
          </w:p>
        </w:tc>
      </w:tr>
      <w:tr w:rsidTr="00381A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1.2</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 xml:space="preserve">Data </w:t>
            </w:r>
            <w:r w:rsidRPr="00107E0B">
              <w:t>identifies costs of different forms of capital to the organisation</w:t>
            </w:r>
          </w:p>
        </w:tc>
      </w:tr>
      <w:tr w:rsidTr="00381A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1.3</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 xml:space="preserve">Asset and liability </w:t>
            </w:r>
            <w:r w:rsidRPr="00107E0B">
              <w:t xml:space="preserve">estimates and </w:t>
            </w:r>
            <w:r w:rsidRPr="00107E0B">
              <w:rPr>
                <w:rStyle w:val="SpecialBold"/>
              </w:rPr>
              <w:t xml:space="preserve">valuation criteria </w:t>
            </w:r>
            <w:r w:rsidRPr="00107E0B">
              <w:t xml:space="preserve">are standardised and regularly adjusted in line with changes to </w:t>
            </w:r>
            <w:r w:rsidRPr="00107E0B">
              <w:rPr>
                <w:rStyle w:val="SpecialBold"/>
              </w:rPr>
              <w:t>environmental factors</w:t>
            </w:r>
          </w:p>
        </w:tc>
      </w:tr>
      <w:tr w:rsidTr="00381A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2</w:t>
            </w:r>
          </w:p>
        </w:tc>
        <w:tc>
          <w:tcPr>
            <w:tcW w:w="3000" w:type="dxa"/>
            <w:vMerge w:val="restart"/>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Determine options</w:t>
            </w:r>
          </w:p>
        </w:tc>
        <w:tc>
          <w:tcPr>
            <w:tcW w:w="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2.1</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Long and short ter</w:t>
            </w:r>
            <w:r w:rsidRPr="00107E0B">
              <w:rPr>
                <w:rStyle w:val="SpecialBold"/>
              </w:rPr>
              <w:t xml:space="preserve">m periods </w:t>
            </w:r>
            <w:r w:rsidRPr="00107E0B">
              <w:t xml:space="preserve">are established for the organisation by reference to </w:t>
            </w:r>
            <w:r w:rsidRPr="00107E0B">
              <w:rPr>
                <w:rStyle w:val="SpecialBold"/>
              </w:rPr>
              <w:t>strategic goals</w:t>
            </w:r>
            <w:r w:rsidRPr="00107E0B">
              <w:t>, cash flow requirements and operational objectives</w:t>
            </w:r>
          </w:p>
        </w:tc>
      </w:tr>
      <w:tr w:rsidTr="00381A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2.2</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Long term financing requirements are identified and costed in line with the organisation's expected revenue returns, cash flows and asset base</w:t>
            </w:r>
          </w:p>
        </w:tc>
      </w:tr>
      <w:tr w:rsidTr="00381A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2.3</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 xml:space="preserve">Sources of financing </w:t>
            </w:r>
            <w:r w:rsidRPr="00107E0B">
              <w:t>are researched and evaluated to determine compatibility with the organisation's finan</w:t>
            </w:r>
            <w:r w:rsidRPr="00107E0B">
              <w:t>ce strategy</w:t>
            </w:r>
          </w:p>
        </w:tc>
      </w:tr>
      <w:tr w:rsidTr="00381A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2.4</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Investment analysis and financial planning requirements are identified and analysed</w:t>
            </w:r>
          </w:p>
        </w:tc>
      </w:tr>
      <w:tr w:rsidTr="00381A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3</w:t>
            </w:r>
          </w:p>
        </w:tc>
        <w:tc>
          <w:tcPr>
            <w:tcW w:w="3000" w:type="dxa"/>
            <w:vMerge w:val="restart"/>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Implement strategies</w:t>
            </w:r>
          </w:p>
        </w:tc>
        <w:tc>
          <w:tcPr>
            <w:tcW w:w="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3.1</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Financial plans are structured to meet strategic goals and provide returns within long and short term operational objectives</w:t>
            </w:r>
          </w:p>
        </w:tc>
      </w:tr>
      <w:tr w:rsidTr="00381A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3.2</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 xml:space="preserve">Short and long term objectives </w:t>
            </w:r>
            <w:r w:rsidRPr="00107E0B">
              <w:t>for organisation's capital structure are developed in line with operational and strategic plans</w:t>
            </w:r>
          </w:p>
        </w:tc>
      </w:tr>
      <w:tr w:rsidTr="00381A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3.3</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 xml:space="preserve">Internal control procedures </w:t>
            </w:r>
            <w:r w:rsidRPr="00107E0B">
              <w:t xml:space="preserve">are established in consultation with stakeholders to support implementation </w:t>
            </w:r>
            <w:r w:rsidRPr="00107E0B">
              <w:t>and to meet possible emergencies</w:t>
            </w:r>
          </w:p>
        </w:tc>
      </w:tr>
      <w:tr w:rsidTr="00381A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3.4</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Portfolio management techniques are applied</w:t>
            </w:r>
          </w:p>
        </w:tc>
      </w:tr>
      <w:tr w:rsidTr="00381A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4</w:t>
            </w:r>
          </w:p>
        </w:tc>
        <w:tc>
          <w:tcPr>
            <w:tcW w:w="3000" w:type="dxa"/>
            <w:vMerge w:val="restart"/>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Evaluate outcomes</w:t>
            </w:r>
          </w:p>
        </w:tc>
        <w:tc>
          <w:tcPr>
            <w:tcW w:w="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4.1</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Interrelationships between long and short term objectives are monitored to ensure consistency of returns between operational and investment plans</w:t>
            </w:r>
          </w:p>
        </w:tc>
      </w:tr>
      <w:tr w:rsidTr="00381A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4.2</w:t>
            </w:r>
          </w:p>
        </w:tc>
        <w:tc>
          <w:tcPr>
            <w:tcW w:w="51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Costs and returns are assessed to determine ongoing viability of strategy</w:t>
            </w:r>
          </w:p>
        </w:tc>
      </w:tr>
      <w:tr w:rsidTr="00381A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4.3</w:t>
            </w:r>
          </w:p>
        </w:tc>
        <w:tc>
          <w:tcPr>
            <w:tcW w:w="51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Tax efficiency of financial strategy is regularly reviewed to maintain optimal returns from assets</w:t>
            </w:r>
          </w:p>
        </w:tc>
      </w:tr>
    </w:tbl>
    <w:p w:rsidR="00000000" w:rsidRPr="00107E0B" w:rsidP="00107E0B">
      <w:pPr>
        <w:pStyle w:val="BodyText"/>
      </w:pPr>
    </w:p>
    <w:p w:rsidR="00000000" w:rsidRPr="00107E0B" w:rsidP="00107E0B">
      <w:pPr>
        <w:pStyle w:val="AllowPageBreak"/>
      </w:pPr>
    </w:p>
    <w:p w:rsidR="00000000" w:rsidRPr="00107E0B" w:rsidP="00107E0B">
      <w:pPr>
        <w:pStyle w:val="Heading1"/>
      </w:pPr>
      <w:bookmarkStart w:id="9" w:name="O_318142"/>
      <w:bookmarkEnd w:id="9"/>
      <w:r w:rsidRPr="00107E0B">
        <w:t>Required Skills and Knowledge</w:t>
      </w:r>
    </w:p>
    <w:tbl>
      <w:tblPr>
        <w:tblW w:w="0" w:type="auto"/>
        <w:tblLayout w:type="fixed"/>
        <w:tblCellMar>
          <w:left w:w="62" w:type="dxa"/>
          <w:right w:w="62" w:type="dxa"/>
        </w:tblCellMar>
        <w:tblLook w:val="0000"/>
      </w:tblPr>
      <w:tblGrid>
        <w:gridCol w:w="9000"/>
      </w:tblGrid>
      <w:tr w:rsidTr="00381A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REQUIRED KNOWLEDGE</w:t>
            </w:r>
            <w:r w:rsidRPr="00107E0B">
              <w:t>&amp;</w:t>
            </w:r>
            <w:r w:rsidRPr="00107E0B">
              <w:rPr>
                <w:rStyle w:val="SpecialBold"/>
              </w:rPr>
              <w:t>SKILLS</w:t>
            </w:r>
          </w:p>
        </w:tc>
      </w:tr>
      <w:tr w:rsidTr="00381A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rPr>
                <w:rStyle w:val="SpecialBold"/>
              </w:rPr>
              <w:t>Knowledge requirements include</w:t>
            </w:r>
            <w:r w:rsidRPr="00107E0B">
              <w:t xml:space="preserve">: </w:t>
            </w:r>
          </w:p>
          <w:p w:rsidR="00000000" w:rsidRPr="00107E0B" w:rsidP="00107E0B">
            <w:pPr>
              <w:pStyle w:val="BodyText"/>
            </w:pPr>
            <w:r w:rsidRPr="00107E0B">
              <w:t>principles of risk management and budgetary control</w:t>
            </w:r>
          </w:p>
          <w:p w:rsidR="00000000" w:rsidRPr="00107E0B" w:rsidP="00107E0B">
            <w:pPr>
              <w:pStyle w:val="BodyText"/>
            </w:pPr>
            <w:r w:rsidRPr="00107E0B">
              <w:t>methods of storing, recording and updating financial information</w:t>
            </w:r>
          </w:p>
          <w:p w:rsidR="00000000" w:rsidRPr="00107E0B" w:rsidP="00107E0B">
            <w:pPr>
              <w:pStyle w:val="BodyText"/>
            </w:pPr>
            <w:r w:rsidRPr="00107E0B">
              <w:t>financial legislation (eg taxable transactions, reporting requirements)</w:t>
            </w:r>
          </w:p>
          <w:p w:rsidR="00000000" w:rsidRPr="00107E0B" w:rsidP="00107E0B">
            <w:pPr>
              <w:pStyle w:val="BodyText"/>
            </w:pPr>
            <w:r w:rsidRPr="00107E0B">
              <w:t>ethical considerations for compliance</w:t>
            </w:r>
          </w:p>
          <w:p w:rsidR="00000000" w:rsidRPr="00107E0B" w:rsidP="00107E0B">
            <w:pPr>
              <w:pStyle w:val="BodyText"/>
            </w:pPr>
            <w:r w:rsidRPr="00107E0B">
              <w:t>understanding of organisational structures and lines of management authority</w:t>
            </w:r>
          </w:p>
          <w:p w:rsidR="00000000" w:rsidRPr="00107E0B" w:rsidP="00107E0B">
            <w:pPr>
              <w:pStyle w:val="BodyText"/>
            </w:pPr>
            <w:r w:rsidRPr="00107E0B">
              <w:t>principles of cost-benefit analysis and use of forecasting techniques</w:t>
            </w:r>
          </w:p>
          <w:p w:rsidR="00000000" w:rsidRPr="00107E0B" w:rsidP="00107E0B">
            <w:pPr>
              <w:pStyle w:val="BodyText"/>
            </w:pPr>
            <w:r w:rsidRPr="00107E0B">
              <w:t>principles of internal control (including statutory requirements)</w:t>
            </w:r>
          </w:p>
          <w:p w:rsidR="00000000" w:rsidP="00107E0B">
            <w:pPr>
              <w:pStyle w:val="BodyText"/>
              <w:rPr>
                <w:lang w:val="en-NZ"/>
              </w:rPr>
            </w:pPr>
            <w:r w:rsidRPr="00107E0B">
              <w:t>metho</w:t>
            </w:r>
            <w:r w:rsidRPr="00107E0B">
              <w:t xml:space="preserve">ds of financial evaluation </w:t>
            </w:r>
          </w:p>
        </w:tc>
      </w:tr>
      <w:tr w:rsidTr="00381A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rPr>
                <w:rStyle w:val="SpecialBold"/>
              </w:rPr>
              <w:t>Skills requirements include</w:t>
            </w:r>
            <w:r w:rsidRPr="00107E0B">
              <w:t xml:space="preserve">: </w:t>
            </w:r>
          </w:p>
          <w:p w:rsidR="00000000" w:rsidRPr="00107E0B" w:rsidP="00107E0B">
            <w:pPr>
              <w:pStyle w:val="BodyText"/>
            </w:pPr>
            <w:r w:rsidRPr="00107E0B">
              <w:t>interpersonal skills and communication skills (eg liaising, listening, consulting)</w:t>
            </w:r>
          </w:p>
          <w:p w:rsidR="00000000" w:rsidRPr="00107E0B" w:rsidP="00107E0B">
            <w:pPr>
              <w:pStyle w:val="BodyText"/>
            </w:pPr>
            <w:r w:rsidRPr="00107E0B">
              <w:t>report writing, preparation and formatting</w:t>
            </w:r>
          </w:p>
          <w:p w:rsidR="00000000" w:rsidRPr="00107E0B" w:rsidP="00107E0B">
            <w:pPr>
              <w:pStyle w:val="BodyText"/>
            </w:pPr>
            <w:r w:rsidRPr="00107E0B">
              <w:t>reading and interpreting financial statements and reports</w:t>
            </w:r>
          </w:p>
          <w:p w:rsidR="00000000" w:rsidRPr="00107E0B" w:rsidP="00107E0B">
            <w:pPr>
              <w:pStyle w:val="BodyText"/>
            </w:pPr>
            <w:r w:rsidRPr="00107E0B">
              <w:t>planning skil</w:t>
            </w:r>
            <w:r w:rsidRPr="00107E0B">
              <w:t>ls for timetabling and scheduling reports and lodgements</w:t>
            </w:r>
          </w:p>
          <w:p w:rsidR="00000000" w:rsidRPr="00107E0B" w:rsidP="00107E0B">
            <w:pPr>
              <w:pStyle w:val="BodyText"/>
            </w:pPr>
            <w:r w:rsidRPr="00107E0B">
              <w:t xml:space="preserve">research skills to identify valuations and applicable professional standards </w:t>
            </w:r>
          </w:p>
        </w:tc>
      </w:tr>
    </w:tbl>
    <w:p w:rsidR="00000000" w:rsidRPr="00107E0B" w:rsidP="00107E0B">
      <w:pPr>
        <w:pStyle w:val="BodyText"/>
      </w:pPr>
    </w:p>
    <w:p w:rsidR="00000000" w:rsidRPr="00107E0B" w:rsidP="00107E0B">
      <w:pPr>
        <w:pStyle w:val="AllowPageBreak"/>
      </w:pPr>
    </w:p>
    <w:p w:rsidR="00000000" w:rsidRPr="00107E0B" w:rsidP="00107E0B">
      <w:pPr>
        <w:pStyle w:val="Heading1"/>
      </w:pPr>
      <w:bookmarkStart w:id="10" w:name="O_318149"/>
      <w:bookmarkEnd w:id="10"/>
      <w:r w:rsidRPr="00107E0B">
        <w:t>Evidence Guide</w:t>
      </w:r>
    </w:p>
    <w:tbl>
      <w:tblPr>
        <w:tblW w:w="0" w:type="auto"/>
        <w:tblLayout w:type="fixed"/>
        <w:tblCellMar>
          <w:left w:w="62" w:type="dxa"/>
          <w:right w:w="62" w:type="dxa"/>
        </w:tblCellMar>
        <w:tblLook w:val="0000"/>
      </w:tblPr>
      <w:tblGrid>
        <w:gridCol w:w="4500"/>
        <w:gridCol w:w="4500"/>
      </w:tblGrid>
      <w:tr w:rsidTr="00381A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 xml:space="preserve"> EVIDENCE GUIDE</w:t>
            </w:r>
          </w:p>
        </w:tc>
      </w:tr>
      <w:tr w:rsidTr="00381A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Assessment of performance requirements in the unit should be undertaken in an industry context. The Evidence Guide identifies the critical aspects, knowledge and skills to be demonstrated to confirm competency for the unit. Competency is demonstrated by pe</w:t>
            </w:r>
            <w:r w:rsidRPr="00107E0B">
              <w:t xml:space="preserve">rformance of all stated criteria including the Range Statement applicable to the workplace. </w:t>
            </w:r>
          </w:p>
        </w:tc>
      </w:tr>
      <w:tr w:rsidTr="00381A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Overview of assessment requirements</w:t>
            </w:r>
          </w:p>
        </w:tc>
      </w:tr>
      <w:tr w:rsidTr="00381A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 xml:space="preserve">To achieve competency in this unit, a person must be able to demonstrate: </w:t>
            </w:r>
          </w:p>
          <w:p w:rsidR="00000000" w:rsidRPr="00107E0B" w:rsidP="00107E0B">
            <w:pPr>
              <w:pStyle w:val="BodyText"/>
            </w:pPr>
            <w:r w:rsidRPr="00107E0B">
              <w:t xml:space="preserve">knowledge of standard accounting techniques </w:t>
            </w:r>
          </w:p>
          <w:p w:rsidR="00000000" w:rsidRPr="00107E0B" w:rsidP="00107E0B">
            <w:pPr>
              <w:pStyle w:val="BodyText"/>
            </w:pPr>
            <w:r w:rsidRPr="00107E0B">
              <w:t>kno</w:t>
            </w:r>
            <w:r w:rsidRPr="00107E0B">
              <w:t xml:space="preserve">wledge of internal control procedures  </w:t>
            </w:r>
          </w:p>
          <w:p w:rsidR="00000000" w:rsidRPr="00107E0B" w:rsidP="00107E0B">
            <w:pPr>
              <w:pStyle w:val="BodyText"/>
            </w:pPr>
            <w:r w:rsidRPr="00107E0B">
              <w:t xml:space="preserve">knowledge of organisation's strategic goals </w:t>
            </w:r>
          </w:p>
          <w:p w:rsidR="00000000" w:rsidRPr="00107E0B" w:rsidP="00107E0B">
            <w:pPr>
              <w:pStyle w:val="BodyText"/>
            </w:pPr>
            <w:r w:rsidRPr="00107E0B">
              <w:t xml:space="preserve">knowledge of environmental factors </w:t>
            </w:r>
          </w:p>
          <w:p w:rsidR="00000000" w:rsidRPr="00107E0B" w:rsidP="00107E0B">
            <w:pPr>
              <w:pStyle w:val="BodyText"/>
            </w:pPr>
            <w:r w:rsidRPr="00107E0B">
              <w:t xml:space="preserve">ability to review data </w:t>
            </w:r>
          </w:p>
          <w:p w:rsidR="00000000" w:rsidRPr="00107E0B" w:rsidP="00107E0B">
            <w:pPr>
              <w:pStyle w:val="BodyText"/>
            </w:pPr>
            <w:r w:rsidRPr="00107E0B">
              <w:t xml:space="preserve">ability to determine options </w:t>
            </w:r>
          </w:p>
          <w:p w:rsidR="00000000" w:rsidRPr="00107E0B" w:rsidP="00107E0B">
            <w:pPr>
              <w:pStyle w:val="BodyText"/>
            </w:pPr>
            <w:r w:rsidRPr="00107E0B">
              <w:t>ability to implement strategic strategies</w:t>
            </w:r>
          </w:p>
          <w:p w:rsidR="00000000" w:rsidP="00107E0B">
            <w:pPr>
              <w:pStyle w:val="BodyText"/>
              <w:rPr>
                <w:lang w:val="en-NZ"/>
              </w:rPr>
            </w:pPr>
            <w:r w:rsidRPr="00107E0B">
              <w:t xml:space="preserve">ability to evaluate outcomes </w:t>
            </w:r>
          </w:p>
        </w:tc>
      </w:tr>
      <w:tr w:rsidTr="00381A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Critica</w:t>
            </w:r>
            <w:r w:rsidRPr="00107E0B">
              <w:rPr>
                <w:rStyle w:val="SpecialBold"/>
              </w:rPr>
              <w:t>l aspects of evidence</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Evidence required for demonstration of consistent performance</w:t>
            </w:r>
            <w:r w:rsidRPr="00107E0B">
              <w:t xml:space="preserve">: </w:t>
            </w:r>
          </w:p>
        </w:tc>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t>Competence in this unit must be assessed over a period of time in order to ensure consistency of performance over the Range Statement and contexts applicable to th</w:t>
            </w:r>
            <w:r w:rsidRPr="00107E0B">
              <w:t xml:space="preserve">e work environment.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Delivery</w:t>
            </w:r>
            <w:r w:rsidRPr="00107E0B">
              <w:t>/</w:t>
            </w:r>
            <w:r w:rsidRPr="00107E0B">
              <w:rPr>
                <w:rStyle w:val="SpecialBold"/>
              </w:rPr>
              <w:t>assessment relationship to other units</w:t>
            </w:r>
            <w:r w:rsidRPr="00107E0B">
              <w:t xml:space="preserv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 xml:space="preserve">Prerequisite units:   </w:t>
            </w:r>
          </w:p>
          <w:p w:rsidR="00000000" w:rsidP="00107E0B">
            <w:pPr>
              <w:pStyle w:val="BodyText"/>
              <w:rPr>
                <w:lang w:val="en-NZ"/>
              </w:rPr>
            </w:pPr>
            <w:r w:rsidRPr="00107E0B">
              <w:t xml:space="preserve">FNSACCT503B Manage budgets and forecasts. </w:t>
            </w:r>
          </w:p>
        </w:tc>
      </w:tr>
      <w:tr w:rsidTr="00381A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Assessment requirements</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Method of assessment</w:t>
            </w:r>
            <w:r w:rsidRPr="00107E0B">
              <w:t xml:space="preserv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For valid and reliable assessment of this unit, evidence should be g</w:t>
            </w:r>
            <w:r w:rsidRPr="00107E0B">
              <w:t>athered through a range of methods to indicate consistent performance.</w:t>
            </w:r>
          </w:p>
          <w:p w:rsidR="00000000" w:rsidP="00107E0B">
            <w:pPr>
              <w:pStyle w:val="BodyText"/>
              <w:rPr>
                <w:lang w:val="en-NZ"/>
              </w:rPr>
            </w:pPr>
            <w:r w:rsidRPr="00107E0B">
              <w:t>Assessment of this unit of competence will usually include observation of processes and procedures, oral and/or written questioning on underpinning knowledge and skills and other method</w:t>
            </w:r>
            <w:r w:rsidRPr="00107E0B">
              <w:t xml:space="preserve">s as required.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Context of assessment</w:t>
            </w:r>
            <w:r w:rsidRPr="00107E0B">
              <w:t xml:space="preserv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 xml:space="preserve">Assessment of performance requirements in this unit should be undertaken within the financial services industry context and should cover aspects of personal/financial responsibility and accountability. </w:t>
            </w:r>
          </w:p>
          <w:p w:rsidR="00000000" w:rsidP="00107E0B">
            <w:pPr>
              <w:pStyle w:val="BodyText"/>
              <w:rPr>
                <w:lang w:val="en-NZ"/>
              </w:rPr>
            </w:pPr>
            <w:r w:rsidRPr="00107E0B">
              <w:t>Aspects of c</w:t>
            </w:r>
            <w:r w:rsidRPr="00107E0B">
              <w:t xml:space="preserve">ompetency, including the attainment of relevant knowledge and skills, may be assessed in a relevant workplace, a closely simulated work environment, or other appropriate means that clearly meet industry competency requirements.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Resources required for assessment</w:t>
            </w:r>
            <w:r w:rsidRPr="00107E0B">
              <w:t xml:space="preserv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Assessment of this unit of competence requires access to suitable resources to demonstrate competence.</w:t>
            </w:r>
          </w:p>
          <w:p w:rsidR="00000000" w:rsidRPr="00107E0B" w:rsidP="00107E0B">
            <w:pPr>
              <w:pStyle w:val="BodyText"/>
            </w:pPr>
            <w:r w:rsidRPr="00107E0B">
              <w:t>Assessment instruments, including personal planner and assessment record book.</w:t>
            </w:r>
          </w:p>
          <w:p w:rsidR="00000000" w:rsidRPr="00107E0B" w:rsidP="00107E0B">
            <w:pPr>
              <w:pStyle w:val="BodyText"/>
            </w:pPr>
            <w:r w:rsidRPr="00107E0B">
              <w:t xml:space="preserve">Access to registered provider of assessment services. </w:t>
            </w:r>
          </w:p>
        </w:tc>
      </w:tr>
    </w:tbl>
    <w:p w:rsidR="00000000" w:rsidRPr="00107E0B" w:rsidP="00107E0B">
      <w:pPr>
        <w:pStyle w:val="BodyText"/>
      </w:pPr>
    </w:p>
    <w:p w:rsidR="00000000" w:rsidRPr="00107E0B" w:rsidP="00107E0B">
      <w:pPr>
        <w:pStyle w:val="AllowPageBreak"/>
      </w:pPr>
    </w:p>
    <w:p w:rsidR="00000000" w:rsidRPr="00107E0B" w:rsidP="00107E0B">
      <w:pPr>
        <w:pStyle w:val="Heading1"/>
      </w:pPr>
      <w:bookmarkStart w:id="11" w:name="O_318140"/>
      <w:bookmarkEnd w:id="11"/>
      <w:r w:rsidRPr="00107E0B">
        <w:t>Range Statement</w:t>
      </w:r>
    </w:p>
    <w:tbl>
      <w:tblPr>
        <w:tblW w:w="0" w:type="auto"/>
        <w:tblLayout w:type="fixed"/>
        <w:tblCellMar>
          <w:left w:w="62" w:type="dxa"/>
          <w:right w:w="62" w:type="dxa"/>
        </w:tblCellMar>
        <w:tblLook w:val="0000"/>
      </w:tblPr>
      <w:tblGrid>
        <w:gridCol w:w="4500"/>
        <w:gridCol w:w="4500"/>
      </w:tblGrid>
      <w:tr w:rsidTr="00381A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07E0B">
            <w:pPr>
              <w:pStyle w:val="BodyText"/>
              <w:rPr>
                <w:lang w:val="en-NZ"/>
              </w:rPr>
            </w:pPr>
          </w:p>
        </w:tc>
      </w:tr>
      <w:tr w:rsidTr="00381A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The Range Statement relates to the unit of competency as a whole. It allows for different work environments and situations that will affect performance.</w:t>
            </w:r>
          </w:p>
          <w:p w:rsidR="00000000" w:rsidP="00107E0B">
            <w:pPr>
              <w:pStyle w:val="BodyText"/>
              <w:rPr>
                <w:lang w:val="en-NZ"/>
              </w:rPr>
            </w:pPr>
            <w:r w:rsidRPr="00107E0B">
              <w:t>The follow</w:t>
            </w:r>
            <w:r w:rsidRPr="00107E0B">
              <w:t xml:space="preserve">ing variables may be present with training and assessment depending on the work situation, needs of the candidate, accessibility of the item, and local industry and regional contexts. If </w:t>
            </w:r>
            <w:r w:rsidRPr="00107E0B">
              <w:rPr>
                <w:rStyle w:val="SpecialBold"/>
              </w:rPr>
              <w:t>bold italicised</w:t>
            </w:r>
            <w:r w:rsidRPr="00107E0B">
              <w:t xml:space="preserve"> text is shown in Performance Criteria, details of the</w:t>
            </w:r>
            <w:r w:rsidRPr="00107E0B">
              <w:t xml:space="preserve"> text are provided in the Range Statement.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Standard accounting techniques</w:t>
            </w:r>
            <w:r w:rsidRPr="00107E0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discounted cash flows</w:t>
            </w:r>
          </w:p>
          <w:p w:rsidR="00000000" w:rsidRPr="00107E0B" w:rsidP="00107E0B">
            <w:pPr>
              <w:pStyle w:val="BodyText"/>
            </w:pPr>
            <w:r w:rsidRPr="00107E0B">
              <w:t>Internal Rate of Return, Net Present Value</w:t>
            </w:r>
          </w:p>
          <w:p w:rsidR="00000000" w:rsidRPr="00107E0B" w:rsidP="00107E0B">
            <w:pPr>
              <w:pStyle w:val="BodyText"/>
            </w:pPr>
            <w:r w:rsidRPr="00107E0B">
              <w:t>deprival asset valuations</w:t>
            </w:r>
          </w:p>
          <w:p w:rsidR="00000000" w:rsidRPr="00107E0B" w:rsidP="00107E0B">
            <w:pPr>
              <w:pStyle w:val="BodyText"/>
            </w:pPr>
            <w:r w:rsidRPr="00107E0B">
              <w:t>rates of return</w:t>
            </w:r>
          </w:p>
          <w:p w:rsidR="00000000" w:rsidRPr="00107E0B" w:rsidP="00107E0B">
            <w:pPr>
              <w:pStyle w:val="BodyText"/>
            </w:pPr>
            <w:r w:rsidRPr="00107E0B">
              <w:t>pay back break even periods</w:t>
            </w:r>
          </w:p>
          <w:p w:rsidR="00000000" w:rsidRPr="00107E0B" w:rsidP="00107E0B">
            <w:pPr>
              <w:pStyle w:val="BodyText"/>
            </w:pPr>
            <w:r w:rsidRPr="00107E0B">
              <w:t>impact statements</w:t>
            </w:r>
          </w:p>
          <w:p w:rsidR="00000000" w:rsidRPr="00107E0B" w:rsidP="00107E0B">
            <w:pPr>
              <w:pStyle w:val="BodyText"/>
            </w:pPr>
            <w:r w:rsidRPr="00107E0B">
              <w:t>pro-rata and percentage apportionment</w:t>
            </w:r>
          </w:p>
          <w:p w:rsidR="00000000" w:rsidP="00107E0B">
            <w:pPr>
              <w:pStyle w:val="BodyText"/>
              <w:rPr>
                <w:lang w:val="en-NZ"/>
              </w:rPr>
            </w:pPr>
            <w:r w:rsidRPr="00107E0B">
              <w:t xml:space="preserve">direct and indirect allocation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Datamay include</w:t>
            </w:r>
            <w:r w:rsidRPr="00107E0B">
              <w:t xml:space="preserv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budgets and forecasts</w:t>
            </w:r>
          </w:p>
          <w:p w:rsidR="00000000" w:rsidRPr="00107E0B" w:rsidP="00107E0B">
            <w:pPr>
              <w:pStyle w:val="BodyText"/>
            </w:pPr>
            <w:r w:rsidRPr="00107E0B">
              <w:t>financial statements and reports</w:t>
            </w:r>
          </w:p>
          <w:p w:rsidR="00000000" w:rsidRPr="00107E0B" w:rsidP="00107E0B">
            <w:pPr>
              <w:pStyle w:val="BodyText"/>
            </w:pPr>
            <w:r w:rsidRPr="00107E0B">
              <w:t>market valuations</w:t>
            </w:r>
          </w:p>
          <w:p w:rsidR="00000000" w:rsidRPr="00107E0B" w:rsidP="00107E0B">
            <w:pPr>
              <w:pStyle w:val="BodyText"/>
            </w:pPr>
            <w:r w:rsidRPr="00107E0B">
              <w:t>Australian Bureau of Statistics (ABS) economic data</w:t>
            </w:r>
          </w:p>
          <w:p w:rsidR="00000000" w:rsidRPr="00107E0B" w:rsidP="00107E0B">
            <w:pPr>
              <w:pStyle w:val="BodyText"/>
            </w:pPr>
            <w:r w:rsidRPr="00107E0B">
              <w:t xml:space="preserve">financial markets monitoring services (eg </w:t>
            </w:r>
            <w:r w:rsidRPr="00107E0B">
              <w:t>Reuters)</w:t>
            </w:r>
          </w:p>
          <w:p w:rsidR="00000000" w:rsidRPr="00107E0B" w:rsidP="00107E0B">
            <w:pPr>
              <w:pStyle w:val="BodyText"/>
            </w:pPr>
            <w:r w:rsidRPr="00107E0B">
              <w:t>credit ratings</w:t>
            </w:r>
          </w:p>
          <w:p w:rsidR="00000000" w:rsidP="00107E0B">
            <w:pPr>
              <w:pStyle w:val="BodyText"/>
              <w:rPr>
                <w:lang w:val="en-NZ"/>
              </w:rPr>
            </w:pPr>
            <w:r w:rsidRPr="00107E0B">
              <w:t xml:space="preserve">reserve bank of Australia long term bond rates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Assets and liabilities</w:t>
            </w:r>
            <w:r w:rsidRPr="00107E0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property investments</w:t>
            </w:r>
          </w:p>
          <w:p w:rsidR="00000000" w:rsidRPr="00107E0B" w:rsidP="00107E0B">
            <w:pPr>
              <w:pStyle w:val="BodyText"/>
            </w:pPr>
            <w:r w:rsidRPr="00107E0B">
              <w:t>shares, debentures, securities</w:t>
            </w:r>
          </w:p>
          <w:p w:rsidR="00000000" w:rsidRPr="00107E0B" w:rsidP="00107E0B">
            <w:pPr>
              <w:pStyle w:val="BodyText"/>
            </w:pPr>
            <w:r w:rsidRPr="00107E0B">
              <w:t>loans, leases, debts</w:t>
            </w:r>
          </w:p>
          <w:p w:rsidR="00000000" w:rsidRPr="00107E0B" w:rsidP="00107E0B">
            <w:pPr>
              <w:pStyle w:val="BodyText"/>
            </w:pPr>
            <w:r w:rsidRPr="00107E0B">
              <w:t>plant and equipment</w:t>
            </w:r>
          </w:p>
          <w:p w:rsidR="00000000" w:rsidRPr="00107E0B" w:rsidP="00107E0B">
            <w:pPr>
              <w:pStyle w:val="BodyText"/>
            </w:pPr>
            <w:r w:rsidRPr="00107E0B">
              <w:t>employee liabilities (eg long service leave)</w:t>
            </w:r>
          </w:p>
          <w:p w:rsidR="00000000" w:rsidRPr="00107E0B" w:rsidP="00107E0B">
            <w:pPr>
              <w:pStyle w:val="BodyText"/>
            </w:pPr>
            <w:r w:rsidRPr="00107E0B">
              <w:t>cash</w:t>
            </w:r>
          </w:p>
          <w:p w:rsidR="00000000" w:rsidRPr="00107E0B" w:rsidP="00107E0B">
            <w:pPr>
              <w:pStyle w:val="BodyText"/>
            </w:pPr>
            <w:r w:rsidRPr="00107E0B">
              <w:t>computer software</w:t>
            </w:r>
          </w:p>
          <w:p w:rsidR="00000000" w:rsidP="00107E0B">
            <w:pPr>
              <w:pStyle w:val="BodyText"/>
              <w:rPr>
                <w:lang w:val="en-NZ"/>
              </w:rPr>
            </w:pPr>
            <w:r w:rsidRPr="00107E0B">
              <w:t xml:space="preserve">stock and account receivable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Valuation criteria</w:t>
            </w:r>
            <w:r w:rsidRPr="00107E0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depreciation rate</w:t>
            </w:r>
          </w:p>
          <w:p w:rsidR="00000000" w:rsidRPr="00107E0B" w:rsidP="00107E0B">
            <w:pPr>
              <w:pStyle w:val="BodyText"/>
            </w:pPr>
            <w:r w:rsidRPr="00107E0B">
              <w:t>market estimates</w:t>
            </w:r>
          </w:p>
          <w:p w:rsidR="00000000" w:rsidRPr="00107E0B" w:rsidP="00107E0B">
            <w:pPr>
              <w:pStyle w:val="BodyText"/>
            </w:pPr>
            <w:r w:rsidRPr="00107E0B">
              <w:t>purchase prices</w:t>
            </w:r>
          </w:p>
          <w:p w:rsidR="00000000" w:rsidRPr="00107E0B" w:rsidP="00107E0B">
            <w:pPr>
              <w:pStyle w:val="BodyText"/>
            </w:pPr>
            <w:r w:rsidRPr="00107E0B">
              <w:t>repayment costs</w:t>
            </w:r>
          </w:p>
          <w:p w:rsidR="00000000" w:rsidRPr="00107E0B" w:rsidP="00107E0B">
            <w:pPr>
              <w:pStyle w:val="BodyText"/>
            </w:pPr>
            <w:r w:rsidRPr="00107E0B">
              <w:t>director's valuation</w:t>
            </w:r>
          </w:p>
          <w:p w:rsidR="00000000" w:rsidRPr="00107E0B" w:rsidP="00107E0B">
            <w:pPr>
              <w:pStyle w:val="BodyText"/>
            </w:pPr>
            <w:r w:rsidRPr="00107E0B">
              <w:t>asset backing</w:t>
            </w:r>
          </w:p>
          <w:p w:rsidR="00000000" w:rsidRPr="00107E0B" w:rsidP="00107E0B">
            <w:pPr>
              <w:pStyle w:val="BodyText"/>
            </w:pPr>
            <w:r w:rsidRPr="00107E0B">
              <w:t>earning capacity</w:t>
            </w:r>
          </w:p>
          <w:p w:rsidR="00000000" w:rsidP="00107E0B">
            <w:pPr>
              <w:pStyle w:val="BodyText"/>
              <w:rPr>
                <w:lang w:val="en-NZ"/>
              </w:rPr>
            </w:pPr>
            <w:r w:rsidRPr="00107E0B">
              <w:t xml:space="preserve">past profits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expected future profits</w:t>
            </w:r>
          </w:p>
          <w:p w:rsidR="00000000" w:rsidP="00107E0B">
            <w:pPr>
              <w:pStyle w:val="BodyText"/>
              <w:rPr>
                <w:lang w:val="en-NZ"/>
              </w:rPr>
            </w:pPr>
            <w:r w:rsidRPr="00107E0B">
              <w:t>receiver's valu</w:t>
            </w:r>
            <w:r w:rsidRPr="00107E0B">
              <w:t xml:space="preserve">ation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Environmental factors</w:t>
            </w:r>
            <w:r w:rsidRPr="00107E0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economic conditions and trends</w:t>
            </w:r>
          </w:p>
          <w:p w:rsidR="00000000" w:rsidRPr="00107E0B" w:rsidP="00107E0B">
            <w:pPr>
              <w:pStyle w:val="BodyText"/>
            </w:pPr>
            <w:r w:rsidRPr="00107E0B">
              <w:t>external risks</w:t>
            </w:r>
          </w:p>
          <w:p w:rsidR="00000000" w:rsidRPr="00107E0B" w:rsidP="00107E0B">
            <w:pPr>
              <w:pStyle w:val="BodyText"/>
            </w:pPr>
            <w:r w:rsidRPr="00107E0B">
              <w:t>competitors' behaviour</w:t>
            </w:r>
          </w:p>
          <w:p w:rsidR="00000000" w:rsidRPr="00107E0B" w:rsidP="00107E0B">
            <w:pPr>
              <w:pStyle w:val="BodyText"/>
            </w:pPr>
            <w:r w:rsidRPr="00107E0B">
              <w:t>market share</w:t>
            </w:r>
          </w:p>
          <w:p w:rsidR="00000000" w:rsidRPr="00107E0B" w:rsidP="00107E0B">
            <w:pPr>
              <w:pStyle w:val="BodyText"/>
            </w:pPr>
            <w:r w:rsidRPr="00107E0B">
              <w:t>consumer demand</w:t>
            </w:r>
          </w:p>
          <w:p w:rsidR="00000000" w:rsidRPr="00107E0B" w:rsidP="00107E0B">
            <w:pPr>
              <w:pStyle w:val="BodyText"/>
            </w:pPr>
            <w:r w:rsidRPr="00107E0B">
              <w:t>cost of capital</w:t>
            </w:r>
          </w:p>
          <w:p w:rsidR="00000000" w:rsidRPr="00107E0B" w:rsidP="00107E0B">
            <w:pPr>
              <w:pStyle w:val="BodyText"/>
            </w:pPr>
            <w:r w:rsidRPr="00107E0B">
              <w:t>skills shortages</w:t>
            </w:r>
          </w:p>
          <w:p w:rsidR="00000000" w:rsidRPr="00107E0B" w:rsidP="00107E0B">
            <w:pPr>
              <w:pStyle w:val="BodyText"/>
            </w:pPr>
            <w:r w:rsidRPr="00107E0B">
              <w:t>government financial policies</w:t>
            </w:r>
          </w:p>
          <w:p w:rsidR="00000000" w:rsidP="00107E0B">
            <w:pPr>
              <w:pStyle w:val="BodyText"/>
              <w:rPr>
                <w:lang w:val="en-NZ"/>
              </w:rPr>
            </w:pPr>
            <w:r w:rsidRPr="00107E0B">
              <w:t xml:space="preserve">factor markets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Long and short term periods</w:t>
            </w:r>
            <w:r w:rsidRPr="00107E0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monthly accounting</w:t>
            </w:r>
          </w:p>
          <w:p w:rsidR="00000000" w:rsidRPr="00107E0B" w:rsidP="00107E0B">
            <w:pPr>
              <w:pStyle w:val="BodyText"/>
            </w:pPr>
            <w:r w:rsidRPr="00107E0B">
              <w:t>quarterly reports</w:t>
            </w:r>
          </w:p>
          <w:p w:rsidR="00000000" w:rsidRPr="00107E0B" w:rsidP="00107E0B">
            <w:pPr>
              <w:pStyle w:val="BodyText"/>
            </w:pPr>
            <w:r w:rsidRPr="00107E0B">
              <w:t>half yearly budgets</w:t>
            </w:r>
          </w:p>
          <w:p w:rsidR="00000000" w:rsidRPr="00107E0B" w:rsidP="00107E0B">
            <w:pPr>
              <w:pStyle w:val="BodyText"/>
            </w:pPr>
            <w:r w:rsidRPr="00107E0B">
              <w:t>annual reporting</w:t>
            </w:r>
          </w:p>
          <w:p w:rsidR="00000000" w:rsidRPr="00107E0B" w:rsidP="00107E0B">
            <w:pPr>
              <w:pStyle w:val="BodyText"/>
            </w:pPr>
            <w:r w:rsidRPr="00107E0B">
              <w:t>tri-annual funding</w:t>
            </w:r>
          </w:p>
          <w:p w:rsidR="00000000" w:rsidP="00107E0B">
            <w:pPr>
              <w:pStyle w:val="BodyText"/>
              <w:rPr>
                <w:lang w:val="en-NZ"/>
              </w:rPr>
            </w:pPr>
            <w:r w:rsidRPr="00107E0B">
              <w:t xml:space="preserve">five year plans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Strategic goals</w:t>
            </w:r>
            <w:r w:rsidRPr="00107E0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survival</w:t>
            </w:r>
          </w:p>
          <w:p w:rsidR="00000000" w:rsidRPr="00107E0B" w:rsidP="00107E0B">
            <w:pPr>
              <w:pStyle w:val="BodyText"/>
            </w:pPr>
            <w:r w:rsidRPr="00107E0B">
              <w:t>short term profit</w:t>
            </w:r>
          </w:p>
          <w:p w:rsidR="00000000" w:rsidRPr="00107E0B" w:rsidP="00107E0B">
            <w:pPr>
              <w:pStyle w:val="BodyText"/>
            </w:pPr>
            <w:r w:rsidRPr="00107E0B">
              <w:t>long term profit</w:t>
            </w:r>
          </w:p>
          <w:p w:rsidR="00000000" w:rsidRPr="00107E0B" w:rsidP="00107E0B">
            <w:pPr>
              <w:pStyle w:val="BodyText"/>
            </w:pPr>
            <w:r w:rsidRPr="00107E0B">
              <w:t>liquidity</w:t>
            </w:r>
          </w:p>
          <w:p w:rsidR="00000000" w:rsidRPr="00107E0B" w:rsidP="00107E0B">
            <w:pPr>
              <w:pStyle w:val="BodyText"/>
            </w:pPr>
            <w:r w:rsidRPr="00107E0B">
              <w:t>solvency</w:t>
            </w:r>
          </w:p>
          <w:p w:rsidR="00000000" w:rsidRPr="00107E0B" w:rsidP="00107E0B">
            <w:pPr>
              <w:pStyle w:val="BodyText"/>
            </w:pPr>
            <w:r w:rsidRPr="00107E0B">
              <w:t>growth</w:t>
            </w:r>
          </w:p>
          <w:p w:rsidR="00000000" w:rsidP="00107E0B">
            <w:pPr>
              <w:pStyle w:val="BodyText"/>
              <w:rPr>
                <w:lang w:val="en-NZ"/>
              </w:rPr>
            </w:pPr>
            <w:r w:rsidRPr="00107E0B">
              <w:t xml:space="preserve">market share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Sources of financing</w:t>
            </w:r>
            <w:r w:rsidRPr="00107E0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 xml:space="preserve"> 'plough back'</w:t>
            </w:r>
          </w:p>
          <w:p w:rsidR="00000000" w:rsidRPr="00107E0B" w:rsidP="00107E0B">
            <w:pPr>
              <w:pStyle w:val="BodyText"/>
            </w:pPr>
            <w:r w:rsidRPr="00107E0B">
              <w:t>money market</w:t>
            </w:r>
          </w:p>
          <w:p w:rsidR="00000000" w:rsidRPr="00107E0B" w:rsidP="00107E0B">
            <w:pPr>
              <w:pStyle w:val="BodyText"/>
            </w:pPr>
            <w:r w:rsidRPr="00107E0B">
              <w:t>asset sales</w:t>
            </w:r>
          </w:p>
          <w:p w:rsidR="00000000" w:rsidRPr="00107E0B" w:rsidP="00107E0B">
            <w:pPr>
              <w:pStyle w:val="BodyText"/>
            </w:pPr>
            <w:r w:rsidRPr="00107E0B">
              <w:t>bank borrowing (long and short term)</w:t>
            </w:r>
          </w:p>
          <w:p w:rsidR="00000000" w:rsidRPr="00107E0B" w:rsidP="00107E0B">
            <w:pPr>
              <w:pStyle w:val="BodyText"/>
            </w:pPr>
            <w:r w:rsidRPr="00107E0B">
              <w:t>franchising</w:t>
            </w:r>
          </w:p>
          <w:p w:rsidR="00000000" w:rsidRPr="00107E0B" w:rsidP="00107E0B">
            <w:pPr>
              <w:pStyle w:val="BodyText"/>
            </w:pPr>
            <w:r w:rsidRPr="00107E0B">
              <w:t>venture capital</w:t>
            </w:r>
          </w:p>
          <w:p w:rsidR="00000000" w:rsidRPr="00107E0B" w:rsidP="00107E0B">
            <w:pPr>
              <w:pStyle w:val="BodyText"/>
            </w:pPr>
            <w:r w:rsidRPr="00107E0B">
              <w:t>new share releases</w:t>
            </w:r>
          </w:p>
          <w:p w:rsidR="00000000" w:rsidRPr="00107E0B" w:rsidP="00107E0B">
            <w:pPr>
              <w:pStyle w:val="BodyText"/>
            </w:pPr>
            <w:r w:rsidRPr="00107E0B">
              <w:t>government equity injections</w:t>
            </w:r>
          </w:p>
          <w:p w:rsidR="00000000" w:rsidP="00107E0B">
            <w:pPr>
              <w:pStyle w:val="BodyText"/>
              <w:rPr>
                <w:lang w:val="en-NZ"/>
              </w:rPr>
            </w:pPr>
            <w:r w:rsidRPr="00107E0B">
              <w:t xml:space="preserve">debentures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Short and long term objectives</w:t>
            </w:r>
            <w:r w:rsidRPr="00107E0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debt retir</w:t>
            </w:r>
            <w:r w:rsidRPr="00107E0B">
              <w:t>ement</w:t>
            </w:r>
          </w:p>
          <w:p w:rsidR="00000000" w:rsidRPr="00107E0B" w:rsidP="00107E0B">
            <w:pPr>
              <w:pStyle w:val="BodyText"/>
            </w:pPr>
            <w:r w:rsidRPr="00107E0B">
              <w:t>salaries and other employee obligations</w:t>
            </w:r>
          </w:p>
          <w:p w:rsidR="00000000" w:rsidRPr="00107E0B" w:rsidP="00107E0B">
            <w:pPr>
              <w:pStyle w:val="BodyText"/>
            </w:pPr>
            <w:r w:rsidRPr="00107E0B">
              <w:t>periodic payments (eg leases, loans)</w:t>
            </w:r>
          </w:p>
          <w:p w:rsidR="00000000" w:rsidRPr="00107E0B" w:rsidP="00107E0B">
            <w:pPr>
              <w:pStyle w:val="BodyText"/>
            </w:pPr>
            <w:r w:rsidRPr="00107E0B">
              <w:t>taxation payments</w:t>
            </w:r>
          </w:p>
          <w:p w:rsidR="00000000" w:rsidRPr="00107E0B" w:rsidP="00107E0B">
            <w:pPr>
              <w:pStyle w:val="BodyText"/>
            </w:pPr>
            <w:r w:rsidRPr="00107E0B">
              <w:t>superannuation</w:t>
            </w:r>
          </w:p>
          <w:p w:rsidR="00000000" w:rsidP="00107E0B">
            <w:pPr>
              <w:pStyle w:val="BodyText"/>
              <w:rPr>
                <w:lang w:val="en-NZ"/>
              </w:rPr>
            </w:pPr>
            <w:r w:rsidRPr="00107E0B">
              <w:t xml:space="preserve">dividends </w:t>
            </w:r>
          </w:p>
        </w:tc>
      </w:tr>
      <w:tr w:rsidTr="00381A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07E0B">
            <w:pPr>
              <w:pStyle w:val="BodyText"/>
              <w:rPr>
                <w:lang w:val="en-NZ"/>
              </w:rPr>
            </w:pPr>
            <w:r w:rsidRPr="00107E0B">
              <w:rPr>
                <w:rStyle w:val="SpecialBold"/>
              </w:rPr>
              <w:t>Internal control proceduresmay include</w:t>
            </w:r>
            <w:r w:rsidRPr="00107E0B">
              <w:t xml:space="preserve">: </w:t>
            </w:r>
          </w:p>
        </w:tc>
        <w:tc>
          <w:tcPr>
            <w:tcW w:w="4500" w:type="dxa"/>
            <w:tcBorders>
              <w:top w:val="nil"/>
              <w:left w:val="nil"/>
              <w:bottom w:val="nil"/>
              <w:right w:val="nil"/>
            </w:tcBorders>
            <w:tcMar>
              <w:top w:w="0" w:type="dxa"/>
              <w:left w:w="62" w:type="dxa"/>
              <w:bottom w:w="0" w:type="dxa"/>
              <w:right w:w="62" w:type="dxa"/>
            </w:tcMar>
          </w:tcPr>
          <w:p w:rsidR="00000000" w:rsidRPr="00107E0B" w:rsidP="00107E0B">
            <w:pPr>
              <w:pStyle w:val="BodyText"/>
            </w:pPr>
            <w:r w:rsidRPr="00107E0B">
              <w:t xml:space="preserve">identification, measurement and recording of revenue, assets, expenditure, liabilities </w:t>
            </w:r>
            <w:r w:rsidRPr="00107E0B">
              <w:t>and equity</w:t>
            </w:r>
          </w:p>
          <w:p w:rsidR="00000000" w:rsidRPr="00107E0B" w:rsidP="00107E0B">
            <w:pPr>
              <w:pStyle w:val="BodyText"/>
            </w:pPr>
            <w:r w:rsidRPr="00107E0B">
              <w:t>safeguarding and insurance of assets</w:t>
            </w:r>
          </w:p>
          <w:p w:rsidR="00000000" w:rsidRPr="00107E0B" w:rsidP="00107E0B">
            <w:pPr>
              <w:pStyle w:val="BodyText"/>
            </w:pPr>
            <w:r w:rsidRPr="00107E0B">
              <w:t>decision making authorities</w:t>
            </w:r>
          </w:p>
          <w:p w:rsidR="00000000" w:rsidRPr="00107E0B" w:rsidP="00107E0B">
            <w:pPr>
              <w:pStyle w:val="BodyText"/>
            </w:pPr>
            <w:r w:rsidRPr="00107E0B">
              <w:t>accuracy in valuations</w:t>
            </w:r>
          </w:p>
          <w:p w:rsidR="00000000" w:rsidRPr="00107E0B" w:rsidP="00107E0B">
            <w:pPr>
              <w:pStyle w:val="BodyText"/>
            </w:pPr>
            <w:r w:rsidRPr="00107E0B">
              <w:t>transparency in financial reporting</w:t>
            </w:r>
          </w:p>
          <w:p w:rsidR="00000000" w:rsidRPr="00107E0B" w:rsidP="00107E0B">
            <w:pPr>
              <w:pStyle w:val="BodyText"/>
            </w:pPr>
            <w:r w:rsidRPr="00107E0B">
              <w:t>risk management strategies</w:t>
            </w:r>
          </w:p>
          <w:p w:rsidR="00000000" w:rsidRPr="00107E0B" w:rsidP="00107E0B">
            <w:pPr>
              <w:pStyle w:val="BodyText"/>
            </w:pPr>
            <w:r w:rsidRPr="00107E0B">
              <w:t>corporate governance requirements</w:t>
            </w:r>
          </w:p>
          <w:p w:rsidR="00000000" w:rsidRPr="00107E0B" w:rsidP="00107E0B">
            <w:pPr>
              <w:pStyle w:val="BodyText"/>
            </w:pPr>
            <w:r w:rsidRPr="00107E0B">
              <w:t xml:space="preserve">control of cash </w:t>
            </w:r>
          </w:p>
        </w:tc>
      </w:tr>
    </w:tbl>
    <w:p w:rsidR="00000000" w:rsidRPr="00107E0B" w:rsidP="00107E0B">
      <w:pPr>
        <w:pStyle w:val="BodyText"/>
      </w:pPr>
    </w:p>
    <w:p w:rsidR="00000000" w:rsidRPr="00107E0B" w:rsidP="00107E0B">
      <w:pPr>
        <w:pStyle w:val="AllowPageBreak"/>
      </w:pPr>
    </w:p>
    <w:p w:rsidR="00000000" w:rsidRPr="00107E0B" w:rsidP="00107E0B">
      <w:pPr>
        <w:pStyle w:val="Heading1"/>
      </w:pPr>
      <w:bookmarkStart w:id="12" w:name="O_318139"/>
      <w:bookmarkEnd w:id="12"/>
      <w:r w:rsidRPr="00107E0B">
        <w:t>Unit Sector(s)</w:t>
      </w:r>
    </w:p>
    <w:p w:rsidR="00000000" w:rsidRPr="00107E0B" w:rsidP="00107E0B">
      <w:pPr>
        <w:pStyle w:val="BodyText"/>
      </w:pPr>
      <w:r w:rsidRPr="00107E0B">
        <w:t>Not applicable.</w:t>
      </w:r>
    </w:p>
    <w:p w:rsidR="00000000" w:rsidRPr="00107E0B" w:rsidP="00107E0B">
      <w:pPr>
        <w:pStyle w:val="AllowPageBreak"/>
      </w:pPr>
    </w:p>
    <w:p w:rsidR="00000000" w:rsidRPr="00107E0B" w:rsidP="00107E0B">
      <w:pPr>
        <w:pStyle w:val="Heading1"/>
      </w:pPr>
      <w:bookmarkStart w:id="13" w:name="O_318138"/>
      <w:bookmarkEnd w:id="13"/>
      <w:r w:rsidRPr="00107E0B">
        <w:t>Relationship to other units</w:t>
      </w:r>
    </w:p>
    <w:p w:rsidR="00000000" w:rsidRPr="00107E0B" w:rsidP="00107E0B">
      <w:pPr>
        <w:pStyle w:val="BodyText"/>
      </w:pPr>
      <w:r w:rsidRPr="00107E0B">
        <w:t>This unit replaces FNSACCT610B.</w:t>
      </w:r>
    </w:p>
    <w:p w:rsidR="00000000" w:rsidRPr="00107E0B" w:rsidP="00107E0B">
      <w:pPr>
        <w:pStyle w:val="BodyText"/>
      </w:pPr>
      <w:r w:rsidRPr="00107E0B">
        <w:t>This unit replaces FNSACCT610B.</w:t>
      </w:r>
    </w:p>
    <w:p w:rsidR="00000000" w:rsidRPr="00107E0B" w:rsidP="00107E0B"/>
    <w:sectPr w:rsidSect="00107E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A6B" w:rsidP="00381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A6B" w:rsidP="00107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1A6B" w:rsidP="00107E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81A6B" w:rsidP="00107E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A6B" w:rsidP="00381A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A6B" w:rsidP="00107E0B">
    <w:pPr>
      <w:pStyle w:val="Header"/>
      <w:framePr w:wrap="around"/>
    </w:pPr>
    <w:r>
      <w:fldChar w:fldCharType="begin"/>
    </w:r>
    <w:r>
      <w:instrText xml:space="preserve"> TITLE   \* MERGEFORMAT </w:instrText>
    </w:r>
    <w:r>
      <w:fldChar w:fldCharType="separate"/>
    </w:r>
    <w:r>
      <w:t>FNSACCT610B Develop and implement financial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1A6B" w:rsidP="00107E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E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7E0B"/>
    <w:pPr>
      <w:spacing w:before="360" w:after="60"/>
      <w:outlineLvl w:val="0"/>
    </w:pPr>
    <w:rPr>
      <w:sz w:val="32"/>
    </w:rPr>
  </w:style>
  <w:style w:type="paragraph" w:styleId="Heading2">
    <w:name w:val="heading 2"/>
    <w:basedOn w:val="HeadingBase"/>
    <w:next w:val="BodyText"/>
    <w:link w:val="Heading2Char"/>
    <w:qFormat/>
    <w:rsid w:val="00107E0B"/>
    <w:pPr>
      <w:keepLines/>
      <w:spacing w:before="240" w:after="120"/>
      <w:outlineLvl w:val="1"/>
    </w:pPr>
    <w:rPr>
      <w:sz w:val="28"/>
      <w:szCs w:val="40"/>
    </w:rPr>
  </w:style>
  <w:style w:type="paragraph" w:styleId="Heading3">
    <w:name w:val="heading 3"/>
    <w:basedOn w:val="HeadingBase"/>
    <w:next w:val="BodyText"/>
    <w:link w:val="Heading3Char"/>
    <w:qFormat/>
    <w:rsid w:val="00107E0B"/>
    <w:pPr>
      <w:spacing w:before="180" w:after="120"/>
      <w:outlineLvl w:val="2"/>
    </w:pPr>
    <w:rPr>
      <w:spacing w:val="-10"/>
      <w:kern w:val="32"/>
    </w:rPr>
  </w:style>
  <w:style w:type="paragraph" w:styleId="Heading4">
    <w:name w:val="heading 4"/>
    <w:basedOn w:val="HeadingBase"/>
    <w:next w:val="BodyText"/>
    <w:link w:val="Heading4Char"/>
    <w:qFormat/>
    <w:rsid w:val="00107E0B"/>
    <w:pPr>
      <w:spacing w:before="160" w:after="120"/>
      <w:outlineLvl w:val="3"/>
    </w:pPr>
    <w:rPr>
      <w:sz w:val="22"/>
    </w:rPr>
  </w:style>
  <w:style w:type="paragraph" w:styleId="Heading5">
    <w:name w:val="heading 5"/>
    <w:basedOn w:val="HeadingBase"/>
    <w:next w:val="Normal"/>
    <w:link w:val="Heading5Char"/>
    <w:qFormat/>
    <w:rsid w:val="00107E0B"/>
    <w:pPr>
      <w:spacing w:before="80"/>
      <w:outlineLvl w:val="4"/>
    </w:pPr>
    <w:rPr>
      <w:color w:val="918585"/>
      <w:sz w:val="20"/>
    </w:rPr>
  </w:style>
  <w:style w:type="paragraph" w:styleId="Heading6">
    <w:name w:val="heading 6"/>
    <w:basedOn w:val="HeadingBase"/>
    <w:next w:val="Normal"/>
    <w:link w:val="Heading6Char"/>
    <w:qFormat/>
    <w:rsid w:val="00107E0B"/>
    <w:pPr>
      <w:spacing w:before="60"/>
      <w:outlineLvl w:val="5"/>
    </w:pPr>
    <w:rPr>
      <w:color w:val="918585"/>
      <w:sz w:val="20"/>
    </w:rPr>
  </w:style>
  <w:style w:type="paragraph" w:styleId="Heading7">
    <w:name w:val="heading 7"/>
    <w:basedOn w:val="Normal"/>
    <w:next w:val="Normal"/>
    <w:link w:val="Heading7Char"/>
    <w:qFormat/>
    <w:rsid w:val="00107E0B"/>
    <w:pPr>
      <w:ind w:left="720"/>
      <w:outlineLvl w:val="6"/>
    </w:pPr>
    <w:rPr>
      <w:i/>
    </w:rPr>
  </w:style>
  <w:style w:type="paragraph" w:styleId="Heading8">
    <w:name w:val="heading 8"/>
    <w:basedOn w:val="Normal"/>
    <w:next w:val="Normal"/>
    <w:link w:val="Heading8Char"/>
    <w:qFormat/>
    <w:rsid w:val="00107E0B"/>
    <w:pPr>
      <w:ind w:left="720"/>
      <w:outlineLvl w:val="7"/>
    </w:pPr>
    <w:rPr>
      <w:i/>
    </w:rPr>
  </w:style>
  <w:style w:type="paragraph" w:styleId="Heading9">
    <w:name w:val="heading 9"/>
    <w:basedOn w:val="Normal"/>
    <w:next w:val="Normal"/>
    <w:link w:val="Heading9Char"/>
    <w:qFormat/>
    <w:rsid w:val="00107E0B"/>
    <w:pPr>
      <w:ind w:left="720"/>
      <w:outlineLvl w:val="8"/>
    </w:pPr>
    <w:rPr>
      <w:i/>
    </w:rPr>
  </w:style>
  <w:style w:type="character" w:default="1" w:styleId="DefaultParagraphFont">
    <w:name w:val="Default Paragraph Font"/>
    <w:uiPriority w:val="1"/>
    <w:unhideWhenUsed/>
    <w:rsid w:val="00107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E0B"/>
  </w:style>
  <w:style w:type="character" w:customStyle="1" w:styleId="Heading1Char">
    <w:name w:val="Heading 1 Char"/>
    <w:basedOn w:val="DefaultParagraphFont"/>
    <w:link w:val="Heading1"/>
    <w:rsid w:val="00107E0B"/>
    <w:rPr>
      <w:rFonts w:ascii="Times New Roman" w:eastAsia="Times New Roman" w:hAnsi="Times New Roman" w:cs="Times New Roman"/>
      <w:b/>
      <w:sz w:val="32"/>
      <w:szCs w:val="20"/>
      <w:lang w:eastAsia="en-US"/>
    </w:rPr>
  </w:style>
  <w:style w:type="paragraph" w:styleId="BodyText">
    <w:name w:val="Body Text"/>
    <w:basedOn w:val="Normal"/>
    <w:link w:val="BodyTextChar"/>
    <w:rsid w:val="00107E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7E0B"/>
    <w:rPr>
      <w:rFonts w:ascii="Times New Roman" w:eastAsia="Times New Roman" w:hAnsi="Times New Roman" w:cs="Times New Roman"/>
      <w:sz w:val="24"/>
      <w:lang w:val="en-US" w:eastAsia="en-US"/>
    </w:rPr>
  </w:style>
  <w:style w:type="paragraph" w:styleId="Footer">
    <w:name w:val="footer"/>
    <w:basedOn w:val="Normal"/>
    <w:link w:val="FooterChar"/>
    <w:rsid w:val="00107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E0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07E0B"/>
    <w:rPr>
      <w:b/>
      <w:spacing w:val="0"/>
    </w:rPr>
  </w:style>
  <w:style w:type="paragraph" w:styleId="Header">
    <w:name w:val="header"/>
    <w:basedOn w:val="Normal"/>
    <w:link w:val="HeaderChar"/>
    <w:rsid w:val="00107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E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7E0B"/>
    <w:pPr>
      <w:spacing w:before="240" w:after="120"/>
      <w:outlineLvl w:val="0"/>
    </w:pPr>
    <w:rPr>
      <w:rFonts w:ascii="Times New Roman" w:hAnsi="Times New Roman"/>
      <w:b/>
      <w:sz w:val="28"/>
    </w:rPr>
  </w:style>
  <w:style w:type="paragraph" w:customStyle="1" w:styleId="AllowPageBreak">
    <w:name w:val="AllowPageBreak"/>
    <w:rsid w:val="00107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E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E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E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E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E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7E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7E0B"/>
    <w:rPr>
      <w:rFonts w:ascii="Courier New" w:eastAsia="Times New Roman" w:hAnsi="Courier New" w:cs="Times New Roman"/>
      <w:i/>
      <w:szCs w:val="20"/>
      <w:lang w:val="en-US" w:eastAsia="en-US"/>
    </w:rPr>
  </w:style>
  <w:style w:type="paragraph" w:customStyle="1" w:styleId="HeadingBase">
    <w:name w:val="Heading Base"/>
    <w:rsid w:val="00107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E0B"/>
    <w:pPr>
      <w:tabs>
        <w:tab w:val="right" w:leader="dot" w:pos="9072"/>
      </w:tabs>
      <w:ind w:left="567"/>
    </w:pPr>
    <w:rPr>
      <w:szCs w:val="22"/>
    </w:rPr>
  </w:style>
  <w:style w:type="paragraph" w:customStyle="1" w:styleId="TOCBase">
    <w:name w:val="TOC Base"/>
    <w:rsid w:val="00107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E0B"/>
    <w:pPr>
      <w:tabs>
        <w:tab w:val="right" w:leader="dot" w:pos="9072"/>
      </w:tabs>
      <w:spacing w:before="40" w:after="40"/>
      <w:ind w:left="284"/>
    </w:pPr>
    <w:rPr>
      <w:rFonts w:ascii="Times New Roman" w:hAnsi="Times New Roman"/>
    </w:rPr>
  </w:style>
  <w:style w:type="paragraph" w:styleId="TOC1">
    <w:name w:val="toc 1"/>
    <w:basedOn w:val="TOCBase"/>
    <w:next w:val="Normal"/>
    <w:rsid w:val="00107E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E0B"/>
    <w:pPr>
      <w:spacing w:before="5040"/>
      <w:jc w:val="center"/>
    </w:pPr>
    <w:rPr>
      <w:sz w:val="48"/>
      <w:szCs w:val="72"/>
      <w:lang w:val="en-US"/>
    </w:rPr>
  </w:style>
  <w:style w:type="character" w:customStyle="1" w:styleId="TitleChar">
    <w:name w:val="Title Char"/>
    <w:basedOn w:val="DefaultParagraphFont"/>
    <w:link w:val="Title"/>
    <w:rsid w:val="00107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E0B"/>
    <w:pPr>
      <w:tabs>
        <w:tab w:val="left" w:pos="3600"/>
        <w:tab w:val="left" w:pos="3958"/>
      </w:tabs>
    </w:pPr>
  </w:style>
  <w:style w:type="paragraph" w:styleId="List">
    <w:name w:val="List"/>
    <w:basedOn w:val="BodyText"/>
    <w:next w:val="BodyText"/>
    <w:rsid w:val="00107E0B"/>
    <w:pPr>
      <w:tabs>
        <w:tab w:val="left" w:pos="340"/>
      </w:tabs>
      <w:spacing w:before="60" w:after="60"/>
      <w:ind w:left="340" w:hanging="340"/>
    </w:pPr>
  </w:style>
  <w:style w:type="paragraph" w:styleId="ListBullet">
    <w:name w:val="List Bullet"/>
    <w:basedOn w:val="List"/>
    <w:rsid w:val="00107E0B"/>
    <w:pPr>
      <w:numPr>
        <w:numId w:val="11"/>
      </w:numPr>
      <w:tabs>
        <w:tab w:val="clear" w:pos="340"/>
      </w:tabs>
      <w:spacing w:before="40" w:after="40"/>
    </w:pPr>
  </w:style>
  <w:style w:type="paragraph" w:customStyle="1" w:styleId="Note">
    <w:name w:val="Note"/>
    <w:basedOn w:val="BodyText"/>
    <w:rsid w:val="00107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E0B"/>
    <w:pPr>
      <w:framePr w:wrap="auto" w:hAnchor="text" w:y="6049"/>
    </w:pPr>
    <w:rPr>
      <w:color w:val="000000"/>
      <w:sz w:val="40"/>
    </w:rPr>
  </w:style>
  <w:style w:type="paragraph" w:customStyle="1" w:styleId="TOCTitle">
    <w:name w:val="TOCTitle"/>
    <w:basedOn w:val="Heading1"/>
    <w:rsid w:val="00107E0B"/>
    <w:pPr>
      <w:spacing w:after="240"/>
      <w:jc w:val="center"/>
      <w:outlineLvl w:val="9"/>
    </w:pPr>
    <w:rPr>
      <w:caps/>
    </w:rPr>
  </w:style>
  <w:style w:type="paragraph" w:customStyle="1" w:styleId="Version">
    <w:name w:val="Version"/>
    <w:rsid w:val="00107E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7E0B"/>
    <w:pPr>
      <w:numPr>
        <w:numId w:val="12"/>
      </w:numPr>
      <w:tabs>
        <w:tab w:val="clear" w:pos="680"/>
      </w:tabs>
    </w:pPr>
  </w:style>
  <w:style w:type="paragraph" w:styleId="Index1">
    <w:name w:val="index 1"/>
    <w:basedOn w:val="Normal"/>
    <w:next w:val="Normal"/>
    <w:semiHidden/>
    <w:rsid w:val="00107E0B"/>
    <w:pPr>
      <w:keepNext w:val="0"/>
      <w:tabs>
        <w:tab w:val="right" w:pos="4176"/>
      </w:tabs>
      <w:ind w:left="198" w:hanging="198"/>
    </w:pPr>
    <w:rPr>
      <w:rFonts w:ascii="Garamond" w:hAnsi="Garamond"/>
    </w:rPr>
  </w:style>
  <w:style w:type="paragraph" w:styleId="IndexHeading">
    <w:name w:val="index heading"/>
    <w:basedOn w:val="Normal"/>
    <w:next w:val="Index1"/>
    <w:semiHidden/>
    <w:rsid w:val="00107E0B"/>
    <w:pPr>
      <w:spacing w:before="120" w:after="120"/>
    </w:pPr>
    <w:rPr>
      <w:rFonts w:ascii="Arial" w:hAnsi="Arial"/>
      <w:b/>
      <w:color w:val="918585"/>
      <w:sz w:val="24"/>
    </w:rPr>
  </w:style>
  <w:style w:type="paragraph" w:customStyle="1" w:styleId="Chapter">
    <w:name w:val="Chapter"/>
    <w:basedOn w:val="Normal"/>
    <w:rsid w:val="00107E0B"/>
    <w:pPr>
      <w:spacing w:before="240"/>
    </w:pPr>
    <w:rPr>
      <w:rFonts w:ascii="Times New Roman" w:hAnsi="Times New Roman"/>
      <w:smallCaps/>
      <w:spacing w:val="80"/>
      <w:sz w:val="28"/>
    </w:rPr>
  </w:style>
  <w:style w:type="paragraph" w:customStyle="1" w:styleId="InChapter">
    <w:name w:val="InChapter"/>
    <w:basedOn w:val="Heading3"/>
    <w:rsid w:val="00107E0B"/>
    <w:pPr>
      <w:spacing w:after="240"/>
      <w:outlineLvl w:val="9"/>
    </w:pPr>
    <w:rPr>
      <w:noProof/>
    </w:rPr>
  </w:style>
  <w:style w:type="paragraph" w:styleId="Index2">
    <w:name w:val="index 2"/>
    <w:basedOn w:val="Normal"/>
    <w:next w:val="Normal"/>
    <w:semiHidden/>
    <w:rsid w:val="00107E0B"/>
    <w:pPr>
      <w:tabs>
        <w:tab w:val="right" w:pos="4176"/>
      </w:tabs>
      <w:ind w:left="568" w:hanging="284"/>
    </w:pPr>
    <w:rPr>
      <w:rFonts w:ascii="Garamond" w:hAnsi="Garamond"/>
    </w:rPr>
  </w:style>
  <w:style w:type="paragraph" w:customStyle="1" w:styleId="Byline">
    <w:name w:val="Byline"/>
    <w:rsid w:val="00107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E0B"/>
    <w:pPr>
      <w:tabs>
        <w:tab w:val="clear" w:pos="3600"/>
        <w:tab w:val="clear" w:pos="3958"/>
      </w:tabs>
      <w:jc w:val="right"/>
    </w:pPr>
  </w:style>
  <w:style w:type="character" w:styleId="Emphasis">
    <w:name w:val="Emphasis"/>
    <w:basedOn w:val="DefaultParagraphFont"/>
    <w:qFormat/>
    <w:rsid w:val="00107E0B"/>
    <w:rPr>
      <w:i/>
    </w:rPr>
  </w:style>
  <w:style w:type="paragraph" w:styleId="Caption">
    <w:name w:val="caption"/>
    <w:basedOn w:val="BodyText"/>
    <w:next w:val="Normal"/>
    <w:qFormat/>
    <w:rsid w:val="00107E0B"/>
    <w:pPr>
      <w:framePr w:w="2268" w:hSpace="181" w:vSpace="181" w:wrap="around" w:vAnchor="text" w:hAnchor="page" w:x="1135" w:y="285" w:anchorLock="1"/>
    </w:pPr>
    <w:rPr>
      <w:i/>
    </w:rPr>
  </w:style>
  <w:style w:type="paragraph" w:customStyle="1" w:styleId="MiniTOCTitle">
    <w:name w:val="MiniTOCTitle"/>
    <w:basedOn w:val="Heading4"/>
    <w:rsid w:val="00107E0B"/>
    <w:pPr>
      <w:spacing w:before="240"/>
      <w:outlineLvl w:val="9"/>
    </w:pPr>
    <w:rPr>
      <w:noProof/>
      <w:sz w:val="24"/>
    </w:rPr>
  </w:style>
  <w:style w:type="paragraph" w:customStyle="1" w:styleId="MiniTOCItem">
    <w:name w:val="MiniTOCItem"/>
    <w:basedOn w:val="ListBullet"/>
    <w:rsid w:val="00107E0B"/>
    <w:pPr>
      <w:numPr>
        <w:numId w:val="0"/>
      </w:numPr>
      <w:tabs>
        <w:tab w:val="right" w:leader="dot" w:pos="6521"/>
      </w:tabs>
      <w:spacing w:before="0" w:after="0"/>
    </w:pPr>
  </w:style>
  <w:style w:type="paragraph" w:customStyle="1" w:styleId="TOFTitle">
    <w:name w:val="TOFTitle"/>
    <w:basedOn w:val="TOCTitle"/>
    <w:rsid w:val="00107E0B"/>
  </w:style>
  <w:style w:type="paragraph" w:styleId="TableofFigures">
    <w:name w:val="table of figures"/>
    <w:basedOn w:val="Normal"/>
    <w:next w:val="Normal"/>
    <w:semiHidden/>
    <w:rsid w:val="00107E0B"/>
    <w:pPr>
      <w:tabs>
        <w:tab w:val="right" w:leader="dot" w:pos="9072"/>
      </w:tabs>
      <w:ind w:left="970" w:hanging="403"/>
    </w:pPr>
    <w:rPr>
      <w:rFonts w:ascii="Times New Roman" w:hAnsi="Times New Roman"/>
      <w:b/>
    </w:rPr>
  </w:style>
  <w:style w:type="paragraph" w:styleId="ListNumber">
    <w:name w:val="List Number"/>
    <w:basedOn w:val="List"/>
    <w:rsid w:val="00107E0B"/>
    <w:pPr>
      <w:numPr>
        <w:numId w:val="9"/>
      </w:numPr>
    </w:pPr>
  </w:style>
  <w:style w:type="character" w:customStyle="1" w:styleId="WingdingSymbols">
    <w:name w:val="Wingding Symbols"/>
    <w:rsid w:val="00107E0B"/>
    <w:rPr>
      <w:rFonts w:ascii="Wingdings" w:hAnsi="Wingdings"/>
    </w:rPr>
  </w:style>
  <w:style w:type="paragraph" w:customStyle="1" w:styleId="TableHeading">
    <w:name w:val="Table Heading"/>
    <w:basedOn w:val="HeadingBase"/>
    <w:rsid w:val="00107E0B"/>
    <w:pPr>
      <w:keepLines/>
      <w:pBdr>
        <w:bottom w:val="single" w:sz="6" w:space="1" w:color="918585"/>
      </w:pBdr>
      <w:spacing w:before="240"/>
    </w:pPr>
  </w:style>
  <w:style w:type="character" w:customStyle="1" w:styleId="HotSpot">
    <w:name w:val="HotSpot"/>
    <w:rsid w:val="00107E0B"/>
    <w:rPr>
      <w:color w:val="0033CC"/>
      <w:u w:val="none"/>
    </w:rPr>
  </w:style>
  <w:style w:type="paragraph" w:customStyle="1" w:styleId="BodyTextRight">
    <w:name w:val="Body Text Right"/>
    <w:basedOn w:val="BodyText"/>
    <w:rsid w:val="00107E0B"/>
    <w:pPr>
      <w:spacing w:before="0" w:after="0"/>
      <w:jc w:val="right"/>
    </w:pPr>
  </w:style>
  <w:style w:type="paragraph" w:styleId="Index3">
    <w:name w:val="index 3"/>
    <w:basedOn w:val="ListNumber2"/>
    <w:next w:val="Normal"/>
    <w:semiHidden/>
    <w:rsid w:val="00107E0B"/>
    <w:pPr>
      <w:numPr>
        <w:numId w:val="0"/>
      </w:numPr>
      <w:tabs>
        <w:tab w:val="right" w:leader="dot" w:pos="4176"/>
      </w:tabs>
    </w:pPr>
  </w:style>
  <w:style w:type="paragraph" w:styleId="ListNumber2">
    <w:name w:val="List Number 2"/>
    <w:basedOn w:val="List2"/>
    <w:rsid w:val="00107E0B"/>
    <w:pPr>
      <w:numPr>
        <w:numId w:val="8"/>
      </w:numPr>
      <w:tabs>
        <w:tab w:val="clear" w:pos="1060"/>
      </w:tabs>
    </w:pPr>
  </w:style>
  <w:style w:type="paragraph" w:customStyle="1" w:styleId="MarginNote">
    <w:name w:val="Margin Note"/>
    <w:basedOn w:val="BodyText"/>
    <w:rsid w:val="00107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E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7E0B"/>
    <w:rPr>
      <w:sz w:val="32"/>
    </w:rPr>
  </w:style>
  <w:style w:type="paragraph" w:customStyle="1" w:styleId="HeadingProcedure">
    <w:name w:val="Heading Procedure"/>
    <w:basedOn w:val="HeadingBase"/>
    <w:next w:val="Normal"/>
    <w:rsid w:val="00107E0B"/>
    <w:pPr>
      <w:tabs>
        <w:tab w:val="left" w:pos="0"/>
      </w:tabs>
      <w:spacing w:before="120" w:after="60"/>
    </w:pPr>
    <w:rPr>
      <w:i/>
      <w:color w:val="918585"/>
      <w:sz w:val="22"/>
    </w:rPr>
  </w:style>
  <w:style w:type="paragraph" w:customStyle="1" w:styleId="TableBodyText">
    <w:name w:val="Table Body Text"/>
    <w:basedOn w:val="BodyText"/>
    <w:rsid w:val="00107E0B"/>
    <w:pPr>
      <w:spacing w:before="60" w:after="60"/>
    </w:pPr>
  </w:style>
  <w:style w:type="paragraph" w:styleId="ListContinue">
    <w:name w:val="List Continue"/>
    <w:basedOn w:val="List"/>
    <w:rsid w:val="00107E0B"/>
    <w:pPr>
      <w:ind w:firstLine="0"/>
    </w:pPr>
  </w:style>
  <w:style w:type="paragraph" w:customStyle="1" w:styleId="ListNote">
    <w:name w:val="List Note"/>
    <w:basedOn w:val="List"/>
    <w:rsid w:val="00107E0B"/>
    <w:pPr>
      <w:pBdr>
        <w:top w:val="single" w:sz="6" w:space="2" w:color="918585"/>
        <w:bottom w:val="single" w:sz="6" w:space="2" w:color="918585"/>
      </w:pBdr>
      <w:tabs>
        <w:tab w:val="left" w:pos="1021"/>
      </w:tabs>
      <w:ind w:firstLine="0"/>
    </w:pPr>
  </w:style>
  <w:style w:type="paragraph" w:customStyle="1" w:styleId="Warning">
    <w:name w:val="Warning"/>
    <w:basedOn w:val="BodyText"/>
    <w:rsid w:val="00107E0B"/>
    <w:pPr>
      <w:shd w:val="clear" w:color="auto" w:fill="D9D9D9"/>
      <w:tabs>
        <w:tab w:val="left" w:pos="992"/>
      </w:tabs>
      <w:ind w:left="119" w:right="119"/>
    </w:pPr>
    <w:rPr>
      <w:sz w:val="20"/>
    </w:rPr>
  </w:style>
  <w:style w:type="paragraph" w:customStyle="1" w:styleId="MarginIcons">
    <w:name w:val="Margin Icons"/>
    <w:basedOn w:val="BodyText"/>
    <w:rsid w:val="00107E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E0B"/>
    <w:rPr>
      <w:rFonts w:ascii="Courier New" w:hAnsi="Courier New"/>
    </w:rPr>
  </w:style>
  <w:style w:type="paragraph" w:customStyle="1" w:styleId="NoteBullet">
    <w:name w:val="Note Bullet"/>
    <w:basedOn w:val="Note"/>
    <w:rsid w:val="00107E0B"/>
    <w:pPr>
      <w:tabs>
        <w:tab w:val="clear" w:pos="680"/>
      </w:tabs>
      <w:spacing w:before="60" w:after="60"/>
    </w:pPr>
  </w:style>
  <w:style w:type="paragraph" w:customStyle="1" w:styleId="SubHeading2">
    <w:name w:val="SubHeading2"/>
    <w:basedOn w:val="HeadingBase"/>
    <w:rsid w:val="00107E0B"/>
    <w:pPr>
      <w:spacing w:before="240" w:after="60"/>
    </w:pPr>
    <w:rPr>
      <w:sz w:val="20"/>
    </w:rPr>
  </w:style>
  <w:style w:type="paragraph" w:customStyle="1" w:styleId="SubHeading1">
    <w:name w:val="SubHeading1"/>
    <w:basedOn w:val="HeadingBase"/>
    <w:rsid w:val="00107E0B"/>
    <w:pPr>
      <w:spacing w:before="240" w:after="60"/>
    </w:pPr>
    <w:rPr>
      <w:color w:val="918585"/>
      <w:sz w:val="22"/>
    </w:rPr>
  </w:style>
  <w:style w:type="paragraph" w:customStyle="1" w:styleId="SideHeading">
    <w:name w:val="Side Heading"/>
    <w:basedOn w:val="HeadingBase"/>
    <w:rsid w:val="00107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E0B"/>
    <w:pPr>
      <w:numPr>
        <w:numId w:val="10"/>
      </w:numPr>
    </w:pPr>
  </w:style>
  <w:style w:type="paragraph" w:styleId="PlainText">
    <w:name w:val="Plain Text"/>
    <w:basedOn w:val="Normal"/>
    <w:link w:val="PlainTextChar"/>
    <w:rsid w:val="00107E0B"/>
    <w:rPr>
      <w:sz w:val="20"/>
    </w:rPr>
  </w:style>
  <w:style w:type="character" w:customStyle="1" w:styleId="PlainTextChar">
    <w:name w:val="Plain Text Char"/>
    <w:basedOn w:val="DefaultParagraphFont"/>
    <w:link w:val="PlainText"/>
    <w:rsid w:val="00107E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7E0B"/>
    <w:rPr>
      <w:b/>
      <w:smallCaps/>
    </w:rPr>
  </w:style>
  <w:style w:type="paragraph" w:customStyle="1" w:styleId="TableListNumber">
    <w:name w:val="Table List Number"/>
    <w:basedOn w:val="ListNumber"/>
    <w:rsid w:val="00107E0B"/>
    <w:pPr>
      <w:numPr>
        <w:numId w:val="0"/>
      </w:numPr>
    </w:pPr>
  </w:style>
  <w:style w:type="paragraph" w:styleId="TOC4">
    <w:name w:val="toc 4"/>
    <w:basedOn w:val="TOCBase"/>
    <w:next w:val="Normal"/>
    <w:semiHidden/>
    <w:rsid w:val="00107E0B"/>
    <w:pPr>
      <w:tabs>
        <w:tab w:val="right" w:leader="dot" w:pos="9071"/>
      </w:tabs>
      <w:ind w:left="1701"/>
    </w:pPr>
  </w:style>
  <w:style w:type="paragraph" w:customStyle="1" w:styleId="ListAlpha">
    <w:name w:val="List Alpha"/>
    <w:basedOn w:val="List"/>
    <w:rsid w:val="00107E0B"/>
    <w:pPr>
      <w:numPr>
        <w:numId w:val="7"/>
      </w:numPr>
    </w:pPr>
  </w:style>
  <w:style w:type="paragraph" w:customStyle="1" w:styleId="ListAlpha2">
    <w:name w:val="List Alpha 2"/>
    <w:basedOn w:val="List2"/>
    <w:rsid w:val="00107E0B"/>
    <w:pPr>
      <w:numPr>
        <w:numId w:val="6"/>
      </w:numPr>
    </w:pPr>
  </w:style>
  <w:style w:type="paragraph" w:styleId="List2">
    <w:name w:val="List 2"/>
    <w:basedOn w:val="BodyText"/>
    <w:rsid w:val="00107E0B"/>
    <w:pPr>
      <w:tabs>
        <w:tab w:val="left" w:pos="680"/>
      </w:tabs>
      <w:spacing w:before="60" w:after="60"/>
      <w:ind w:left="680" w:hanging="340"/>
    </w:pPr>
  </w:style>
  <w:style w:type="paragraph" w:styleId="List3">
    <w:name w:val="List 3"/>
    <w:basedOn w:val="BodyText"/>
    <w:rsid w:val="00107E0B"/>
    <w:pPr>
      <w:tabs>
        <w:tab w:val="left" w:pos="1021"/>
      </w:tabs>
      <w:spacing w:before="60" w:after="60"/>
      <w:ind w:left="1020" w:hanging="340"/>
    </w:pPr>
  </w:style>
  <w:style w:type="paragraph" w:styleId="List4">
    <w:name w:val="List 4"/>
    <w:basedOn w:val="BodyText"/>
    <w:rsid w:val="00107E0B"/>
    <w:pPr>
      <w:tabs>
        <w:tab w:val="left" w:pos="1361"/>
      </w:tabs>
      <w:spacing w:before="60" w:after="60"/>
      <w:ind w:left="1361" w:hanging="340"/>
    </w:pPr>
  </w:style>
  <w:style w:type="paragraph" w:styleId="List5">
    <w:name w:val="List 5"/>
    <w:basedOn w:val="BodyText"/>
    <w:rsid w:val="00107E0B"/>
    <w:pPr>
      <w:tabs>
        <w:tab w:val="left" w:pos="1701"/>
      </w:tabs>
      <w:spacing w:before="60" w:after="60"/>
      <w:ind w:left="1701" w:hanging="340"/>
    </w:pPr>
  </w:style>
  <w:style w:type="paragraph" w:styleId="ListBullet3">
    <w:name w:val="List Bullet 3"/>
    <w:basedOn w:val="List3"/>
    <w:rsid w:val="00107E0B"/>
    <w:pPr>
      <w:numPr>
        <w:numId w:val="13"/>
      </w:numPr>
      <w:tabs>
        <w:tab w:val="clear" w:pos="1021"/>
      </w:tabs>
      <w:ind w:left="1037" w:hanging="357"/>
    </w:pPr>
  </w:style>
  <w:style w:type="paragraph" w:styleId="ListBullet4">
    <w:name w:val="List Bullet 4"/>
    <w:basedOn w:val="List4"/>
    <w:rsid w:val="00107E0B"/>
    <w:pPr>
      <w:numPr>
        <w:numId w:val="1"/>
      </w:numPr>
    </w:pPr>
  </w:style>
  <w:style w:type="paragraph" w:styleId="ListBullet5">
    <w:name w:val="List Bullet 5"/>
    <w:basedOn w:val="List5"/>
    <w:rsid w:val="00107E0B"/>
    <w:pPr>
      <w:numPr>
        <w:numId w:val="2"/>
      </w:numPr>
    </w:pPr>
  </w:style>
  <w:style w:type="paragraph" w:styleId="ListContinue2">
    <w:name w:val="List Continue 2"/>
    <w:basedOn w:val="List2"/>
    <w:rsid w:val="00107E0B"/>
    <w:pPr>
      <w:ind w:firstLine="0"/>
    </w:pPr>
  </w:style>
  <w:style w:type="paragraph" w:styleId="ListContinue3">
    <w:name w:val="List Continue 3"/>
    <w:basedOn w:val="List3"/>
    <w:rsid w:val="00107E0B"/>
    <w:pPr>
      <w:ind w:left="1021" w:firstLine="0"/>
    </w:pPr>
  </w:style>
  <w:style w:type="paragraph" w:styleId="ListContinue4">
    <w:name w:val="List Continue 4"/>
    <w:basedOn w:val="List4"/>
    <w:rsid w:val="00107E0B"/>
    <w:pPr>
      <w:ind w:firstLine="0"/>
    </w:pPr>
  </w:style>
  <w:style w:type="paragraph" w:styleId="ListContinue5">
    <w:name w:val="List Continue 5"/>
    <w:basedOn w:val="List5"/>
    <w:rsid w:val="00107E0B"/>
    <w:pPr>
      <w:ind w:firstLine="0"/>
    </w:pPr>
  </w:style>
  <w:style w:type="paragraph" w:styleId="ListNumber3">
    <w:name w:val="List Number 3"/>
    <w:basedOn w:val="List3"/>
    <w:rsid w:val="00107E0B"/>
    <w:pPr>
      <w:numPr>
        <w:numId w:val="3"/>
      </w:numPr>
    </w:pPr>
  </w:style>
  <w:style w:type="paragraph" w:styleId="ListNumber4">
    <w:name w:val="List Number 4"/>
    <w:basedOn w:val="List4"/>
    <w:rsid w:val="00107E0B"/>
    <w:pPr>
      <w:numPr>
        <w:numId w:val="4"/>
      </w:numPr>
    </w:pPr>
  </w:style>
  <w:style w:type="paragraph" w:styleId="ListNumber5">
    <w:name w:val="List Number 5"/>
    <w:basedOn w:val="List5"/>
    <w:rsid w:val="00107E0B"/>
    <w:pPr>
      <w:numPr>
        <w:numId w:val="5"/>
      </w:numPr>
    </w:pPr>
  </w:style>
  <w:style w:type="paragraph" w:styleId="BlockText">
    <w:name w:val="Block Text"/>
    <w:basedOn w:val="Normal"/>
    <w:rsid w:val="00107E0B"/>
    <w:pPr>
      <w:spacing w:after="120"/>
      <w:ind w:left="1440" w:right="1440"/>
    </w:pPr>
  </w:style>
  <w:style w:type="character" w:customStyle="1" w:styleId="Subscript">
    <w:name w:val="Subscript"/>
    <w:basedOn w:val="DefaultParagraphFont"/>
    <w:rsid w:val="00107E0B"/>
    <w:rPr>
      <w:sz w:val="16"/>
      <w:vertAlign w:val="subscript"/>
    </w:rPr>
  </w:style>
  <w:style w:type="character" w:customStyle="1" w:styleId="Superscript">
    <w:name w:val="Superscript"/>
    <w:basedOn w:val="DefaultParagraphFont"/>
    <w:rsid w:val="00107E0B"/>
    <w:rPr>
      <w:sz w:val="16"/>
      <w:vertAlign w:val="superscript"/>
    </w:rPr>
  </w:style>
  <w:style w:type="character" w:customStyle="1" w:styleId="Symbols">
    <w:name w:val="Symbols"/>
    <w:basedOn w:val="DefaultParagraphFont"/>
    <w:rsid w:val="00107E0B"/>
    <w:rPr>
      <w:rFonts w:ascii="Symbol" w:hAnsi="Symbol"/>
    </w:rPr>
  </w:style>
  <w:style w:type="character" w:customStyle="1" w:styleId="MenuOptions">
    <w:name w:val="Menu Options"/>
    <w:basedOn w:val="DefaultParagraphFont"/>
    <w:rsid w:val="00107E0B"/>
    <w:rPr>
      <w:rFonts w:ascii="Arial Narrow" w:hAnsi="Arial Narrow"/>
      <w:smallCaps/>
    </w:rPr>
  </w:style>
  <w:style w:type="character" w:customStyle="1" w:styleId="Buttons">
    <w:name w:val="Buttons"/>
    <w:basedOn w:val="DefaultParagraphFont"/>
    <w:rsid w:val="00107E0B"/>
    <w:rPr>
      <w:b/>
    </w:rPr>
  </w:style>
  <w:style w:type="character" w:customStyle="1" w:styleId="Underlined">
    <w:name w:val="Underlined"/>
    <w:basedOn w:val="DefaultParagraphFont"/>
    <w:rsid w:val="00107E0B"/>
    <w:rPr>
      <w:u w:val="single"/>
    </w:rPr>
  </w:style>
  <w:style w:type="paragraph" w:customStyle="1" w:styleId="TableBodyTextRight">
    <w:name w:val="Table Body Text Right"/>
    <w:basedOn w:val="TableBodyText"/>
    <w:rsid w:val="00107E0B"/>
    <w:pPr>
      <w:widowControl w:val="0"/>
      <w:autoSpaceDE w:val="0"/>
      <w:autoSpaceDN w:val="0"/>
      <w:adjustRightInd w:val="0"/>
      <w:jc w:val="right"/>
    </w:pPr>
    <w:rPr>
      <w:rFonts w:cs="Arial"/>
      <w:szCs w:val="18"/>
    </w:rPr>
  </w:style>
  <w:style w:type="paragraph" w:customStyle="1" w:styleId="CopyrightText">
    <w:name w:val="Copyright Text"/>
    <w:basedOn w:val="BodyText"/>
    <w:rsid w:val="00107E0B"/>
    <w:rPr>
      <w:sz w:val="18"/>
    </w:rPr>
  </w:style>
  <w:style w:type="paragraph" w:customStyle="1" w:styleId="BodySmallRight">
    <w:name w:val="Body Small Right"/>
    <w:basedOn w:val="BodyTextRight"/>
    <w:rsid w:val="00107E0B"/>
    <w:rPr>
      <w:sz w:val="18"/>
      <w:szCs w:val="18"/>
    </w:rPr>
  </w:style>
  <w:style w:type="paragraph" w:customStyle="1" w:styleId="MarginEdition">
    <w:name w:val="Margin Edition"/>
    <w:basedOn w:val="MarginNote"/>
    <w:rsid w:val="00107E0B"/>
    <w:pPr>
      <w:spacing w:before="0" w:after="0"/>
    </w:pPr>
    <w:rPr>
      <w:rFonts w:ascii="Times New Roman" w:hAnsi="Times New Roman"/>
      <w:color w:val="999999"/>
    </w:rPr>
  </w:style>
  <w:style w:type="paragraph" w:customStyle="1" w:styleId="Spacer">
    <w:name w:val="Spacer"/>
    <w:basedOn w:val="Normal"/>
    <w:rsid w:val="00107E0B"/>
    <w:rPr>
      <w:sz w:val="2"/>
      <w:szCs w:val="2"/>
    </w:rPr>
  </w:style>
  <w:style w:type="character" w:customStyle="1" w:styleId="Small">
    <w:name w:val="Small"/>
    <w:basedOn w:val="DefaultParagraphFont"/>
    <w:rsid w:val="00107E0B"/>
    <w:rPr>
      <w:sz w:val="16"/>
    </w:rPr>
  </w:style>
  <w:style w:type="paragraph" w:customStyle="1" w:styleId="WideTable">
    <w:name w:val="Wide Table"/>
    <w:basedOn w:val="Normal"/>
    <w:rsid w:val="00107E0B"/>
    <w:pPr>
      <w:ind w:left="-1418"/>
    </w:pPr>
    <w:rPr>
      <w:sz w:val="2"/>
      <w:szCs w:val="2"/>
    </w:rPr>
  </w:style>
  <w:style w:type="character" w:styleId="PageNumber">
    <w:name w:val="page number"/>
    <w:basedOn w:val="DefaultParagraphFont"/>
    <w:rsid w:val="00107E0B"/>
  </w:style>
  <w:style w:type="paragraph" w:styleId="Quote">
    <w:name w:val="Quote"/>
    <w:basedOn w:val="Heading1"/>
    <w:link w:val="QuoteChar"/>
    <w:qFormat/>
    <w:rsid w:val="00107E0B"/>
    <w:rPr>
      <w:b w:val="0"/>
      <w:sz w:val="72"/>
      <w:szCs w:val="72"/>
      <w:lang w:val="en-NZ"/>
    </w:rPr>
  </w:style>
  <w:style w:type="character" w:customStyle="1" w:styleId="QuoteChar">
    <w:name w:val="Quote Char"/>
    <w:basedOn w:val="DefaultParagraphFont"/>
    <w:link w:val="Quote"/>
    <w:rsid w:val="00107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E0B"/>
    <w:pPr>
      <w:pageBreakBefore/>
    </w:pPr>
  </w:style>
  <w:style w:type="paragraph" w:customStyle="1" w:styleId="Border">
    <w:name w:val="Border"/>
    <w:basedOn w:val="Normal"/>
    <w:qFormat/>
    <w:rsid w:val="00107E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E0B"/>
    <w:rPr>
      <w:b/>
      <w:bCs/>
      <w:i/>
      <w:iCs/>
      <w:color w:val="auto"/>
    </w:rPr>
  </w:style>
  <w:style w:type="paragraph" w:styleId="IntenseQuote">
    <w:name w:val="Intense Quote"/>
    <w:basedOn w:val="Normal"/>
    <w:next w:val="Normal"/>
    <w:link w:val="IntenseQuoteChar"/>
    <w:uiPriority w:val="30"/>
    <w:qFormat/>
    <w:rsid w:val="00107E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E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7E0B"/>
    <w:rPr>
      <w:smallCaps/>
      <w:color w:val="auto"/>
      <w:u w:val="single"/>
    </w:rPr>
  </w:style>
  <w:style w:type="character" w:styleId="IntenseReference">
    <w:name w:val="Intense Reference"/>
    <w:basedOn w:val="DefaultParagraphFont"/>
    <w:uiPriority w:val="32"/>
    <w:qFormat/>
    <w:rsid w:val="00107E0B"/>
    <w:rPr>
      <w:b/>
      <w:bCs/>
      <w:smallCaps/>
      <w:color w:val="auto"/>
      <w:spacing w:val="5"/>
      <w:u w:val="single"/>
    </w:rPr>
  </w:style>
  <w:style w:type="paragraph" w:customStyle="1" w:styleId="2ColumnHeading">
    <w:name w:val="2Column Heading"/>
    <w:basedOn w:val="BodyText"/>
    <w:qFormat/>
    <w:rsid w:val="00107E0B"/>
    <w:pPr>
      <w:spacing w:after="60"/>
      <w:ind w:left="-2268"/>
    </w:pPr>
    <w:rPr>
      <w:b/>
    </w:rPr>
  </w:style>
  <w:style w:type="paragraph" w:customStyle="1" w:styleId="Heading1TOC">
    <w:name w:val="Heading1 TOC"/>
    <w:basedOn w:val="Normal"/>
    <w:qFormat/>
    <w:rsid w:val="00107E0B"/>
    <w:pPr>
      <w:spacing w:before="240" w:after="120"/>
    </w:pPr>
    <w:rPr>
      <w:rFonts w:ascii="Times New Roman" w:hAnsi="Times New Roman"/>
      <w:b/>
      <w:sz w:val="32"/>
    </w:rPr>
  </w:style>
  <w:style w:type="paragraph" w:customStyle="1" w:styleId="Heading2TOC">
    <w:name w:val="Heading2 TOC"/>
    <w:basedOn w:val="Normal"/>
    <w:qFormat/>
    <w:rsid w:val="00107E0B"/>
    <w:pPr>
      <w:spacing w:before="240" w:after="60"/>
    </w:pPr>
    <w:rPr>
      <w:rFonts w:ascii="Times New Roman" w:hAnsi="Times New Roman"/>
      <w:b/>
      <w:sz w:val="28"/>
    </w:rPr>
  </w:style>
  <w:style w:type="character" w:customStyle="1" w:styleId="Underline">
    <w:name w:val="Underline"/>
    <w:basedOn w:val="DefaultParagraphFont"/>
    <w:qFormat/>
    <w:rsid w:val="00107E0B"/>
    <w:rPr>
      <w:u w:val="single"/>
    </w:rPr>
  </w:style>
  <w:style w:type="character" w:customStyle="1" w:styleId="BoldandItalics">
    <w:name w:val="Bold and Italics"/>
    <w:qFormat/>
    <w:rsid w:val="00107E0B"/>
    <w:rPr>
      <w:b/>
      <w:i/>
      <w:u w:val="none"/>
    </w:rPr>
  </w:style>
  <w:style w:type="paragraph" w:styleId="BalloonText">
    <w:name w:val="Balloon Text"/>
    <w:basedOn w:val="Normal"/>
    <w:link w:val="BalloonTextChar"/>
    <w:rsid w:val="00107E0B"/>
    <w:rPr>
      <w:rFonts w:ascii="Tahoma" w:hAnsi="Tahoma" w:cs="Tahoma"/>
      <w:sz w:val="16"/>
      <w:szCs w:val="16"/>
    </w:rPr>
  </w:style>
  <w:style w:type="character" w:customStyle="1" w:styleId="BalloonTextChar">
    <w:name w:val="Balloon Text Char"/>
    <w:basedOn w:val="DefaultParagraphFont"/>
    <w:link w:val="BalloonText"/>
    <w:rsid w:val="00107E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7E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7E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1360</Words>
  <Characters>8800</Characters>
  <Application>Microsoft Office Word</Application>
  <DocSecurity>0</DocSecurity>
  <Lines>326</Lines>
  <Paragraphs>208</Paragraphs>
  <ScaleCrop>false</ScaleCrop>
  <Company>Author-it Software Corporation Ltd.</Company>
  <LinksUpToDate>false</LinksUpToDate>
  <CharactersWithSpaces>10007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FNSACCT610B Develop and implement financial strategies</dc:title>
  <dc:subject>Approved</dc:subject>
  <dc:creator>Government Skills Australia</dc:creator>
  <cp:keywords>Release: 1</cp:keywords>
  <dc:description>Copyright © 1996-2007 Author-it Software Corporation Ltd., all rights reserved.</dc:description>
  <cp:lastModifiedBy>Dennis Urbans</cp:lastModifiedBy>
  <cp:revision>3</cp:revision>
  <dcterms:created xsi:type="dcterms:W3CDTF">2012-05-26T06:59:00Z</dcterms:created>
  <dcterms:modified xsi:type="dcterms:W3CDTF">2012-05-26T06:59:00Z</dcterms:modified>
</cp:coreProperties>
</file>