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9D0" w:rsidP="001329D0">
      <w:pPr>
        <w:pStyle w:val="Title"/>
      </w:pPr>
      <w:r>
        <w:fldChar w:fldCharType="begin"/>
      </w:r>
      <w:r>
        <w:instrText xml:space="preserve"> TITLE   \* MERGEFORMAT </w:instrText>
      </w:r>
      <w:r>
        <w:fldChar w:fldCharType="separate"/>
      </w:r>
      <w:r>
        <w:t>FNSACCT608B Evaluate organisation's financial performance</w:t>
      </w:r>
      <w:r>
        <w:fldChar w:fldCharType="end"/>
      </w:r>
    </w:p>
    <w:p w:rsidR="001329D0" w:rsidP="001329D0">
      <w:pPr>
        <w:pStyle w:val="Version"/>
        <w:sectPr w:rsidSect="00A135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51C" w:rsidP="00A1351C">
      <w:pPr>
        <w:pStyle w:val="SuperHeading"/>
      </w:pPr>
      <w:r w:rsidRPr="00A1351C">
        <w:t>FNSACCT608B Evaluate organisation's financial performance</w:t>
      </w:r>
    </w:p>
    <w:p w:rsidR="00000000" w:rsidRPr="00A1351C" w:rsidP="00A1351C">
      <w:pPr>
        <w:pStyle w:val="Heading1"/>
      </w:pPr>
      <w:bookmarkStart w:id="1" w:name="O_318113"/>
      <w:bookmarkEnd w:id="1"/>
      <w:r w:rsidRPr="00A1351C">
        <w:t>Modification History</w:t>
      </w:r>
    </w:p>
    <w:p w:rsidR="00000000" w:rsidRPr="00A1351C" w:rsidP="00A1351C">
      <w:pPr>
        <w:pStyle w:val="BodyText"/>
      </w:pPr>
      <w:r w:rsidRPr="00A1351C">
        <w:t>Not applicable.</w:t>
      </w:r>
    </w:p>
    <w:p w:rsidR="00000000" w:rsidRPr="00A1351C" w:rsidP="00A1351C">
      <w:pPr>
        <w:pStyle w:val="AllowPageBreak"/>
      </w:pPr>
    </w:p>
    <w:p w:rsidR="00000000" w:rsidRPr="00A1351C" w:rsidP="00A1351C">
      <w:pPr>
        <w:pStyle w:val="Heading1"/>
      </w:pPr>
      <w:bookmarkStart w:id="2" w:name="O_318114"/>
      <w:bookmarkEnd w:id="2"/>
      <w:r w:rsidRPr="00A1351C">
        <w:t>Unit Descriptor</w:t>
      </w:r>
    </w:p>
    <w:p w:rsidR="00000000" w:rsidRPr="00A1351C" w:rsidP="00A1351C">
      <w:pPr>
        <w:pStyle w:val="BodyText"/>
      </w:pPr>
      <w:r w:rsidRPr="00A1351C">
        <w:t>This unit covers the analysis and estimation process required to determine an organisations fina</w:t>
      </w:r>
      <w:r w:rsidRPr="00A1351C">
        <w:t>ncial position and performance.</w:t>
      </w:r>
    </w:p>
    <w:p w:rsidR="00000000" w:rsidRPr="00A1351C" w:rsidP="00A1351C">
      <w:pPr>
        <w:pStyle w:val="BodyText"/>
      </w:pPr>
      <w:r w:rsidRPr="00A1351C">
        <w:t>This unit covers the analysis and estimation process required to determine an organisations financial position and performance.</w:t>
      </w:r>
    </w:p>
    <w:p w:rsidR="00000000" w:rsidRPr="00A1351C" w:rsidP="00A1351C">
      <w:pPr>
        <w:pStyle w:val="AllowPageBreak"/>
      </w:pPr>
    </w:p>
    <w:p w:rsidR="00000000" w:rsidRPr="00A1351C" w:rsidP="00A1351C">
      <w:pPr>
        <w:pStyle w:val="Heading1"/>
      </w:pPr>
      <w:bookmarkStart w:id="3" w:name="O_318123"/>
      <w:bookmarkEnd w:id="3"/>
      <w:r w:rsidRPr="00A1351C">
        <w:t>Application of the Unit</w:t>
      </w:r>
    </w:p>
    <w:p w:rsidR="00000000" w:rsidRPr="00A1351C" w:rsidP="00A1351C">
      <w:pPr>
        <w:pStyle w:val="BodyText"/>
      </w:pPr>
      <w:r w:rsidRPr="00A1351C">
        <w:t>This unit requires the application of skills and knowle</w:t>
      </w:r>
      <w:r w:rsidRPr="00A1351C">
        <w:t xml:space="preserve">dge required to evaluate an organisations financial performance. The unit encompasses evaluating returns to operations, determining long and short term needs and reviewing performance. </w:t>
      </w:r>
    </w:p>
    <w:p w:rsidR="00000000" w:rsidRPr="00A1351C" w:rsidP="00A1351C">
      <w:pPr>
        <w:pStyle w:val="BodyText"/>
      </w:pPr>
      <w:r w:rsidRPr="00A1351C">
        <w:t>This unit can be applied to all sectors with the financial services in</w:t>
      </w:r>
      <w:r w:rsidRPr="00A1351C">
        <w:t xml:space="preserve">dustry and has application to those job functions that have responsibility for determining the organisations financial performance such as an accountant. </w:t>
      </w:r>
    </w:p>
    <w:p w:rsidR="00000000" w:rsidRPr="00A1351C" w:rsidP="00A1351C">
      <w:pPr>
        <w:pStyle w:val="BodyText"/>
      </w:pPr>
      <w:r w:rsidRPr="00A1351C">
        <w:t>This unit requires the application of skills and knowledge required to evaluate an organisations fina</w:t>
      </w:r>
      <w:r w:rsidRPr="00A1351C">
        <w:t xml:space="preserve">ncial performance. The unit encompasses evaluating returns to operations, determining long and short term needs and reviewing performance. </w:t>
      </w:r>
    </w:p>
    <w:p w:rsidR="00000000" w:rsidRPr="00A1351C" w:rsidP="00A1351C">
      <w:pPr>
        <w:pStyle w:val="BodyText"/>
      </w:pPr>
      <w:r w:rsidRPr="00A1351C">
        <w:t>This unit can be appli</w:t>
      </w:r>
      <w:r w:rsidRPr="00A1351C">
        <w:t xml:space="preserve">ed to all sectors with the financial services industry and has application to those job functions that have responsibility for determining the organisations financial performance such as an accountant. </w:t>
      </w:r>
    </w:p>
    <w:p w:rsidR="00000000" w:rsidRPr="00A1351C" w:rsidP="00A1351C">
      <w:pPr>
        <w:pStyle w:val="AllowPageBreak"/>
      </w:pPr>
    </w:p>
    <w:p w:rsidR="00000000" w:rsidRPr="00A1351C" w:rsidP="00A1351C">
      <w:pPr>
        <w:pStyle w:val="Heading1"/>
      </w:pPr>
      <w:bookmarkStart w:id="4" w:name="O_318112"/>
      <w:bookmarkEnd w:id="4"/>
      <w:r w:rsidRPr="00A1351C">
        <w:t>Licensing/Regulatory Information</w:t>
      </w:r>
    </w:p>
    <w:p w:rsidR="00000000" w:rsidRPr="00A1351C" w:rsidP="00A1351C">
      <w:pPr>
        <w:pStyle w:val="BodyText"/>
      </w:pPr>
      <w:r w:rsidRPr="00A1351C">
        <w:t>Not</w:t>
      </w:r>
      <w:r w:rsidRPr="00A1351C">
        <w:t xml:space="preserve"> applicable.</w:t>
      </w:r>
    </w:p>
    <w:p w:rsidR="00000000" w:rsidRPr="00A1351C" w:rsidP="00A1351C">
      <w:pPr>
        <w:pStyle w:val="AllowPageBreak"/>
      </w:pPr>
    </w:p>
    <w:p w:rsidR="00000000" w:rsidRPr="00A1351C" w:rsidP="00A1351C">
      <w:pPr>
        <w:pStyle w:val="Heading1"/>
      </w:pPr>
      <w:bookmarkStart w:id="5" w:name="O_318116"/>
      <w:bookmarkEnd w:id="5"/>
      <w:r w:rsidRPr="00A1351C">
        <w:t>Pre-Requisites</w:t>
      </w:r>
    </w:p>
    <w:p w:rsidR="00000000" w:rsidRPr="00A1351C" w:rsidP="00A1351C">
      <w:pPr>
        <w:pStyle w:val="BodyText"/>
      </w:pPr>
      <w:r w:rsidRPr="00A1351C">
        <w:t>Not applicable.</w:t>
      </w:r>
    </w:p>
    <w:p w:rsidR="00000000" w:rsidRPr="00A1351C" w:rsidP="00A1351C">
      <w:pPr>
        <w:pStyle w:val="AllowPageBreak"/>
      </w:pPr>
    </w:p>
    <w:p w:rsidR="00000000" w:rsidRPr="00A1351C" w:rsidP="00A1351C">
      <w:pPr>
        <w:pStyle w:val="Heading1"/>
      </w:pPr>
      <w:bookmarkStart w:id="6" w:name="O_318117"/>
      <w:bookmarkEnd w:id="6"/>
      <w:r w:rsidRPr="00A1351C">
        <w:t>Employability Skills Information</w:t>
      </w:r>
    </w:p>
    <w:p w:rsidR="00000000" w:rsidRPr="00A1351C" w:rsidP="00A1351C">
      <w:pPr>
        <w:pStyle w:val="BodyText"/>
      </w:pPr>
      <w:r w:rsidRPr="00A1351C">
        <w:t>The required outcomes described in this unit of competency contain applicable facets of employability skills. The Employability Skills Summary fo</w:t>
      </w:r>
      <w:r w:rsidRPr="00A1351C">
        <w:t>r the qualification in which this unit of competency is packaged, will assist in identifying employability skills requirements.</w:t>
      </w:r>
    </w:p>
    <w:p w:rsidR="00000000" w:rsidRPr="00A1351C" w:rsidP="00A1351C">
      <w:pPr>
        <w:pStyle w:val="BodyText"/>
      </w:pPr>
      <w:r w:rsidRPr="00A1351C">
        <w:t xml:space="preserve">The required outcomes described in this unit of competency contain applicable facets of employability skills. The Employability </w:t>
      </w:r>
      <w:r w:rsidRPr="00A1351C">
        <w:t>Skills Summary for the qualification in which this unit of competency is packaged, will assist in identifying employability skills requirements.</w:t>
      </w:r>
    </w:p>
    <w:p w:rsidR="00000000" w:rsidRPr="00A1351C" w:rsidP="00A1351C">
      <w:pPr>
        <w:pStyle w:val="AllowPageBreak"/>
      </w:pPr>
    </w:p>
    <w:p w:rsidR="00000000" w:rsidRPr="00A1351C" w:rsidP="00A1351C">
      <w:pPr>
        <w:pStyle w:val="Heading1"/>
      </w:pPr>
      <w:bookmarkStart w:id="7" w:name="O_318118"/>
      <w:bookmarkEnd w:id="7"/>
      <w:r w:rsidRPr="00A1351C">
        <w:t>Elements and Performance Criteria Pre-Content</w:t>
      </w:r>
    </w:p>
    <w:p w:rsidR="00000000" w:rsidRPr="00A1351C" w:rsidP="00A1351C">
      <w:pPr>
        <w:pStyle w:val="BodyText"/>
      </w:pPr>
      <w:r w:rsidRPr="00A1351C">
        <w:t>Elements define the essential outcomes of a unit of competency.</w:t>
      </w:r>
    </w:p>
    <w:p w:rsidR="00000000" w:rsidRPr="00A1351C" w:rsidP="00A1351C">
      <w:pPr>
        <w:pStyle w:val="BodyText"/>
      </w:pPr>
      <w:r w:rsidRPr="00A1351C">
        <w:t xml:space="preserve">Performance Criteria describe the required performance needed to demonstrate achievement of the Element. </w:t>
      </w:r>
      <w:r w:rsidRPr="00A1351C">
        <w:rPr>
          <w:rStyle w:val="SpecialBold"/>
        </w:rPr>
        <w:t xml:space="preserve">Bold, italicised </w:t>
      </w:r>
      <w:r w:rsidRPr="00A1351C">
        <w:t>terms are elaborated in the Range Statement. Assessment of performance</w:t>
      </w:r>
      <w:r w:rsidRPr="00A1351C">
        <w:t xml:space="preserve"> is to be consistent with the Evidence Guide.</w:t>
      </w:r>
    </w:p>
    <w:p w:rsidR="00000000" w:rsidRPr="00A1351C" w:rsidP="00A1351C">
      <w:pPr>
        <w:pStyle w:val="BodyText"/>
      </w:pPr>
      <w:r w:rsidRPr="00A1351C">
        <w:t>Elements define the essential outcomes of a unit of competency.</w:t>
      </w:r>
    </w:p>
    <w:p w:rsidR="00000000" w:rsidRPr="00A1351C" w:rsidP="00A1351C">
      <w:pPr>
        <w:pStyle w:val="BodyText"/>
      </w:pPr>
      <w:r w:rsidRPr="00A1351C">
        <w:t xml:space="preserve">Performance Criteria describe the required performance needed to demonstrate achievement of the Element. </w:t>
      </w:r>
      <w:r w:rsidRPr="00A1351C">
        <w:rPr>
          <w:rStyle w:val="SpecialBold"/>
        </w:rPr>
        <w:t xml:space="preserve">Bold, italicised </w:t>
      </w:r>
      <w:r w:rsidRPr="00A1351C">
        <w:t xml:space="preserve">terms are elaborated in </w:t>
      </w:r>
      <w:r w:rsidRPr="00A1351C">
        <w:t>the Range Statement. Assessment of performance is to be consistent with the Evidence Guide.</w:t>
      </w:r>
    </w:p>
    <w:p w:rsidR="00000000" w:rsidRPr="00A1351C" w:rsidP="00A1351C">
      <w:pPr>
        <w:pStyle w:val="AllowPageBreak"/>
      </w:pPr>
    </w:p>
    <w:p w:rsidR="00000000" w:rsidRPr="00A1351C" w:rsidP="00A1351C">
      <w:pPr>
        <w:pStyle w:val="Heading1"/>
      </w:pPr>
      <w:bookmarkStart w:id="8" w:name="O_318119"/>
      <w:bookmarkEnd w:id="8"/>
      <w:r w:rsidRPr="00A1351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329D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Elements and Performance Criteria</w:t>
            </w:r>
          </w:p>
        </w:tc>
      </w:tr>
      <w:tr w:rsidTr="001329D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Performance Criteria</w:t>
            </w:r>
          </w:p>
        </w:tc>
      </w:tr>
      <w:tr w:rsidTr="001329D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1</w:t>
            </w:r>
          </w:p>
        </w:tc>
        <w:tc>
          <w:tcPr>
            <w:tcW w:w="3000" w:type="dxa"/>
            <w:vMerge w:val="restart"/>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Evaluate returns to operations</w:t>
            </w:r>
          </w:p>
        </w:tc>
        <w:tc>
          <w:tcPr>
            <w:tcW w:w="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1.1</w:t>
            </w:r>
          </w:p>
        </w:tc>
        <w:tc>
          <w:tcPr>
            <w:tcW w:w="51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Cash flow and profitability patterns are trended to identify current position and expected returns from investments and projected operations</w:t>
            </w:r>
          </w:p>
        </w:tc>
      </w:tr>
      <w:tr w:rsidTr="001329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1.2</w:t>
            </w:r>
          </w:p>
        </w:tc>
        <w:tc>
          <w:tcPr>
            <w:tcW w:w="51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 xml:space="preserve">Averaged returns are disaggregated to assess </w:t>
            </w:r>
            <w:r w:rsidRPr="00A1351C">
              <w:rPr>
                <w:rStyle w:val="SpecialBold"/>
              </w:rPr>
              <w:t xml:space="preserve">strengths and weaknesses </w:t>
            </w:r>
            <w:r w:rsidRPr="00A1351C">
              <w:t>in organisational performance</w:t>
            </w:r>
          </w:p>
        </w:tc>
      </w:tr>
      <w:tr w:rsidTr="001329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1.3</w:t>
            </w:r>
          </w:p>
        </w:tc>
        <w:tc>
          <w:tcPr>
            <w:tcW w:w="51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Investment returns are evaluated against risk, profit and capital budget requirements</w:t>
            </w:r>
          </w:p>
        </w:tc>
      </w:tr>
      <w:tr w:rsidTr="001329D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2</w:t>
            </w:r>
          </w:p>
        </w:tc>
        <w:tc>
          <w:tcPr>
            <w:tcW w:w="3000" w:type="dxa"/>
            <w:vMerge w:val="restart"/>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Determine short and long term needs</w:t>
            </w:r>
          </w:p>
        </w:tc>
        <w:tc>
          <w:tcPr>
            <w:tcW w:w="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2.1</w:t>
            </w:r>
          </w:p>
        </w:tc>
        <w:tc>
          <w:tcPr>
            <w:tcW w:w="51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 xml:space="preserve">Resources required by organisation to meet </w:t>
            </w:r>
            <w:r w:rsidRPr="00A1351C">
              <w:rPr>
                <w:rStyle w:val="SpecialBold"/>
              </w:rPr>
              <w:t xml:space="preserve">short and long term obligations </w:t>
            </w:r>
            <w:r w:rsidRPr="00A1351C">
              <w:t xml:space="preserve">are identified and costed using </w:t>
            </w:r>
            <w:r w:rsidRPr="00A1351C">
              <w:rPr>
                <w:rStyle w:val="SpecialBold"/>
              </w:rPr>
              <w:t>standard financial a</w:t>
            </w:r>
            <w:r w:rsidRPr="00A1351C">
              <w:rPr>
                <w:rStyle w:val="SpecialBold"/>
              </w:rPr>
              <w:t>nalysis techniques</w:t>
            </w:r>
          </w:p>
        </w:tc>
      </w:tr>
      <w:tr w:rsidTr="001329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2.2</w:t>
            </w:r>
          </w:p>
        </w:tc>
        <w:tc>
          <w:tcPr>
            <w:tcW w:w="51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 xml:space="preserve">Financial priorities </w:t>
            </w:r>
            <w:r w:rsidRPr="00A1351C">
              <w:t xml:space="preserve">are established and reviewed based on reported performance and identified trends, organisational objectives and expected returns to operations and </w:t>
            </w:r>
            <w:r w:rsidRPr="00A1351C">
              <w:rPr>
                <w:rStyle w:val="SpecialBold"/>
              </w:rPr>
              <w:t>investments</w:t>
            </w:r>
          </w:p>
        </w:tc>
      </w:tr>
      <w:tr w:rsidTr="001329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2.3</w:t>
            </w:r>
          </w:p>
        </w:tc>
        <w:tc>
          <w:tcPr>
            <w:tcW w:w="51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 xml:space="preserve">Financial options </w:t>
            </w:r>
            <w:r w:rsidRPr="00A1351C">
              <w:t xml:space="preserve">review and analyse a range of possible </w:t>
            </w:r>
            <w:r w:rsidRPr="00A1351C">
              <w:rPr>
                <w:rStyle w:val="SpecialBold"/>
              </w:rPr>
              <w:t xml:space="preserve">assets and liabilities </w:t>
            </w:r>
            <w:r w:rsidRPr="00A1351C">
              <w:t>to optimise the capital mix required to support operations and trading need</w:t>
            </w:r>
          </w:p>
        </w:tc>
      </w:tr>
      <w:tr w:rsidTr="001329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2.4</w:t>
            </w:r>
          </w:p>
        </w:tc>
        <w:tc>
          <w:tcPr>
            <w:tcW w:w="51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 xml:space="preserve">Organisational policies and procedures </w:t>
            </w:r>
            <w:r w:rsidRPr="00A1351C">
              <w:t xml:space="preserve">for expenditures and investments are evaluated to ensure </w:t>
            </w:r>
            <w:r w:rsidRPr="00A1351C">
              <w:t>relevance to changing personnel profiles</w:t>
            </w:r>
          </w:p>
        </w:tc>
      </w:tr>
      <w:tr w:rsidTr="001329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2.5</w:t>
            </w:r>
          </w:p>
        </w:tc>
        <w:tc>
          <w:tcPr>
            <w:tcW w:w="51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 xml:space="preserve">Debt to equity targets are analysed in terms of organisation's expected performance and established in line with organisational objectives using </w:t>
            </w:r>
            <w:r w:rsidRPr="00A1351C">
              <w:rPr>
                <w:rStyle w:val="SpecialBold"/>
              </w:rPr>
              <w:t>standard accounting techniques</w:t>
            </w:r>
          </w:p>
        </w:tc>
      </w:tr>
      <w:tr w:rsidTr="001329D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3</w:t>
            </w:r>
          </w:p>
        </w:tc>
        <w:tc>
          <w:tcPr>
            <w:tcW w:w="3000" w:type="dxa"/>
            <w:vMerge w:val="restart"/>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Review performance</w:t>
            </w:r>
          </w:p>
        </w:tc>
        <w:tc>
          <w:tcPr>
            <w:tcW w:w="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3.1</w:t>
            </w:r>
          </w:p>
        </w:tc>
        <w:tc>
          <w:tcPr>
            <w:tcW w:w="51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Foreca</w:t>
            </w:r>
            <w:r w:rsidRPr="00A1351C">
              <w:t>sts are justifiable given observed trends, information, events and assumptions</w:t>
            </w:r>
          </w:p>
        </w:tc>
      </w:tr>
      <w:tr w:rsidTr="001329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3.2</w:t>
            </w:r>
          </w:p>
        </w:tc>
        <w:tc>
          <w:tcPr>
            <w:tcW w:w="51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Standard errors are calculated to produce levels of accuracy suitable for planning purposes</w:t>
            </w:r>
          </w:p>
        </w:tc>
      </w:tr>
      <w:tr w:rsidTr="001329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3.3</w:t>
            </w:r>
          </w:p>
        </w:tc>
        <w:tc>
          <w:tcPr>
            <w:tcW w:w="51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Forecasts are reviewed regularly in line with actual perf</w:t>
            </w:r>
            <w:r w:rsidRPr="00A1351C">
              <w:t>ormance and alternative sources of information</w:t>
            </w:r>
          </w:p>
        </w:tc>
      </w:tr>
      <w:tr w:rsidTr="001329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3.4</w:t>
            </w:r>
          </w:p>
        </w:tc>
        <w:tc>
          <w:tcPr>
            <w:tcW w:w="51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rPr>
                <w:rStyle w:val="SpecialBold"/>
              </w:rPr>
              <w:t xml:space="preserve">Risk strategies </w:t>
            </w:r>
            <w:r w:rsidRPr="00A1351C">
              <w:t>are assessed for long term viability and harmonised with short term goals and obligations</w:t>
            </w:r>
          </w:p>
        </w:tc>
      </w:tr>
    </w:tbl>
    <w:p w:rsidR="00000000" w:rsidRPr="00A1351C" w:rsidP="00A1351C">
      <w:pPr>
        <w:pStyle w:val="BodyText"/>
      </w:pPr>
    </w:p>
    <w:p w:rsidR="00000000" w:rsidRPr="00A1351C" w:rsidP="00A1351C">
      <w:pPr>
        <w:pStyle w:val="AllowPageBreak"/>
      </w:pPr>
    </w:p>
    <w:p w:rsidR="00000000" w:rsidRPr="00A1351C" w:rsidP="00A1351C">
      <w:pPr>
        <w:pStyle w:val="Heading1"/>
      </w:pPr>
      <w:bookmarkStart w:id="9" w:name="O_318122"/>
      <w:bookmarkEnd w:id="9"/>
      <w:r w:rsidRPr="00A1351C">
        <w:t>Required Skills and Knowledge</w:t>
      </w:r>
    </w:p>
    <w:tbl>
      <w:tblPr>
        <w:tblW w:w="0" w:type="auto"/>
        <w:tblLayout w:type="fixed"/>
        <w:tblCellMar>
          <w:left w:w="62" w:type="dxa"/>
          <w:right w:w="62" w:type="dxa"/>
        </w:tblCellMar>
        <w:tblLook w:val="0000"/>
      </w:tblPr>
      <w:tblGrid>
        <w:gridCol w:w="9000"/>
      </w:tblGrid>
      <w:tr w:rsidTr="001329D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REQUIRED KNOWLEDGE</w:t>
            </w:r>
            <w:r w:rsidRPr="00A1351C">
              <w:t>&amp;</w:t>
            </w:r>
            <w:r w:rsidRPr="00A1351C">
              <w:rPr>
                <w:rStyle w:val="SpecialBold"/>
              </w:rPr>
              <w:t>SKILLS</w:t>
            </w:r>
          </w:p>
        </w:tc>
      </w:tr>
      <w:tr w:rsidTr="001329D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rPr>
                <w:rStyle w:val="SpecialBold"/>
              </w:rPr>
              <w:t>Knowledge requirements include</w:t>
            </w:r>
            <w:r w:rsidRPr="00A1351C">
              <w:t xml:space="preserve">: </w:t>
            </w:r>
          </w:p>
          <w:p w:rsidR="00000000" w:rsidRPr="00A1351C" w:rsidP="00A1351C">
            <w:pPr>
              <w:pStyle w:val="BodyText"/>
            </w:pPr>
            <w:r w:rsidRPr="00A1351C">
              <w:t>principles of cash flow and budgetary control</w:t>
            </w:r>
          </w:p>
          <w:p w:rsidR="00000000" w:rsidRPr="00A1351C" w:rsidP="00A1351C">
            <w:pPr>
              <w:pStyle w:val="BodyText"/>
            </w:pPr>
            <w:r w:rsidRPr="00A1351C">
              <w:t>principles of cost-benefit analysis and use of forecasting techniques</w:t>
            </w:r>
          </w:p>
          <w:p w:rsidR="00000000" w:rsidRPr="00A1351C" w:rsidP="00A1351C">
            <w:pPr>
              <w:pStyle w:val="BodyText"/>
            </w:pPr>
            <w:r w:rsidRPr="00A1351C">
              <w:t>principles of internal control (including statutory requirements)</w:t>
            </w:r>
          </w:p>
          <w:p w:rsidR="00000000" w:rsidRPr="00A1351C" w:rsidP="00A1351C">
            <w:pPr>
              <w:pStyle w:val="BodyText"/>
            </w:pPr>
            <w:r w:rsidRPr="00A1351C">
              <w:t>capacity to establish long and short term</w:t>
            </w:r>
            <w:r w:rsidRPr="00A1351C">
              <w:t xml:space="preserve"> plans (eg SWOT analysis)</w:t>
            </w:r>
          </w:p>
          <w:p w:rsidR="00000000" w:rsidRPr="00A1351C" w:rsidP="00A1351C">
            <w:pPr>
              <w:pStyle w:val="BodyText"/>
            </w:pPr>
            <w:r w:rsidRPr="00A1351C">
              <w:t>principles of risk management</w:t>
            </w:r>
          </w:p>
          <w:p w:rsidR="00000000" w:rsidRPr="00A1351C" w:rsidP="00A1351C">
            <w:pPr>
              <w:pStyle w:val="BodyText"/>
            </w:pPr>
            <w:r w:rsidRPr="00A1351C">
              <w:t>duties of auditors</w:t>
            </w:r>
          </w:p>
          <w:p w:rsidR="00000000" w:rsidRPr="00A1351C" w:rsidP="00A1351C">
            <w:pPr>
              <w:pStyle w:val="BodyText"/>
            </w:pPr>
            <w:r w:rsidRPr="00A1351C">
              <w:t>financial legislation (eg taxable transactions, reporting requirements)</w:t>
            </w:r>
          </w:p>
          <w:p w:rsidR="00000000" w:rsidRPr="00A1351C" w:rsidP="00A1351C">
            <w:pPr>
              <w:pStyle w:val="BodyText"/>
            </w:pPr>
            <w:r w:rsidRPr="00A1351C">
              <w:t>ethical considerations for compliance</w:t>
            </w:r>
          </w:p>
          <w:p w:rsidR="00000000" w:rsidP="00A1351C">
            <w:pPr>
              <w:pStyle w:val="BodyText"/>
              <w:rPr>
                <w:lang w:val="en-NZ"/>
              </w:rPr>
            </w:pPr>
            <w:r w:rsidRPr="00A1351C">
              <w:t>understanding of organisational structures and lines of management auth</w:t>
            </w:r>
            <w:r w:rsidRPr="00A1351C">
              <w:t xml:space="preserve">ority </w:t>
            </w:r>
          </w:p>
        </w:tc>
      </w:tr>
      <w:tr w:rsidTr="001329D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rPr>
                <w:rStyle w:val="SpecialBold"/>
              </w:rPr>
              <w:t>Skills requirements include</w:t>
            </w:r>
            <w:r w:rsidRPr="00A1351C">
              <w:t xml:space="preserve">: </w:t>
            </w:r>
          </w:p>
          <w:p w:rsidR="00000000" w:rsidRPr="00A1351C" w:rsidP="00A1351C">
            <w:pPr>
              <w:pStyle w:val="BodyText"/>
            </w:pPr>
            <w:r w:rsidRPr="00A1351C">
              <w:t>planning skills for timetabling and scheduling reports and lodgements</w:t>
            </w:r>
          </w:p>
          <w:p w:rsidR="00000000" w:rsidRPr="00A1351C" w:rsidP="00A1351C">
            <w:pPr>
              <w:pStyle w:val="BodyText"/>
            </w:pPr>
            <w:r w:rsidRPr="00A1351C">
              <w:t>recording, gathering and consolidating financial information</w:t>
            </w:r>
          </w:p>
          <w:p w:rsidR="00000000" w:rsidRPr="00A1351C" w:rsidP="00A1351C">
            <w:pPr>
              <w:pStyle w:val="BodyText"/>
            </w:pPr>
            <w:r w:rsidRPr="00A1351C">
              <w:t>researching and identifying applicable accounting standards and decisions</w:t>
            </w:r>
          </w:p>
          <w:p w:rsidR="00000000" w:rsidRPr="00A1351C" w:rsidP="00A1351C">
            <w:pPr>
              <w:pStyle w:val="BodyText"/>
            </w:pPr>
            <w:r w:rsidRPr="00A1351C">
              <w:t>interpersonal</w:t>
            </w:r>
            <w:r w:rsidRPr="00A1351C">
              <w:t xml:space="preserve"> skills and communication skills (eg liaising, listening, consulting)</w:t>
            </w:r>
          </w:p>
          <w:p w:rsidR="00000000" w:rsidRPr="00A1351C" w:rsidP="00A1351C">
            <w:pPr>
              <w:pStyle w:val="BodyText"/>
            </w:pPr>
            <w:r w:rsidRPr="00A1351C">
              <w:t>report writing and preparation</w:t>
            </w:r>
          </w:p>
          <w:p w:rsidR="00000000" w:rsidRPr="00A1351C" w:rsidP="00A1351C">
            <w:pPr>
              <w:pStyle w:val="BodyText"/>
            </w:pPr>
            <w:r w:rsidRPr="00A1351C">
              <w:t>numeracy skills for calculation of data</w:t>
            </w:r>
          </w:p>
          <w:p w:rsidR="00000000" w:rsidRPr="00A1351C" w:rsidP="00A1351C">
            <w:pPr>
              <w:pStyle w:val="BodyText"/>
            </w:pPr>
            <w:r w:rsidRPr="00A1351C">
              <w:t xml:space="preserve">statistics </w:t>
            </w:r>
          </w:p>
        </w:tc>
      </w:tr>
    </w:tbl>
    <w:p w:rsidR="00000000" w:rsidRPr="00A1351C" w:rsidP="00A1351C">
      <w:pPr>
        <w:pStyle w:val="BodyText"/>
      </w:pPr>
    </w:p>
    <w:p w:rsidR="00000000" w:rsidRPr="00A1351C" w:rsidP="00A1351C">
      <w:pPr>
        <w:pStyle w:val="AllowPageBreak"/>
      </w:pPr>
    </w:p>
    <w:p w:rsidR="00000000" w:rsidRPr="00A1351C" w:rsidP="00A1351C">
      <w:pPr>
        <w:pStyle w:val="Heading1"/>
      </w:pPr>
      <w:bookmarkStart w:id="10" w:name="O_318111"/>
      <w:bookmarkEnd w:id="10"/>
      <w:r w:rsidRPr="00A1351C">
        <w:t>Evidence Guide</w:t>
      </w:r>
    </w:p>
    <w:tbl>
      <w:tblPr>
        <w:tblW w:w="0" w:type="auto"/>
        <w:tblLayout w:type="fixed"/>
        <w:tblCellMar>
          <w:left w:w="62" w:type="dxa"/>
          <w:right w:w="62" w:type="dxa"/>
        </w:tblCellMar>
        <w:tblLook w:val="0000"/>
      </w:tblPr>
      <w:tblGrid>
        <w:gridCol w:w="4500"/>
        <w:gridCol w:w="4500"/>
      </w:tblGrid>
      <w:tr w:rsidTr="001329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 xml:space="preserve"> EVIDENCE GUIDE</w:t>
            </w:r>
          </w:p>
        </w:tc>
      </w:tr>
      <w:tr w:rsidTr="001329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Assessment of performance requirements in the unit should be undertaken in an industry context. The Evidence Guide identifies the critical aspects, knowledge and skills to be demonstrated to confirm competency for the unit. Competency is demonstrated by pe</w:t>
            </w:r>
            <w:r w:rsidRPr="00A1351C">
              <w:t xml:space="preserve">rformance of all stated criteria including the Range Statement applicable to the workplace. </w:t>
            </w:r>
          </w:p>
        </w:tc>
      </w:tr>
      <w:tr w:rsidTr="001329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Overview of assessment requirements</w:t>
            </w:r>
          </w:p>
        </w:tc>
      </w:tr>
      <w:tr w:rsidTr="001329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 xml:space="preserve">To achieve competency in this unit, a person must be able to demonstrate: </w:t>
            </w:r>
          </w:p>
          <w:p w:rsidR="00000000" w:rsidRPr="00A1351C" w:rsidP="00A1351C">
            <w:pPr>
              <w:pStyle w:val="BodyText"/>
            </w:pPr>
            <w:r w:rsidRPr="00A1351C">
              <w:t>knowledge of standard financial analysis techniq</w:t>
            </w:r>
            <w:r w:rsidRPr="00A1351C">
              <w:t xml:space="preserve">ues </w:t>
            </w:r>
          </w:p>
          <w:p w:rsidR="00000000" w:rsidRPr="00A1351C" w:rsidP="00A1351C">
            <w:pPr>
              <w:pStyle w:val="BodyText"/>
            </w:pPr>
            <w:r w:rsidRPr="00A1351C">
              <w:t xml:space="preserve">knowledge of standard accounting techniques </w:t>
            </w:r>
          </w:p>
          <w:p w:rsidR="00000000" w:rsidRPr="00A1351C" w:rsidP="00A1351C">
            <w:pPr>
              <w:pStyle w:val="BodyText"/>
            </w:pPr>
            <w:r w:rsidRPr="00A1351C">
              <w:t>knowledge of organisational polices and procedures</w:t>
            </w:r>
          </w:p>
          <w:p w:rsidR="00000000" w:rsidRPr="00A1351C" w:rsidP="00A1351C">
            <w:pPr>
              <w:pStyle w:val="BodyText"/>
            </w:pPr>
            <w:r w:rsidRPr="00A1351C">
              <w:t xml:space="preserve">ability to evaluate returns to operations </w:t>
            </w:r>
          </w:p>
          <w:p w:rsidR="00000000" w:rsidRPr="00A1351C" w:rsidP="00A1351C">
            <w:pPr>
              <w:pStyle w:val="BodyText"/>
            </w:pPr>
            <w:r w:rsidRPr="00A1351C">
              <w:t>ability to determine long and short term needs</w:t>
            </w:r>
          </w:p>
          <w:p w:rsidR="00000000" w:rsidP="00A1351C">
            <w:pPr>
              <w:pStyle w:val="BodyText"/>
              <w:rPr>
                <w:lang w:val="en-NZ"/>
              </w:rPr>
            </w:pPr>
            <w:r w:rsidRPr="00A1351C">
              <w:t xml:space="preserve">ability to review performance   </w:t>
            </w:r>
          </w:p>
        </w:tc>
      </w:tr>
      <w:tr w:rsidTr="001329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Critical aspects of evidence</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Evidence required for demonstration of consistent performance</w:t>
            </w:r>
            <w:r w:rsidRPr="00A1351C">
              <w:t xml:space="preserve">: </w:t>
            </w:r>
          </w:p>
        </w:tc>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t xml:space="preserve">Competence in this unit must be assessed over a period of time in order to ensure consistency of performance over the Range Statement and contexts applicable to the work environment. </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Delivery</w:t>
            </w:r>
            <w:r w:rsidRPr="00A1351C">
              <w:t>/</w:t>
            </w:r>
            <w:r w:rsidRPr="00A1351C">
              <w:rPr>
                <w:rStyle w:val="SpecialBold"/>
              </w:rPr>
              <w:t>assessment relationship to other units</w:t>
            </w:r>
            <w:r w:rsidRPr="00A1351C">
              <w:t xml:space="preserve">: </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 xml:space="preserve">Prerequisite units:     </w:t>
            </w:r>
          </w:p>
          <w:p w:rsidR="00000000" w:rsidP="00A1351C">
            <w:pPr>
              <w:pStyle w:val="BodyText"/>
              <w:rPr>
                <w:lang w:val="en-NZ"/>
              </w:rPr>
            </w:pPr>
            <w:r w:rsidRPr="00A1351C">
              <w:t xml:space="preserve">FNSACCT503B Manage budgets and forecasts. </w:t>
            </w:r>
          </w:p>
        </w:tc>
      </w:tr>
      <w:tr w:rsidTr="001329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Assessment requirements</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Method of assessment</w:t>
            </w:r>
            <w:r w:rsidRPr="00A1351C">
              <w:t xml:space="preserve">: </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For valid and reliable assessment of this unit, evidence should be gathered through a ra</w:t>
            </w:r>
            <w:r w:rsidRPr="00A1351C">
              <w:t>nge of methods to indicate consistent performance.</w:t>
            </w:r>
          </w:p>
          <w:p w:rsidR="00000000" w:rsidP="00A1351C">
            <w:pPr>
              <w:pStyle w:val="BodyText"/>
              <w:rPr>
                <w:lang w:val="en-NZ"/>
              </w:rPr>
            </w:pPr>
            <w:r w:rsidRPr="00A1351C">
              <w:t xml:space="preserve">Assessment of this unit of competence will usually include observation of processes and procedures, oral and/or written questioning on underpinning knowledge and skills and other methods as required. </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Con</w:t>
            </w:r>
            <w:r w:rsidRPr="00A1351C">
              <w:rPr>
                <w:rStyle w:val="SpecialBold"/>
              </w:rPr>
              <w:t>text of assessment</w:t>
            </w:r>
            <w:r w:rsidRPr="00A1351C">
              <w:t xml:space="preserve">: </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 xml:space="preserve">Assessment of performance requirements in this unit should be undertaken within the financial services industry context and should cover aspects of personal/financial responsibility and accountability. </w:t>
            </w:r>
          </w:p>
          <w:p w:rsidR="00000000" w:rsidP="00A1351C">
            <w:pPr>
              <w:pStyle w:val="BodyText"/>
              <w:rPr>
                <w:lang w:val="en-NZ"/>
              </w:rPr>
            </w:pPr>
            <w:r w:rsidRPr="00A1351C">
              <w:t>Aspects of competency, including</w:t>
            </w:r>
            <w:r w:rsidRPr="00A1351C">
              <w:t xml:space="preserve"> the attainment of relevant knowledge and skills, may be assessed in a relevant workplace, a closely simulated work environment, or other appropriate means that clearly meet industry competency requirements. </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Resources required for assessment</w:t>
            </w:r>
            <w:r w:rsidRPr="00A1351C">
              <w:t xml:space="preserve">: </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Assessment of this unit of competence requires access to suitable resources to demonstrate competence.</w:t>
            </w:r>
          </w:p>
          <w:p w:rsidR="00000000" w:rsidRPr="00A1351C" w:rsidP="00A1351C">
            <w:pPr>
              <w:pStyle w:val="BodyText"/>
            </w:pPr>
            <w:r w:rsidRPr="00A1351C">
              <w:t>Assessment instruments, including personal planner and assessment record book.</w:t>
            </w:r>
          </w:p>
          <w:p w:rsidR="00000000" w:rsidRPr="00A1351C" w:rsidP="00A1351C">
            <w:pPr>
              <w:pStyle w:val="BodyText"/>
            </w:pPr>
            <w:r w:rsidRPr="00A1351C">
              <w:t xml:space="preserve">Access to registered provider of assessment services. </w:t>
            </w:r>
          </w:p>
        </w:tc>
      </w:tr>
    </w:tbl>
    <w:p w:rsidR="00000000" w:rsidRPr="00A1351C" w:rsidP="00A1351C">
      <w:pPr>
        <w:pStyle w:val="BodyText"/>
      </w:pPr>
    </w:p>
    <w:p w:rsidR="00000000" w:rsidRPr="00A1351C" w:rsidP="00A1351C">
      <w:pPr>
        <w:pStyle w:val="AllowPageBreak"/>
      </w:pPr>
    </w:p>
    <w:p w:rsidR="00000000" w:rsidRPr="00A1351C" w:rsidP="00A1351C">
      <w:pPr>
        <w:pStyle w:val="Heading1"/>
      </w:pPr>
      <w:bookmarkStart w:id="11" w:name="O_318120"/>
      <w:bookmarkEnd w:id="11"/>
      <w:r w:rsidRPr="00A1351C">
        <w:t>Range Statement</w:t>
      </w:r>
    </w:p>
    <w:tbl>
      <w:tblPr>
        <w:tblW w:w="0" w:type="auto"/>
        <w:tblLayout w:type="fixed"/>
        <w:tblCellMar>
          <w:left w:w="62" w:type="dxa"/>
          <w:right w:w="62" w:type="dxa"/>
        </w:tblCellMar>
        <w:tblLook w:val="0000"/>
      </w:tblPr>
      <w:tblGrid>
        <w:gridCol w:w="4500"/>
        <w:gridCol w:w="4500"/>
      </w:tblGrid>
      <w:tr w:rsidTr="001329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351C">
            <w:pPr>
              <w:pStyle w:val="BodyText"/>
              <w:rPr>
                <w:lang w:val="en-NZ"/>
              </w:rPr>
            </w:pPr>
          </w:p>
        </w:tc>
      </w:tr>
      <w:tr w:rsidTr="001329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The Range Statement relates to the unit of competency as a whole. It allows for different work environments and situations that will affect performance.</w:t>
            </w:r>
          </w:p>
          <w:p w:rsidR="00000000" w:rsidP="00A1351C">
            <w:pPr>
              <w:pStyle w:val="BodyText"/>
              <w:rPr>
                <w:lang w:val="en-NZ"/>
              </w:rPr>
            </w:pPr>
            <w:r w:rsidRPr="00A1351C">
              <w:t>The following variables may be present with training and assessment depending on the</w:t>
            </w:r>
            <w:r w:rsidRPr="00A1351C">
              <w:t xml:space="preserve"> work situation, needs of the candidate, accessibility of the item, and local industry and regional contexts. If </w:t>
            </w:r>
            <w:r w:rsidRPr="00A1351C">
              <w:rPr>
                <w:rStyle w:val="SpecialBold"/>
              </w:rPr>
              <w:t>bold italicised</w:t>
            </w:r>
            <w:r w:rsidRPr="00A1351C">
              <w:t xml:space="preserve"> text is shown in Performance Criteria, details of the text are provided in the Range Statement. </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Strengths and weaknesses</w:t>
            </w:r>
            <w:r w:rsidRPr="00A1351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cash flow schedules</w:t>
            </w:r>
          </w:p>
          <w:p w:rsidR="00000000" w:rsidRPr="00A1351C" w:rsidP="00A1351C">
            <w:pPr>
              <w:pStyle w:val="BodyText"/>
            </w:pPr>
            <w:r w:rsidRPr="00A1351C">
              <w:t>budget estimates</w:t>
            </w:r>
          </w:p>
          <w:p w:rsidR="00000000" w:rsidRPr="00A1351C" w:rsidP="00A1351C">
            <w:pPr>
              <w:pStyle w:val="BodyText"/>
            </w:pPr>
            <w:r w:rsidRPr="00A1351C">
              <w:t>financial monitoring</w:t>
            </w:r>
          </w:p>
          <w:p w:rsidR="00000000" w:rsidRPr="00A1351C" w:rsidP="00A1351C">
            <w:pPr>
              <w:pStyle w:val="BodyText"/>
            </w:pPr>
            <w:r w:rsidRPr="00A1351C">
              <w:t>unit costs</w:t>
            </w:r>
          </w:p>
          <w:p w:rsidR="00000000" w:rsidRPr="00A1351C" w:rsidP="00A1351C">
            <w:pPr>
              <w:pStyle w:val="BodyText"/>
            </w:pPr>
            <w:r w:rsidRPr="00A1351C">
              <w:t>revenue forecasts</w:t>
            </w:r>
          </w:p>
          <w:p w:rsidR="00000000" w:rsidP="00A1351C">
            <w:pPr>
              <w:pStyle w:val="BodyText"/>
              <w:rPr>
                <w:lang w:val="en-NZ"/>
              </w:rPr>
            </w:pPr>
            <w:r w:rsidRPr="00A1351C">
              <w:t xml:space="preserve">internal control compliance </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Short and long term obligations</w:t>
            </w:r>
            <w:r w:rsidRPr="00A1351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debt retirement</w:t>
            </w:r>
          </w:p>
          <w:p w:rsidR="00000000" w:rsidRPr="00A1351C" w:rsidP="00A1351C">
            <w:pPr>
              <w:pStyle w:val="BodyText"/>
            </w:pPr>
            <w:r w:rsidRPr="00A1351C">
              <w:t>salaries</w:t>
            </w:r>
          </w:p>
          <w:p w:rsidR="00000000" w:rsidRPr="00A1351C" w:rsidP="00A1351C">
            <w:pPr>
              <w:pStyle w:val="BodyText"/>
            </w:pPr>
            <w:r w:rsidRPr="00A1351C">
              <w:t>periodic payments (eg leases, loans)</w:t>
            </w:r>
          </w:p>
          <w:p w:rsidR="00000000" w:rsidRPr="00A1351C" w:rsidP="00A1351C">
            <w:pPr>
              <w:pStyle w:val="BodyText"/>
            </w:pPr>
            <w:r w:rsidRPr="00A1351C">
              <w:t>taxation payment</w:t>
            </w:r>
            <w:r w:rsidRPr="00A1351C">
              <w:t>s</w:t>
            </w:r>
          </w:p>
          <w:p w:rsidR="00000000" w:rsidRPr="00A1351C" w:rsidP="00A1351C">
            <w:pPr>
              <w:pStyle w:val="BodyText"/>
            </w:pPr>
            <w:r w:rsidRPr="00A1351C">
              <w:t>superannuation</w:t>
            </w:r>
          </w:p>
          <w:p w:rsidR="00000000" w:rsidRPr="00A1351C" w:rsidP="00A1351C">
            <w:pPr>
              <w:pStyle w:val="BodyText"/>
            </w:pPr>
            <w:r w:rsidRPr="00A1351C">
              <w:t>dividends</w:t>
            </w:r>
          </w:p>
          <w:p w:rsidR="00000000" w:rsidP="00A1351C">
            <w:pPr>
              <w:pStyle w:val="BodyText"/>
              <w:rPr>
                <w:lang w:val="en-NZ"/>
              </w:rPr>
            </w:pPr>
            <w:r w:rsidRPr="00A1351C">
              <w:t xml:space="preserve">capital structure decisions </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Standard financial analysis techniques</w:t>
            </w:r>
            <w:r w:rsidRPr="00A1351C">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cost-benefit analysis</w:t>
            </w:r>
          </w:p>
          <w:p w:rsidR="00000000" w:rsidRPr="00A1351C" w:rsidP="00A1351C">
            <w:pPr>
              <w:pStyle w:val="BodyText"/>
            </w:pPr>
            <w:r w:rsidRPr="00A1351C">
              <w:t>'what if' analysis</w:t>
            </w:r>
          </w:p>
          <w:p w:rsidR="00000000" w:rsidRPr="00A1351C" w:rsidP="00A1351C">
            <w:pPr>
              <w:pStyle w:val="BodyText"/>
            </w:pPr>
            <w:r w:rsidRPr="00A1351C">
              <w:t>time series</w:t>
            </w:r>
          </w:p>
          <w:p w:rsidR="00000000" w:rsidRPr="00A1351C" w:rsidP="00A1351C">
            <w:pPr>
              <w:pStyle w:val="BodyText"/>
            </w:pPr>
            <w:r w:rsidRPr="00A1351C">
              <w:t>bivariate and multivariate analysis</w:t>
            </w:r>
          </w:p>
          <w:p w:rsidR="00000000" w:rsidP="00A1351C">
            <w:pPr>
              <w:pStyle w:val="BodyText"/>
              <w:rPr>
                <w:lang w:val="en-NZ"/>
              </w:rPr>
            </w:pPr>
            <w:r w:rsidRPr="00A1351C">
              <w:t xml:space="preserve">break even analysis </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Financial priorities</w:t>
            </w:r>
            <w:r w:rsidRPr="00A1351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sales targets</w:t>
            </w:r>
          </w:p>
          <w:p w:rsidR="00000000" w:rsidRPr="00A1351C" w:rsidP="00A1351C">
            <w:pPr>
              <w:pStyle w:val="BodyText"/>
            </w:pPr>
            <w:r w:rsidRPr="00A1351C">
              <w:t>revenue estimates</w:t>
            </w:r>
          </w:p>
          <w:p w:rsidR="00000000" w:rsidRPr="00A1351C" w:rsidP="00A1351C">
            <w:pPr>
              <w:pStyle w:val="BodyText"/>
            </w:pPr>
            <w:r w:rsidRPr="00A1351C">
              <w:t>rates of returns</w:t>
            </w:r>
          </w:p>
          <w:p w:rsidR="00000000" w:rsidRPr="00A1351C" w:rsidP="00A1351C">
            <w:pPr>
              <w:pStyle w:val="BodyText"/>
            </w:pPr>
            <w:r w:rsidRPr="00A1351C">
              <w:t>cost minimisation (capital and recurrent costs)</w:t>
            </w:r>
          </w:p>
          <w:p w:rsidR="00000000" w:rsidP="00A1351C">
            <w:pPr>
              <w:pStyle w:val="BodyText"/>
              <w:rPr>
                <w:lang w:val="en-NZ"/>
              </w:rPr>
            </w:pPr>
            <w:r w:rsidRPr="00A1351C">
              <w:t xml:space="preserve">periodic monitoring and transparency of expenditure </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Investments</w:t>
            </w:r>
            <w:r w:rsidRPr="00A1351C">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property</w:t>
            </w:r>
          </w:p>
          <w:p w:rsidR="00000000" w:rsidRPr="00A1351C" w:rsidP="00A1351C">
            <w:pPr>
              <w:pStyle w:val="BodyText"/>
            </w:pPr>
            <w:r w:rsidRPr="00A1351C">
              <w:t>shares and securities, preference shares</w:t>
            </w:r>
          </w:p>
          <w:p w:rsidR="00000000" w:rsidRPr="00A1351C" w:rsidP="00A1351C">
            <w:pPr>
              <w:pStyle w:val="BodyText"/>
            </w:pPr>
            <w:r w:rsidRPr="00A1351C">
              <w:t>debentures</w:t>
            </w:r>
          </w:p>
          <w:p w:rsidR="00000000" w:rsidRPr="00A1351C" w:rsidP="00A1351C">
            <w:pPr>
              <w:pStyle w:val="BodyText"/>
            </w:pPr>
            <w:r w:rsidRPr="00A1351C">
              <w:t>plant and equipment</w:t>
            </w:r>
          </w:p>
          <w:p w:rsidR="00000000" w:rsidP="00A1351C">
            <w:pPr>
              <w:pStyle w:val="BodyText"/>
              <w:rPr>
                <w:lang w:val="en-NZ"/>
              </w:rPr>
            </w:pPr>
            <w:r w:rsidRPr="00A1351C">
              <w:t xml:space="preserve">interest bearing accounts </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Financial options</w:t>
            </w:r>
            <w:r w:rsidRPr="00A1351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cost recoveries</w:t>
            </w:r>
          </w:p>
          <w:p w:rsidR="00000000" w:rsidRPr="00A1351C" w:rsidP="00A1351C">
            <w:pPr>
              <w:pStyle w:val="BodyText"/>
            </w:pPr>
            <w:r w:rsidRPr="00A1351C">
              <w:t>budget absorption</w:t>
            </w:r>
          </w:p>
          <w:p w:rsidR="00000000" w:rsidRPr="00A1351C" w:rsidP="00A1351C">
            <w:pPr>
              <w:pStyle w:val="BodyText"/>
            </w:pPr>
            <w:r w:rsidRPr="00A1351C">
              <w:t>purchases</w:t>
            </w:r>
          </w:p>
          <w:p w:rsidR="00000000" w:rsidRPr="00A1351C" w:rsidP="00A1351C">
            <w:pPr>
              <w:pStyle w:val="BodyText"/>
            </w:pPr>
            <w:r w:rsidRPr="00A1351C">
              <w:t>adjustment of borrowings</w:t>
            </w:r>
          </w:p>
          <w:p w:rsidR="00000000" w:rsidRPr="00A1351C" w:rsidP="00A1351C">
            <w:pPr>
              <w:pStyle w:val="BodyText"/>
            </w:pPr>
            <w:r w:rsidRPr="00A1351C">
              <w:t>asset liquidation</w:t>
            </w:r>
          </w:p>
          <w:p w:rsidR="00000000" w:rsidRPr="00A1351C" w:rsidP="00A1351C">
            <w:pPr>
              <w:pStyle w:val="BodyText"/>
            </w:pPr>
            <w:r w:rsidRPr="00A1351C">
              <w:t>long term investments</w:t>
            </w:r>
          </w:p>
          <w:p w:rsidR="00000000" w:rsidRPr="00A1351C" w:rsidP="00A1351C">
            <w:pPr>
              <w:pStyle w:val="BodyText"/>
            </w:pPr>
            <w:r w:rsidRPr="00A1351C">
              <w:t>expenditure re-prioritisation</w:t>
            </w:r>
          </w:p>
          <w:p w:rsidR="00000000" w:rsidP="00A1351C">
            <w:pPr>
              <w:pStyle w:val="BodyText"/>
              <w:rPr>
                <w:lang w:val="en-NZ"/>
              </w:rPr>
            </w:pPr>
            <w:r w:rsidRPr="00A1351C">
              <w:t xml:space="preserve">equity injections </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Assets and liabilities</w:t>
            </w:r>
            <w:r w:rsidRPr="00A1351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property investments</w:t>
            </w:r>
          </w:p>
          <w:p w:rsidR="00000000" w:rsidRPr="00A1351C" w:rsidP="00A1351C">
            <w:pPr>
              <w:pStyle w:val="BodyText"/>
            </w:pPr>
            <w:r w:rsidRPr="00A1351C">
              <w:t>shares, bonds, securities</w:t>
            </w:r>
          </w:p>
          <w:p w:rsidR="00000000" w:rsidRPr="00A1351C" w:rsidP="00A1351C">
            <w:pPr>
              <w:pStyle w:val="BodyText"/>
            </w:pPr>
            <w:r w:rsidRPr="00A1351C">
              <w:t>loans, leases, debts</w:t>
            </w:r>
          </w:p>
          <w:p w:rsidR="00000000" w:rsidRPr="00A1351C" w:rsidP="00A1351C">
            <w:pPr>
              <w:pStyle w:val="BodyText"/>
            </w:pPr>
            <w:r w:rsidRPr="00A1351C">
              <w:t>plant and equipment</w:t>
            </w:r>
          </w:p>
          <w:p w:rsidR="00000000" w:rsidRPr="00A1351C" w:rsidP="00A1351C">
            <w:pPr>
              <w:pStyle w:val="BodyText"/>
            </w:pPr>
            <w:r w:rsidRPr="00A1351C">
              <w:t>personnel</w:t>
            </w:r>
          </w:p>
          <w:p w:rsidR="00000000" w:rsidRPr="00A1351C" w:rsidP="00A1351C">
            <w:pPr>
              <w:pStyle w:val="BodyText"/>
            </w:pPr>
            <w:r w:rsidRPr="00A1351C">
              <w:t>cash</w:t>
            </w:r>
          </w:p>
          <w:p w:rsidR="00000000" w:rsidP="00A1351C">
            <w:pPr>
              <w:pStyle w:val="BodyText"/>
              <w:rPr>
                <w:lang w:val="en-NZ"/>
              </w:rPr>
            </w:pPr>
            <w:r w:rsidRPr="00A1351C">
              <w:t xml:space="preserve">investments </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Organisational policies and procedures</w:t>
            </w:r>
            <w:r w:rsidRPr="00A1351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price and exchange parameters</w:t>
            </w:r>
          </w:p>
          <w:p w:rsidR="00000000" w:rsidRPr="00A1351C" w:rsidP="00A1351C">
            <w:pPr>
              <w:pStyle w:val="BodyText"/>
            </w:pPr>
            <w:r w:rsidRPr="00A1351C">
              <w:t>reporting requirements</w:t>
            </w:r>
          </w:p>
          <w:p w:rsidR="00000000" w:rsidRPr="00A1351C" w:rsidP="00A1351C">
            <w:pPr>
              <w:pStyle w:val="BodyText"/>
            </w:pPr>
            <w:r w:rsidRPr="00A1351C">
              <w:t>financial analysis assessments</w:t>
            </w:r>
          </w:p>
          <w:p w:rsidR="00000000" w:rsidRPr="00A1351C" w:rsidP="00A1351C">
            <w:pPr>
              <w:pStyle w:val="BodyText"/>
            </w:pPr>
            <w:r w:rsidRPr="00A1351C">
              <w:t>r</w:t>
            </w:r>
            <w:r w:rsidRPr="00A1351C">
              <w:t>ecording and filing systems</w:t>
            </w:r>
          </w:p>
          <w:p w:rsidR="00000000" w:rsidRPr="00A1351C" w:rsidP="00A1351C">
            <w:pPr>
              <w:pStyle w:val="BodyText"/>
            </w:pPr>
            <w:r w:rsidRPr="00A1351C">
              <w:t>standard financial analysis techniques</w:t>
            </w:r>
          </w:p>
          <w:p w:rsidR="00000000" w:rsidP="00A1351C">
            <w:pPr>
              <w:pStyle w:val="BodyText"/>
              <w:rPr>
                <w:lang w:val="en-NZ"/>
              </w:rPr>
            </w:pPr>
            <w:r w:rsidRPr="00A1351C">
              <w:t xml:space="preserve">financial management manuals </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Standard accounting techniques</w:t>
            </w:r>
            <w:r w:rsidRPr="00A1351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discounted cash flows</w:t>
            </w:r>
          </w:p>
          <w:p w:rsidR="00000000" w:rsidRPr="00A1351C" w:rsidP="00A1351C">
            <w:pPr>
              <w:pStyle w:val="BodyText"/>
            </w:pPr>
            <w:r w:rsidRPr="00A1351C">
              <w:t>deprival asset valuations</w:t>
            </w:r>
          </w:p>
          <w:p w:rsidR="00000000" w:rsidRPr="00A1351C" w:rsidP="00A1351C">
            <w:pPr>
              <w:pStyle w:val="BodyText"/>
            </w:pPr>
            <w:r w:rsidRPr="00A1351C">
              <w:t>rates of return</w:t>
            </w:r>
          </w:p>
          <w:p w:rsidR="00000000" w:rsidRPr="00A1351C" w:rsidP="00A1351C">
            <w:pPr>
              <w:pStyle w:val="BodyText"/>
            </w:pPr>
            <w:r w:rsidRPr="00A1351C">
              <w:t>pay back periods</w:t>
            </w:r>
          </w:p>
          <w:p w:rsidR="00000000" w:rsidRPr="00A1351C" w:rsidP="00A1351C">
            <w:pPr>
              <w:pStyle w:val="BodyText"/>
            </w:pPr>
            <w:r w:rsidRPr="00A1351C">
              <w:t>impact statements</w:t>
            </w:r>
          </w:p>
          <w:p w:rsidR="00000000" w:rsidRPr="00A1351C" w:rsidP="00A1351C">
            <w:pPr>
              <w:pStyle w:val="BodyText"/>
            </w:pPr>
            <w:r w:rsidRPr="00A1351C">
              <w:t>pro-rata and percentage apportionment</w:t>
            </w:r>
          </w:p>
          <w:p w:rsidR="00000000" w:rsidRPr="00A1351C" w:rsidP="00A1351C">
            <w:pPr>
              <w:pStyle w:val="BodyText"/>
            </w:pPr>
            <w:r w:rsidRPr="00A1351C">
              <w:t>direct allocation</w:t>
            </w:r>
          </w:p>
          <w:p w:rsidR="00000000" w:rsidP="00A1351C">
            <w:pPr>
              <w:pStyle w:val="BodyText"/>
              <w:rPr>
                <w:lang w:val="en-NZ"/>
              </w:rPr>
            </w:pPr>
            <w:r w:rsidRPr="00A1351C">
              <w:t xml:space="preserve">break-even analysis </w:t>
            </w:r>
          </w:p>
        </w:tc>
      </w:tr>
      <w:tr w:rsidTr="001329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351C">
            <w:pPr>
              <w:pStyle w:val="BodyText"/>
              <w:rPr>
                <w:lang w:val="en-NZ"/>
              </w:rPr>
            </w:pPr>
            <w:r w:rsidRPr="00A1351C">
              <w:rPr>
                <w:rStyle w:val="SpecialBold"/>
              </w:rPr>
              <w:t>Risk strategiesmay include</w:t>
            </w:r>
            <w:r w:rsidRPr="00A1351C">
              <w:t xml:space="preserve">: </w:t>
            </w:r>
          </w:p>
        </w:tc>
        <w:tc>
          <w:tcPr>
            <w:tcW w:w="4500" w:type="dxa"/>
            <w:tcBorders>
              <w:top w:val="nil"/>
              <w:left w:val="nil"/>
              <w:bottom w:val="nil"/>
              <w:right w:val="nil"/>
            </w:tcBorders>
            <w:tcMar>
              <w:top w:w="0" w:type="dxa"/>
              <w:left w:w="62" w:type="dxa"/>
              <w:bottom w:w="0" w:type="dxa"/>
              <w:right w:w="62" w:type="dxa"/>
            </w:tcMar>
          </w:tcPr>
          <w:p w:rsidR="00000000" w:rsidRPr="00A1351C" w:rsidP="00A1351C">
            <w:pPr>
              <w:pStyle w:val="BodyText"/>
            </w:pPr>
            <w:r w:rsidRPr="00A1351C">
              <w:t>quantification of risks</w:t>
            </w:r>
          </w:p>
          <w:p w:rsidR="00000000" w:rsidRPr="00A1351C" w:rsidP="00A1351C">
            <w:pPr>
              <w:pStyle w:val="BodyText"/>
            </w:pPr>
            <w:r w:rsidRPr="00A1351C">
              <w:t>periodic reporting</w:t>
            </w:r>
          </w:p>
          <w:p w:rsidR="00000000" w:rsidRPr="00A1351C" w:rsidP="00A1351C">
            <w:pPr>
              <w:pStyle w:val="BodyText"/>
            </w:pPr>
            <w:r w:rsidRPr="00A1351C">
              <w:t>decision making authorities</w:t>
            </w:r>
          </w:p>
          <w:p w:rsidR="00000000" w:rsidRPr="00A1351C" w:rsidP="00A1351C">
            <w:pPr>
              <w:pStyle w:val="BodyText"/>
            </w:pPr>
            <w:r w:rsidRPr="00A1351C">
              <w:t>policy statements</w:t>
            </w:r>
          </w:p>
          <w:p w:rsidR="00000000" w:rsidRPr="00A1351C" w:rsidP="00A1351C">
            <w:pPr>
              <w:pStyle w:val="BodyText"/>
            </w:pPr>
            <w:r w:rsidRPr="00A1351C">
              <w:t>forecasting</w:t>
            </w:r>
          </w:p>
          <w:p w:rsidR="00000000" w:rsidRPr="00A1351C" w:rsidP="00A1351C">
            <w:pPr>
              <w:pStyle w:val="BodyText"/>
            </w:pPr>
            <w:r w:rsidRPr="00A1351C">
              <w:t>comparative analysis</w:t>
            </w:r>
          </w:p>
          <w:p w:rsidR="00000000" w:rsidRPr="00A1351C" w:rsidP="00A1351C">
            <w:pPr>
              <w:pStyle w:val="BodyText"/>
            </w:pPr>
            <w:r w:rsidRPr="00A1351C">
              <w:t xml:space="preserve">capital structure </w:t>
            </w:r>
          </w:p>
        </w:tc>
      </w:tr>
    </w:tbl>
    <w:p w:rsidR="00000000" w:rsidRPr="00A1351C" w:rsidP="00A1351C">
      <w:pPr>
        <w:pStyle w:val="BodyText"/>
      </w:pPr>
    </w:p>
    <w:p w:rsidR="00000000" w:rsidRPr="00A1351C" w:rsidP="00A1351C">
      <w:pPr>
        <w:pStyle w:val="AllowPageBreak"/>
      </w:pPr>
    </w:p>
    <w:p w:rsidR="00000000" w:rsidRPr="00A1351C" w:rsidP="00A1351C">
      <w:pPr>
        <w:pStyle w:val="Heading1"/>
      </w:pPr>
      <w:bookmarkStart w:id="12" w:name="O_318115"/>
      <w:bookmarkEnd w:id="12"/>
      <w:r w:rsidRPr="00A1351C">
        <w:t>Unit Sector(s)</w:t>
      </w:r>
    </w:p>
    <w:p w:rsidR="00000000" w:rsidRPr="00A1351C" w:rsidP="00A1351C">
      <w:pPr>
        <w:pStyle w:val="BodyText"/>
      </w:pPr>
      <w:r w:rsidRPr="00A1351C">
        <w:t>Not applicable.</w:t>
      </w:r>
    </w:p>
    <w:p w:rsidR="00000000" w:rsidRPr="00A1351C" w:rsidP="00A1351C">
      <w:pPr>
        <w:pStyle w:val="AllowPageBreak"/>
      </w:pPr>
    </w:p>
    <w:p w:rsidR="00000000" w:rsidRPr="00A1351C" w:rsidP="00A1351C">
      <w:pPr>
        <w:pStyle w:val="Heading1"/>
      </w:pPr>
      <w:bookmarkStart w:id="13" w:name="O_318121"/>
      <w:bookmarkEnd w:id="13"/>
      <w:r w:rsidRPr="00A1351C">
        <w:t>Relationship to other units</w:t>
      </w:r>
    </w:p>
    <w:p w:rsidR="00000000" w:rsidRPr="00A1351C" w:rsidP="00A1351C">
      <w:pPr>
        <w:pStyle w:val="BodyText"/>
      </w:pPr>
      <w:r w:rsidRPr="00A1351C">
        <w:t>This unit replaces FNSACCT608A.</w:t>
      </w:r>
    </w:p>
    <w:p w:rsidR="00000000" w:rsidRPr="00A1351C" w:rsidP="00A1351C">
      <w:pPr>
        <w:pStyle w:val="BodyText"/>
      </w:pPr>
      <w:r w:rsidRPr="00A1351C">
        <w:t>This unit replaces FNSACCT608A.</w:t>
      </w:r>
    </w:p>
    <w:p w:rsidR="00000000" w:rsidRPr="00A1351C" w:rsidP="00A1351C"/>
    <w:sectPr w:rsidSect="00A135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9D0" w:rsidP="001329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D0" w:rsidP="00A135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29D0" w:rsidP="00A135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329D0" w:rsidP="00A135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9D0" w:rsidP="001329D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D0" w:rsidP="00A1351C">
    <w:pPr>
      <w:pStyle w:val="Header"/>
      <w:framePr w:wrap="around"/>
    </w:pPr>
    <w:r>
      <w:fldChar w:fldCharType="begin"/>
    </w:r>
    <w:r>
      <w:instrText xml:space="preserve"> TITLE   \* MERGEFORMAT </w:instrText>
    </w:r>
    <w:r>
      <w:fldChar w:fldCharType="separate"/>
    </w:r>
    <w:r>
      <w:t>FNSACCT608B Evaluate organisation's financial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29D0" w:rsidP="00A135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5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351C"/>
    <w:pPr>
      <w:spacing w:before="360" w:after="60"/>
      <w:outlineLvl w:val="0"/>
    </w:pPr>
    <w:rPr>
      <w:sz w:val="32"/>
    </w:rPr>
  </w:style>
  <w:style w:type="paragraph" w:styleId="Heading2">
    <w:name w:val="heading 2"/>
    <w:basedOn w:val="HeadingBase"/>
    <w:next w:val="BodyText"/>
    <w:link w:val="Heading2Char"/>
    <w:qFormat/>
    <w:rsid w:val="00A1351C"/>
    <w:pPr>
      <w:keepLines/>
      <w:spacing w:before="240" w:after="120"/>
      <w:outlineLvl w:val="1"/>
    </w:pPr>
    <w:rPr>
      <w:sz w:val="28"/>
      <w:szCs w:val="40"/>
    </w:rPr>
  </w:style>
  <w:style w:type="paragraph" w:styleId="Heading3">
    <w:name w:val="heading 3"/>
    <w:basedOn w:val="HeadingBase"/>
    <w:next w:val="BodyText"/>
    <w:link w:val="Heading3Char"/>
    <w:qFormat/>
    <w:rsid w:val="00A1351C"/>
    <w:pPr>
      <w:spacing w:before="180" w:after="120"/>
      <w:outlineLvl w:val="2"/>
    </w:pPr>
    <w:rPr>
      <w:spacing w:val="-10"/>
      <w:kern w:val="32"/>
    </w:rPr>
  </w:style>
  <w:style w:type="paragraph" w:styleId="Heading4">
    <w:name w:val="heading 4"/>
    <w:basedOn w:val="HeadingBase"/>
    <w:next w:val="BodyText"/>
    <w:link w:val="Heading4Char"/>
    <w:qFormat/>
    <w:rsid w:val="00A1351C"/>
    <w:pPr>
      <w:spacing w:before="160" w:after="120"/>
      <w:outlineLvl w:val="3"/>
    </w:pPr>
    <w:rPr>
      <w:sz w:val="22"/>
    </w:rPr>
  </w:style>
  <w:style w:type="paragraph" w:styleId="Heading5">
    <w:name w:val="heading 5"/>
    <w:basedOn w:val="HeadingBase"/>
    <w:next w:val="Normal"/>
    <w:link w:val="Heading5Char"/>
    <w:qFormat/>
    <w:rsid w:val="00A1351C"/>
    <w:pPr>
      <w:spacing w:before="80"/>
      <w:outlineLvl w:val="4"/>
    </w:pPr>
    <w:rPr>
      <w:color w:val="918585"/>
      <w:sz w:val="20"/>
    </w:rPr>
  </w:style>
  <w:style w:type="paragraph" w:styleId="Heading6">
    <w:name w:val="heading 6"/>
    <w:basedOn w:val="HeadingBase"/>
    <w:next w:val="Normal"/>
    <w:link w:val="Heading6Char"/>
    <w:qFormat/>
    <w:rsid w:val="00A1351C"/>
    <w:pPr>
      <w:spacing w:before="60"/>
      <w:outlineLvl w:val="5"/>
    </w:pPr>
    <w:rPr>
      <w:color w:val="918585"/>
      <w:sz w:val="20"/>
    </w:rPr>
  </w:style>
  <w:style w:type="paragraph" w:styleId="Heading7">
    <w:name w:val="heading 7"/>
    <w:basedOn w:val="Normal"/>
    <w:next w:val="Normal"/>
    <w:link w:val="Heading7Char"/>
    <w:qFormat/>
    <w:rsid w:val="00A1351C"/>
    <w:pPr>
      <w:ind w:left="720"/>
      <w:outlineLvl w:val="6"/>
    </w:pPr>
    <w:rPr>
      <w:i/>
    </w:rPr>
  </w:style>
  <w:style w:type="paragraph" w:styleId="Heading8">
    <w:name w:val="heading 8"/>
    <w:basedOn w:val="Normal"/>
    <w:next w:val="Normal"/>
    <w:link w:val="Heading8Char"/>
    <w:qFormat/>
    <w:rsid w:val="00A1351C"/>
    <w:pPr>
      <w:ind w:left="720"/>
      <w:outlineLvl w:val="7"/>
    </w:pPr>
    <w:rPr>
      <w:i/>
    </w:rPr>
  </w:style>
  <w:style w:type="paragraph" w:styleId="Heading9">
    <w:name w:val="heading 9"/>
    <w:basedOn w:val="Normal"/>
    <w:next w:val="Normal"/>
    <w:link w:val="Heading9Char"/>
    <w:qFormat/>
    <w:rsid w:val="00A1351C"/>
    <w:pPr>
      <w:ind w:left="720"/>
      <w:outlineLvl w:val="8"/>
    </w:pPr>
    <w:rPr>
      <w:i/>
    </w:rPr>
  </w:style>
  <w:style w:type="character" w:default="1" w:styleId="DefaultParagraphFont">
    <w:name w:val="Default Paragraph Font"/>
    <w:uiPriority w:val="1"/>
    <w:unhideWhenUsed/>
    <w:rsid w:val="00A135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51C"/>
  </w:style>
  <w:style w:type="character" w:customStyle="1" w:styleId="Heading1Char">
    <w:name w:val="Heading 1 Char"/>
    <w:link w:val="Heading1"/>
    <w:rsid w:val="00A1351C"/>
    <w:rPr>
      <w:rFonts w:ascii="Times New Roman" w:eastAsia="Times New Roman" w:hAnsi="Times New Roman" w:cs="Times New Roman"/>
      <w:b/>
      <w:sz w:val="32"/>
      <w:szCs w:val="20"/>
      <w:lang w:eastAsia="en-US"/>
    </w:rPr>
  </w:style>
  <w:style w:type="paragraph" w:styleId="BodyText">
    <w:name w:val="Body Text"/>
    <w:basedOn w:val="Normal"/>
    <w:link w:val="BodyTextChar"/>
    <w:rsid w:val="00A1351C"/>
    <w:pPr>
      <w:spacing w:before="120" w:after="120"/>
      <w:contextualSpacing/>
    </w:pPr>
    <w:rPr>
      <w:rFonts w:ascii="Times New Roman" w:hAnsi="Times New Roman"/>
      <w:sz w:val="24"/>
      <w:szCs w:val="22"/>
    </w:rPr>
  </w:style>
  <w:style w:type="character" w:customStyle="1" w:styleId="BodyTextChar">
    <w:name w:val="Body Text Char"/>
    <w:link w:val="BodyText"/>
    <w:rsid w:val="00A1351C"/>
    <w:rPr>
      <w:rFonts w:ascii="Times New Roman" w:eastAsia="Times New Roman" w:hAnsi="Times New Roman" w:cs="Times New Roman"/>
      <w:sz w:val="24"/>
      <w:lang w:val="en-US" w:eastAsia="en-US"/>
    </w:rPr>
  </w:style>
  <w:style w:type="paragraph" w:styleId="Footer">
    <w:name w:val="footer"/>
    <w:basedOn w:val="Normal"/>
    <w:link w:val="FooterChar"/>
    <w:rsid w:val="00A135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1351C"/>
    <w:rPr>
      <w:rFonts w:ascii="Times New Roman" w:eastAsia="Times New Roman" w:hAnsi="Times New Roman" w:cs="Times New Roman"/>
      <w:sz w:val="16"/>
      <w:lang w:val="en-US" w:eastAsia="en-US"/>
    </w:rPr>
  </w:style>
  <w:style w:type="character" w:customStyle="1" w:styleId="SpecialBold">
    <w:name w:val="Special Bold"/>
    <w:rsid w:val="00A1351C"/>
    <w:rPr>
      <w:b/>
      <w:spacing w:val="0"/>
    </w:rPr>
  </w:style>
  <w:style w:type="paragraph" w:styleId="Header">
    <w:name w:val="header"/>
    <w:basedOn w:val="Normal"/>
    <w:link w:val="HeaderChar"/>
    <w:rsid w:val="00A135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135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351C"/>
    <w:pPr>
      <w:spacing w:before="240" w:after="120"/>
      <w:outlineLvl w:val="0"/>
    </w:pPr>
    <w:rPr>
      <w:rFonts w:ascii="Times New Roman" w:hAnsi="Times New Roman"/>
      <w:b/>
      <w:sz w:val="28"/>
    </w:rPr>
  </w:style>
  <w:style w:type="paragraph" w:customStyle="1" w:styleId="AllowPageBreak">
    <w:name w:val="AllowPageBreak"/>
    <w:rsid w:val="00A135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1351C"/>
    <w:rPr>
      <w:rFonts w:ascii="Times New Roman" w:eastAsia="Times New Roman" w:hAnsi="Times New Roman" w:cs="Times New Roman"/>
      <w:b/>
      <w:sz w:val="28"/>
      <w:szCs w:val="40"/>
      <w:lang w:eastAsia="en-US"/>
    </w:rPr>
  </w:style>
  <w:style w:type="character" w:customStyle="1" w:styleId="Heading3Char">
    <w:name w:val="Heading 3 Char"/>
    <w:link w:val="Heading3"/>
    <w:rsid w:val="00A1351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1351C"/>
    <w:rPr>
      <w:rFonts w:ascii="Times New Roman" w:eastAsia="Times New Roman" w:hAnsi="Times New Roman" w:cs="Times New Roman"/>
      <w:b/>
      <w:szCs w:val="20"/>
      <w:lang w:eastAsia="en-US"/>
    </w:rPr>
  </w:style>
  <w:style w:type="character" w:customStyle="1" w:styleId="Heading5Char">
    <w:name w:val="Heading 5 Char"/>
    <w:link w:val="Heading5"/>
    <w:rsid w:val="00A1351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135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5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35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351C"/>
    <w:rPr>
      <w:rFonts w:ascii="Courier New" w:eastAsia="Times New Roman" w:hAnsi="Courier New" w:cs="Times New Roman"/>
      <w:i/>
      <w:szCs w:val="20"/>
      <w:lang w:val="en-US" w:eastAsia="en-US"/>
    </w:rPr>
  </w:style>
  <w:style w:type="paragraph" w:customStyle="1" w:styleId="HeadingBase">
    <w:name w:val="Heading Base"/>
    <w:rsid w:val="00A135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51C"/>
    <w:pPr>
      <w:tabs>
        <w:tab w:val="right" w:leader="dot" w:pos="9072"/>
      </w:tabs>
      <w:ind w:left="567"/>
    </w:pPr>
    <w:rPr>
      <w:szCs w:val="22"/>
    </w:rPr>
  </w:style>
  <w:style w:type="paragraph" w:customStyle="1" w:styleId="TOCBase">
    <w:name w:val="TOC Base"/>
    <w:rsid w:val="00A135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51C"/>
    <w:pPr>
      <w:tabs>
        <w:tab w:val="right" w:leader="dot" w:pos="9072"/>
      </w:tabs>
      <w:spacing w:before="40" w:after="40"/>
      <w:ind w:left="284"/>
    </w:pPr>
    <w:rPr>
      <w:rFonts w:ascii="Times New Roman" w:hAnsi="Times New Roman"/>
    </w:rPr>
  </w:style>
  <w:style w:type="paragraph" w:styleId="TOC1">
    <w:name w:val="toc 1"/>
    <w:basedOn w:val="TOCBase"/>
    <w:next w:val="Normal"/>
    <w:rsid w:val="00A135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351C"/>
    <w:pPr>
      <w:spacing w:before="5040"/>
      <w:jc w:val="center"/>
    </w:pPr>
    <w:rPr>
      <w:sz w:val="48"/>
      <w:szCs w:val="72"/>
      <w:lang w:val="en-US"/>
    </w:rPr>
  </w:style>
  <w:style w:type="character" w:customStyle="1" w:styleId="TitleChar">
    <w:name w:val="Title Char"/>
    <w:link w:val="Title"/>
    <w:rsid w:val="00A135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51C"/>
    <w:pPr>
      <w:tabs>
        <w:tab w:val="left" w:pos="3600"/>
        <w:tab w:val="left" w:pos="3958"/>
      </w:tabs>
    </w:pPr>
  </w:style>
  <w:style w:type="paragraph" w:styleId="List">
    <w:name w:val="List"/>
    <w:basedOn w:val="BodyText"/>
    <w:next w:val="BodyText"/>
    <w:rsid w:val="00A1351C"/>
    <w:pPr>
      <w:tabs>
        <w:tab w:val="left" w:pos="340"/>
      </w:tabs>
      <w:spacing w:before="60" w:after="60"/>
      <w:ind w:left="340" w:hanging="340"/>
    </w:pPr>
  </w:style>
  <w:style w:type="paragraph" w:styleId="ListBullet">
    <w:name w:val="List Bullet"/>
    <w:basedOn w:val="List"/>
    <w:rsid w:val="00A1351C"/>
    <w:pPr>
      <w:numPr>
        <w:numId w:val="11"/>
      </w:numPr>
      <w:tabs>
        <w:tab w:val="clear" w:pos="340"/>
      </w:tabs>
      <w:spacing w:before="40" w:after="40"/>
    </w:pPr>
  </w:style>
  <w:style w:type="paragraph" w:customStyle="1" w:styleId="Note">
    <w:name w:val="Note"/>
    <w:basedOn w:val="BodyText"/>
    <w:rsid w:val="00A135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51C"/>
    <w:pPr>
      <w:framePr w:wrap="auto" w:hAnchor="text" w:y="6049"/>
    </w:pPr>
    <w:rPr>
      <w:color w:val="000000"/>
      <w:sz w:val="40"/>
    </w:rPr>
  </w:style>
  <w:style w:type="paragraph" w:customStyle="1" w:styleId="TOCTitle">
    <w:name w:val="TOCTitle"/>
    <w:basedOn w:val="Heading1"/>
    <w:rsid w:val="00A1351C"/>
    <w:pPr>
      <w:spacing w:after="240"/>
      <w:jc w:val="center"/>
      <w:outlineLvl w:val="9"/>
    </w:pPr>
    <w:rPr>
      <w:caps/>
    </w:rPr>
  </w:style>
  <w:style w:type="paragraph" w:customStyle="1" w:styleId="Version">
    <w:name w:val="Version"/>
    <w:rsid w:val="00A135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351C"/>
    <w:pPr>
      <w:numPr>
        <w:numId w:val="12"/>
      </w:numPr>
      <w:tabs>
        <w:tab w:val="clear" w:pos="680"/>
      </w:tabs>
    </w:pPr>
  </w:style>
  <w:style w:type="paragraph" w:styleId="Index1">
    <w:name w:val="index 1"/>
    <w:basedOn w:val="Normal"/>
    <w:next w:val="Normal"/>
    <w:semiHidden/>
    <w:rsid w:val="00A1351C"/>
    <w:pPr>
      <w:keepNext w:val="0"/>
      <w:tabs>
        <w:tab w:val="right" w:pos="4176"/>
      </w:tabs>
      <w:ind w:left="198" w:hanging="198"/>
    </w:pPr>
    <w:rPr>
      <w:rFonts w:ascii="Garamond" w:hAnsi="Garamond"/>
    </w:rPr>
  </w:style>
  <w:style w:type="paragraph" w:styleId="IndexHeading">
    <w:name w:val="index heading"/>
    <w:basedOn w:val="Normal"/>
    <w:next w:val="Index1"/>
    <w:semiHidden/>
    <w:rsid w:val="00A1351C"/>
    <w:pPr>
      <w:spacing w:before="120" w:after="120"/>
    </w:pPr>
    <w:rPr>
      <w:rFonts w:ascii="Arial" w:hAnsi="Arial"/>
      <w:b/>
      <w:color w:val="918585"/>
      <w:sz w:val="24"/>
    </w:rPr>
  </w:style>
  <w:style w:type="paragraph" w:customStyle="1" w:styleId="Chapter">
    <w:name w:val="Chapter"/>
    <w:basedOn w:val="Normal"/>
    <w:rsid w:val="00A1351C"/>
    <w:pPr>
      <w:spacing w:before="240"/>
    </w:pPr>
    <w:rPr>
      <w:rFonts w:ascii="Times New Roman" w:hAnsi="Times New Roman"/>
      <w:smallCaps/>
      <w:spacing w:val="80"/>
      <w:sz w:val="28"/>
    </w:rPr>
  </w:style>
  <w:style w:type="paragraph" w:customStyle="1" w:styleId="InChapter">
    <w:name w:val="InChapter"/>
    <w:basedOn w:val="Heading3"/>
    <w:rsid w:val="00A1351C"/>
    <w:pPr>
      <w:spacing w:after="240"/>
      <w:outlineLvl w:val="9"/>
    </w:pPr>
    <w:rPr>
      <w:noProof/>
    </w:rPr>
  </w:style>
  <w:style w:type="paragraph" w:styleId="Index2">
    <w:name w:val="index 2"/>
    <w:basedOn w:val="Normal"/>
    <w:next w:val="Normal"/>
    <w:semiHidden/>
    <w:rsid w:val="00A1351C"/>
    <w:pPr>
      <w:tabs>
        <w:tab w:val="right" w:pos="4176"/>
      </w:tabs>
      <w:ind w:left="568" w:hanging="284"/>
    </w:pPr>
    <w:rPr>
      <w:rFonts w:ascii="Garamond" w:hAnsi="Garamond"/>
    </w:rPr>
  </w:style>
  <w:style w:type="paragraph" w:customStyle="1" w:styleId="Byline">
    <w:name w:val="Byline"/>
    <w:rsid w:val="00A135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51C"/>
    <w:pPr>
      <w:tabs>
        <w:tab w:val="clear" w:pos="3600"/>
        <w:tab w:val="clear" w:pos="3958"/>
      </w:tabs>
      <w:jc w:val="right"/>
    </w:pPr>
  </w:style>
  <w:style w:type="character" w:styleId="Emphasis">
    <w:name w:val="Emphasis"/>
    <w:qFormat/>
    <w:rsid w:val="00A1351C"/>
    <w:rPr>
      <w:i/>
    </w:rPr>
  </w:style>
  <w:style w:type="paragraph" w:styleId="Caption">
    <w:name w:val="caption"/>
    <w:basedOn w:val="BodyText"/>
    <w:next w:val="Normal"/>
    <w:qFormat/>
    <w:rsid w:val="00A1351C"/>
    <w:pPr>
      <w:framePr w:w="2268" w:hSpace="181" w:vSpace="181" w:wrap="around" w:vAnchor="text" w:hAnchor="page" w:x="1135" w:y="285" w:anchorLock="1"/>
    </w:pPr>
    <w:rPr>
      <w:i/>
    </w:rPr>
  </w:style>
  <w:style w:type="paragraph" w:customStyle="1" w:styleId="MiniTOCTitle">
    <w:name w:val="MiniTOCTitle"/>
    <w:basedOn w:val="Heading4"/>
    <w:rsid w:val="00A1351C"/>
    <w:pPr>
      <w:spacing w:before="240"/>
      <w:outlineLvl w:val="9"/>
    </w:pPr>
    <w:rPr>
      <w:noProof/>
      <w:sz w:val="24"/>
    </w:rPr>
  </w:style>
  <w:style w:type="paragraph" w:customStyle="1" w:styleId="MiniTOCItem">
    <w:name w:val="MiniTOCItem"/>
    <w:basedOn w:val="ListBullet"/>
    <w:rsid w:val="00A1351C"/>
    <w:pPr>
      <w:numPr>
        <w:numId w:val="0"/>
      </w:numPr>
      <w:tabs>
        <w:tab w:val="right" w:leader="dot" w:pos="6521"/>
      </w:tabs>
      <w:spacing w:before="0" w:after="0"/>
    </w:pPr>
  </w:style>
  <w:style w:type="paragraph" w:customStyle="1" w:styleId="TOFTitle">
    <w:name w:val="TOFTitle"/>
    <w:basedOn w:val="TOCTitle"/>
    <w:rsid w:val="00A1351C"/>
  </w:style>
  <w:style w:type="paragraph" w:styleId="TableofFigures">
    <w:name w:val="table of figures"/>
    <w:basedOn w:val="Normal"/>
    <w:next w:val="Normal"/>
    <w:semiHidden/>
    <w:rsid w:val="00A1351C"/>
    <w:pPr>
      <w:tabs>
        <w:tab w:val="right" w:leader="dot" w:pos="9072"/>
      </w:tabs>
      <w:ind w:left="970" w:hanging="403"/>
    </w:pPr>
    <w:rPr>
      <w:rFonts w:ascii="Times New Roman" w:hAnsi="Times New Roman"/>
      <w:b/>
    </w:rPr>
  </w:style>
  <w:style w:type="paragraph" w:styleId="ListNumber">
    <w:name w:val="List Number"/>
    <w:basedOn w:val="List"/>
    <w:rsid w:val="00A1351C"/>
    <w:pPr>
      <w:numPr>
        <w:numId w:val="9"/>
      </w:numPr>
    </w:pPr>
  </w:style>
  <w:style w:type="character" w:customStyle="1" w:styleId="WingdingSymbols">
    <w:name w:val="Wingding Symbols"/>
    <w:rsid w:val="00A1351C"/>
    <w:rPr>
      <w:rFonts w:ascii="Wingdings" w:hAnsi="Wingdings"/>
    </w:rPr>
  </w:style>
  <w:style w:type="paragraph" w:customStyle="1" w:styleId="TableHeading">
    <w:name w:val="Table Heading"/>
    <w:basedOn w:val="HeadingBase"/>
    <w:rsid w:val="00A1351C"/>
    <w:pPr>
      <w:keepLines/>
      <w:pBdr>
        <w:bottom w:val="single" w:sz="6" w:space="1" w:color="918585"/>
      </w:pBdr>
      <w:spacing w:before="240"/>
    </w:pPr>
  </w:style>
  <w:style w:type="character" w:customStyle="1" w:styleId="HotSpot">
    <w:name w:val="HotSpot"/>
    <w:rsid w:val="00A1351C"/>
    <w:rPr>
      <w:color w:val="0033CC"/>
      <w:u w:val="none"/>
    </w:rPr>
  </w:style>
  <w:style w:type="paragraph" w:customStyle="1" w:styleId="BodyTextRight">
    <w:name w:val="Body Text Right"/>
    <w:basedOn w:val="BodyText"/>
    <w:rsid w:val="00A1351C"/>
    <w:pPr>
      <w:spacing w:before="0" w:after="0"/>
      <w:jc w:val="right"/>
    </w:pPr>
  </w:style>
  <w:style w:type="paragraph" w:styleId="Index3">
    <w:name w:val="index 3"/>
    <w:basedOn w:val="ListNumber2"/>
    <w:next w:val="Normal"/>
    <w:semiHidden/>
    <w:rsid w:val="00A1351C"/>
    <w:pPr>
      <w:numPr>
        <w:numId w:val="0"/>
      </w:numPr>
      <w:tabs>
        <w:tab w:val="right" w:leader="dot" w:pos="4176"/>
      </w:tabs>
    </w:pPr>
  </w:style>
  <w:style w:type="paragraph" w:styleId="ListNumber2">
    <w:name w:val="List Number 2"/>
    <w:basedOn w:val="List2"/>
    <w:rsid w:val="00A1351C"/>
    <w:pPr>
      <w:numPr>
        <w:numId w:val="8"/>
      </w:numPr>
      <w:tabs>
        <w:tab w:val="clear" w:pos="1060"/>
      </w:tabs>
    </w:pPr>
  </w:style>
  <w:style w:type="paragraph" w:customStyle="1" w:styleId="MarginNote">
    <w:name w:val="Margin Note"/>
    <w:basedOn w:val="BodyText"/>
    <w:rsid w:val="00A135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5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135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351C"/>
    <w:rPr>
      <w:sz w:val="32"/>
    </w:rPr>
  </w:style>
  <w:style w:type="paragraph" w:customStyle="1" w:styleId="HeadingProcedure">
    <w:name w:val="Heading Procedure"/>
    <w:basedOn w:val="HeadingBase"/>
    <w:next w:val="Normal"/>
    <w:rsid w:val="00A1351C"/>
    <w:pPr>
      <w:tabs>
        <w:tab w:val="left" w:pos="0"/>
      </w:tabs>
      <w:spacing w:before="120" w:after="60"/>
    </w:pPr>
    <w:rPr>
      <w:i/>
      <w:color w:val="918585"/>
      <w:sz w:val="22"/>
    </w:rPr>
  </w:style>
  <w:style w:type="paragraph" w:customStyle="1" w:styleId="TableBodyText">
    <w:name w:val="Table Body Text"/>
    <w:basedOn w:val="BodyText"/>
    <w:rsid w:val="00A1351C"/>
    <w:pPr>
      <w:spacing w:before="60" w:after="60"/>
    </w:pPr>
  </w:style>
  <w:style w:type="paragraph" w:styleId="ListContinue">
    <w:name w:val="List Continue"/>
    <w:basedOn w:val="List"/>
    <w:rsid w:val="00A1351C"/>
    <w:pPr>
      <w:ind w:firstLine="0"/>
    </w:pPr>
  </w:style>
  <w:style w:type="paragraph" w:customStyle="1" w:styleId="ListNote">
    <w:name w:val="List Note"/>
    <w:basedOn w:val="List"/>
    <w:rsid w:val="00A1351C"/>
    <w:pPr>
      <w:pBdr>
        <w:top w:val="single" w:sz="6" w:space="2" w:color="918585"/>
        <w:bottom w:val="single" w:sz="6" w:space="2" w:color="918585"/>
      </w:pBdr>
      <w:tabs>
        <w:tab w:val="left" w:pos="1021"/>
      </w:tabs>
      <w:ind w:firstLine="0"/>
    </w:pPr>
  </w:style>
  <w:style w:type="paragraph" w:customStyle="1" w:styleId="Warning">
    <w:name w:val="Warning"/>
    <w:basedOn w:val="BodyText"/>
    <w:rsid w:val="00A1351C"/>
    <w:pPr>
      <w:shd w:val="clear" w:color="auto" w:fill="D9D9D9"/>
      <w:tabs>
        <w:tab w:val="left" w:pos="992"/>
      </w:tabs>
      <w:ind w:left="119" w:right="119"/>
    </w:pPr>
    <w:rPr>
      <w:sz w:val="20"/>
    </w:rPr>
  </w:style>
  <w:style w:type="paragraph" w:customStyle="1" w:styleId="MarginIcons">
    <w:name w:val="Margin Icons"/>
    <w:basedOn w:val="BodyText"/>
    <w:rsid w:val="00A1351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1351C"/>
    <w:rPr>
      <w:rFonts w:ascii="Courier New" w:hAnsi="Courier New"/>
    </w:rPr>
  </w:style>
  <w:style w:type="paragraph" w:customStyle="1" w:styleId="NoteBullet">
    <w:name w:val="Note Bullet"/>
    <w:basedOn w:val="Note"/>
    <w:rsid w:val="00A1351C"/>
    <w:pPr>
      <w:tabs>
        <w:tab w:val="clear" w:pos="680"/>
      </w:tabs>
      <w:spacing w:before="60" w:after="60"/>
    </w:pPr>
  </w:style>
  <w:style w:type="paragraph" w:customStyle="1" w:styleId="SubHeading2">
    <w:name w:val="SubHeading2"/>
    <w:basedOn w:val="HeadingBase"/>
    <w:rsid w:val="00A1351C"/>
    <w:pPr>
      <w:spacing w:before="240" w:after="60"/>
    </w:pPr>
    <w:rPr>
      <w:sz w:val="20"/>
    </w:rPr>
  </w:style>
  <w:style w:type="paragraph" w:customStyle="1" w:styleId="SubHeading1">
    <w:name w:val="SubHeading1"/>
    <w:basedOn w:val="HeadingBase"/>
    <w:rsid w:val="00A1351C"/>
    <w:pPr>
      <w:spacing w:before="240" w:after="60"/>
    </w:pPr>
    <w:rPr>
      <w:color w:val="918585"/>
      <w:sz w:val="22"/>
    </w:rPr>
  </w:style>
  <w:style w:type="paragraph" w:customStyle="1" w:styleId="SideHeading">
    <w:name w:val="Side Heading"/>
    <w:basedOn w:val="HeadingBase"/>
    <w:rsid w:val="00A135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51C"/>
    <w:pPr>
      <w:numPr>
        <w:numId w:val="10"/>
      </w:numPr>
    </w:pPr>
  </w:style>
  <w:style w:type="paragraph" w:styleId="PlainText">
    <w:name w:val="Plain Text"/>
    <w:basedOn w:val="Normal"/>
    <w:link w:val="PlainTextChar"/>
    <w:rsid w:val="00A1351C"/>
    <w:rPr>
      <w:sz w:val="20"/>
    </w:rPr>
  </w:style>
  <w:style w:type="character" w:customStyle="1" w:styleId="PlainTextChar">
    <w:name w:val="Plain Text Char"/>
    <w:basedOn w:val="DefaultParagraphFont"/>
    <w:link w:val="PlainText"/>
    <w:rsid w:val="00A1351C"/>
    <w:rPr>
      <w:rFonts w:ascii="Courier New" w:eastAsia="Times New Roman" w:hAnsi="Courier New" w:cs="Times New Roman"/>
      <w:sz w:val="20"/>
      <w:szCs w:val="20"/>
      <w:lang w:val="en-US" w:eastAsia="en-US"/>
    </w:rPr>
  </w:style>
  <w:style w:type="character" w:customStyle="1" w:styleId="MenuOption">
    <w:name w:val="Menu Option"/>
    <w:rsid w:val="00A1351C"/>
    <w:rPr>
      <w:b/>
      <w:smallCaps/>
    </w:rPr>
  </w:style>
  <w:style w:type="paragraph" w:customStyle="1" w:styleId="TableListNumber">
    <w:name w:val="Table List Number"/>
    <w:basedOn w:val="ListNumber"/>
    <w:rsid w:val="00A1351C"/>
    <w:pPr>
      <w:numPr>
        <w:numId w:val="0"/>
      </w:numPr>
    </w:pPr>
  </w:style>
  <w:style w:type="paragraph" w:styleId="TOC4">
    <w:name w:val="toc 4"/>
    <w:basedOn w:val="TOCBase"/>
    <w:next w:val="Normal"/>
    <w:semiHidden/>
    <w:rsid w:val="00A1351C"/>
    <w:pPr>
      <w:tabs>
        <w:tab w:val="right" w:leader="dot" w:pos="9071"/>
      </w:tabs>
      <w:ind w:left="1701"/>
    </w:pPr>
  </w:style>
  <w:style w:type="paragraph" w:customStyle="1" w:styleId="ListAlpha">
    <w:name w:val="List Alpha"/>
    <w:basedOn w:val="List"/>
    <w:rsid w:val="00A1351C"/>
    <w:pPr>
      <w:numPr>
        <w:numId w:val="7"/>
      </w:numPr>
    </w:pPr>
  </w:style>
  <w:style w:type="paragraph" w:customStyle="1" w:styleId="ListAlpha2">
    <w:name w:val="List Alpha 2"/>
    <w:basedOn w:val="List2"/>
    <w:rsid w:val="00A1351C"/>
    <w:pPr>
      <w:numPr>
        <w:numId w:val="6"/>
      </w:numPr>
    </w:pPr>
  </w:style>
  <w:style w:type="paragraph" w:styleId="List2">
    <w:name w:val="List 2"/>
    <w:basedOn w:val="BodyText"/>
    <w:rsid w:val="00A1351C"/>
    <w:pPr>
      <w:tabs>
        <w:tab w:val="left" w:pos="680"/>
      </w:tabs>
      <w:spacing w:before="60" w:after="60"/>
      <w:ind w:left="680" w:hanging="340"/>
    </w:pPr>
  </w:style>
  <w:style w:type="paragraph" w:styleId="List3">
    <w:name w:val="List 3"/>
    <w:basedOn w:val="BodyText"/>
    <w:rsid w:val="00A1351C"/>
    <w:pPr>
      <w:tabs>
        <w:tab w:val="left" w:pos="1021"/>
      </w:tabs>
      <w:spacing w:before="60" w:after="60"/>
      <w:ind w:left="1020" w:hanging="340"/>
    </w:pPr>
  </w:style>
  <w:style w:type="paragraph" w:styleId="List4">
    <w:name w:val="List 4"/>
    <w:basedOn w:val="BodyText"/>
    <w:rsid w:val="00A1351C"/>
    <w:pPr>
      <w:tabs>
        <w:tab w:val="left" w:pos="1361"/>
      </w:tabs>
      <w:spacing w:before="60" w:after="60"/>
      <w:ind w:left="1361" w:hanging="340"/>
    </w:pPr>
  </w:style>
  <w:style w:type="paragraph" w:styleId="List5">
    <w:name w:val="List 5"/>
    <w:basedOn w:val="BodyText"/>
    <w:rsid w:val="00A1351C"/>
    <w:pPr>
      <w:tabs>
        <w:tab w:val="left" w:pos="1701"/>
      </w:tabs>
      <w:spacing w:before="60" w:after="60"/>
      <w:ind w:left="1701" w:hanging="340"/>
    </w:pPr>
  </w:style>
  <w:style w:type="paragraph" w:styleId="ListBullet3">
    <w:name w:val="List Bullet 3"/>
    <w:basedOn w:val="List3"/>
    <w:rsid w:val="00A1351C"/>
    <w:pPr>
      <w:numPr>
        <w:numId w:val="13"/>
      </w:numPr>
      <w:tabs>
        <w:tab w:val="clear" w:pos="1021"/>
      </w:tabs>
      <w:ind w:left="1037" w:hanging="357"/>
    </w:pPr>
  </w:style>
  <w:style w:type="paragraph" w:styleId="ListBullet4">
    <w:name w:val="List Bullet 4"/>
    <w:basedOn w:val="List4"/>
    <w:rsid w:val="00A1351C"/>
    <w:pPr>
      <w:numPr>
        <w:numId w:val="1"/>
      </w:numPr>
    </w:pPr>
  </w:style>
  <w:style w:type="paragraph" w:styleId="ListBullet5">
    <w:name w:val="List Bullet 5"/>
    <w:basedOn w:val="List5"/>
    <w:rsid w:val="00A1351C"/>
    <w:pPr>
      <w:numPr>
        <w:numId w:val="2"/>
      </w:numPr>
    </w:pPr>
  </w:style>
  <w:style w:type="paragraph" w:styleId="ListContinue2">
    <w:name w:val="List Continue 2"/>
    <w:basedOn w:val="List2"/>
    <w:rsid w:val="00A1351C"/>
    <w:pPr>
      <w:ind w:firstLine="0"/>
    </w:pPr>
  </w:style>
  <w:style w:type="paragraph" w:styleId="ListContinue3">
    <w:name w:val="List Continue 3"/>
    <w:basedOn w:val="List3"/>
    <w:rsid w:val="00A1351C"/>
    <w:pPr>
      <w:ind w:left="1021" w:firstLine="0"/>
    </w:pPr>
  </w:style>
  <w:style w:type="paragraph" w:styleId="ListContinue4">
    <w:name w:val="List Continue 4"/>
    <w:basedOn w:val="List4"/>
    <w:rsid w:val="00A1351C"/>
    <w:pPr>
      <w:ind w:firstLine="0"/>
    </w:pPr>
  </w:style>
  <w:style w:type="paragraph" w:styleId="ListContinue5">
    <w:name w:val="List Continue 5"/>
    <w:basedOn w:val="List5"/>
    <w:rsid w:val="00A1351C"/>
    <w:pPr>
      <w:ind w:firstLine="0"/>
    </w:pPr>
  </w:style>
  <w:style w:type="paragraph" w:styleId="ListNumber3">
    <w:name w:val="List Number 3"/>
    <w:basedOn w:val="List3"/>
    <w:rsid w:val="00A1351C"/>
    <w:pPr>
      <w:numPr>
        <w:numId w:val="3"/>
      </w:numPr>
    </w:pPr>
  </w:style>
  <w:style w:type="paragraph" w:styleId="ListNumber4">
    <w:name w:val="List Number 4"/>
    <w:basedOn w:val="List4"/>
    <w:rsid w:val="00A1351C"/>
    <w:pPr>
      <w:numPr>
        <w:numId w:val="4"/>
      </w:numPr>
    </w:pPr>
  </w:style>
  <w:style w:type="paragraph" w:styleId="ListNumber5">
    <w:name w:val="List Number 5"/>
    <w:basedOn w:val="List5"/>
    <w:rsid w:val="00A1351C"/>
    <w:pPr>
      <w:numPr>
        <w:numId w:val="5"/>
      </w:numPr>
    </w:pPr>
  </w:style>
  <w:style w:type="paragraph" w:styleId="BlockText">
    <w:name w:val="Block Text"/>
    <w:basedOn w:val="Normal"/>
    <w:rsid w:val="00A1351C"/>
    <w:pPr>
      <w:spacing w:after="120"/>
      <w:ind w:left="1440" w:right="1440"/>
    </w:pPr>
  </w:style>
  <w:style w:type="character" w:customStyle="1" w:styleId="Subscript">
    <w:name w:val="Subscript"/>
    <w:rsid w:val="00A1351C"/>
    <w:rPr>
      <w:sz w:val="16"/>
      <w:vertAlign w:val="subscript"/>
    </w:rPr>
  </w:style>
  <w:style w:type="character" w:customStyle="1" w:styleId="Superscript">
    <w:name w:val="Superscript"/>
    <w:rsid w:val="00A1351C"/>
    <w:rPr>
      <w:sz w:val="16"/>
      <w:vertAlign w:val="superscript"/>
    </w:rPr>
  </w:style>
  <w:style w:type="character" w:customStyle="1" w:styleId="Symbols">
    <w:name w:val="Symbols"/>
    <w:rsid w:val="00A1351C"/>
    <w:rPr>
      <w:rFonts w:ascii="Symbol" w:hAnsi="Symbol"/>
    </w:rPr>
  </w:style>
  <w:style w:type="character" w:customStyle="1" w:styleId="MenuOptions">
    <w:name w:val="Menu Options"/>
    <w:rsid w:val="00A1351C"/>
    <w:rPr>
      <w:rFonts w:ascii="Arial Narrow" w:hAnsi="Arial Narrow"/>
      <w:smallCaps/>
    </w:rPr>
  </w:style>
  <w:style w:type="character" w:customStyle="1" w:styleId="Buttons">
    <w:name w:val="Buttons"/>
    <w:rsid w:val="00A1351C"/>
    <w:rPr>
      <w:b/>
    </w:rPr>
  </w:style>
  <w:style w:type="character" w:customStyle="1" w:styleId="Underlined">
    <w:name w:val="Underlined"/>
    <w:rsid w:val="00A1351C"/>
    <w:rPr>
      <w:u w:val="single"/>
    </w:rPr>
  </w:style>
  <w:style w:type="paragraph" w:customStyle="1" w:styleId="TableBodyTextRight">
    <w:name w:val="Table Body Text Right"/>
    <w:basedOn w:val="TableBodyText"/>
    <w:rsid w:val="00A1351C"/>
    <w:pPr>
      <w:widowControl w:val="0"/>
      <w:autoSpaceDE w:val="0"/>
      <w:autoSpaceDN w:val="0"/>
      <w:adjustRightInd w:val="0"/>
      <w:jc w:val="right"/>
    </w:pPr>
    <w:rPr>
      <w:rFonts w:cs="Arial"/>
      <w:szCs w:val="18"/>
    </w:rPr>
  </w:style>
  <w:style w:type="paragraph" w:customStyle="1" w:styleId="CopyrightText">
    <w:name w:val="Copyright Text"/>
    <w:basedOn w:val="BodyText"/>
    <w:rsid w:val="00A1351C"/>
    <w:rPr>
      <w:sz w:val="18"/>
    </w:rPr>
  </w:style>
  <w:style w:type="paragraph" w:customStyle="1" w:styleId="BodySmallRight">
    <w:name w:val="Body Small Right"/>
    <w:basedOn w:val="BodyTextRight"/>
    <w:rsid w:val="00A1351C"/>
    <w:rPr>
      <w:sz w:val="18"/>
      <w:szCs w:val="18"/>
    </w:rPr>
  </w:style>
  <w:style w:type="paragraph" w:customStyle="1" w:styleId="MarginEdition">
    <w:name w:val="Margin Edition"/>
    <w:basedOn w:val="MarginNote"/>
    <w:rsid w:val="00A1351C"/>
    <w:pPr>
      <w:spacing w:before="0" w:after="0"/>
    </w:pPr>
    <w:rPr>
      <w:rFonts w:ascii="Times New Roman" w:hAnsi="Times New Roman"/>
      <w:color w:val="999999"/>
    </w:rPr>
  </w:style>
  <w:style w:type="paragraph" w:customStyle="1" w:styleId="Spacer">
    <w:name w:val="Spacer"/>
    <w:basedOn w:val="Normal"/>
    <w:rsid w:val="00A1351C"/>
    <w:rPr>
      <w:sz w:val="2"/>
      <w:szCs w:val="2"/>
    </w:rPr>
  </w:style>
  <w:style w:type="character" w:customStyle="1" w:styleId="Small">
    <w:name w:val="Small"/>
    <w:rsid w:val="00A1351C"/>
    <w:rPr>
      <w:sz w:val="16"/>
    </w:rPr>
  </w:style>
  <w:style w:type="paragraph" w:customStyle="1" w:styleId="WideTable">
    <w:name w:val="Wide Table"/>
    <w:basedOn w:val="Normal"/>
    <w:rsid w:val="00A1351C"/>
    <w:pPr>
      <w:ind w:left="-1418"/>
    </w:pPr>
    <w:rPr>
      <w:sz w:val="2"/>
      <w:szCs w:val="2"/>
    </w:rPr>
  </w:style>
  <w:style w:type="character" w:styleId="PageNumber">
    <w:name w:val="page number"/>
    <w:rsid w:val="00A1351C"/>
  </w:style>
  <w:style w:type="paragraph" w:styleId="Quote">
    <w:name w:val="Quote"/>
    <w:basedOn w:val="Heading1"/>
    <w:link w:val="QuoteChar"/>
    <w:qFormat/>
    <w:rsid w:val="00A1351C"/>
    <w:rPr>
      <w:b w:val="0"/>
      <w:sz w:val="72"/>
      <w:szCs w:val="72"/>
      <w:lang w:val="en-NZ"/>
    </w:rPr>
  </w:style>
  <w:style w:type="character" w:customStyle="1" w:styleId="QuoteChar">
    <w:name w:val="Quote Char"/>
    <w:link w:val="Quote"/>
    <w:rsid w:val="00A135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51C"/>
    <w:pPr>
      <w:pageBreakBefore/>
    </w:pPr>
  </w:style>
  <w:style w:type="paragraph" w:customStyle="1" w:styleId="Border">
    <w:name w:val="Border"/>
    <w:basedOn w:val="Normal"/>
    <w:qFormat/>
    <w:rsid w:val="00A1351C"/>
    <w:pPr>
      <w:pBdr>
        <w:top w:val="single" w:sz="18" w:space="1" w:color="auto"/>
      </w:pBdr>
    </w:pPr>
    <w:rPr>
      <w:rFonts w:ascii="Times New Roman" w:hAnsi="Times New Roman"/>
      <w:color w:val="FFFFFF"/>
      <w:sz w:val="2"/>
    </w:rPr>
  </w:style>
  <w:style w:type="character" w:styleId="IntenseEmphasis">
    <w:name w:val="Intense Emphasis"/>
    <w:uiPriority w:val="21"/>
    <w:qFormat/>
    <w:rsid w:val="00A1351C"/>
    <w:rPr>
      <w:b/>
      <w:bCs/>
      <w:i/>
      <w:iCs/>
      <w:color w:val="auto"/>
    </w:rPr>
  </w:style>
  <w:style w:type="paragraph" w:styleId="IntenseQuote">
    <w:name w:val="Intense Quote"/>
    <w:basedOn w:val="Normal"/>
    <w:next w:val="Normal"/>
    <w:link w:val="IntenseQuoteChar"/>
    <w:uiPriority w:val="30"/>
    <w:qFormat/>
    <w:rsid w:val="00A1351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1351C"/>
    <w:rPr>
      <w:rFonts w:ascii="Courier New" w:eastAsia="Times New Roman" w:hAnsi="Courier New" w:cs="Times New Roman"/>
      <w:b/>
      <w:bCs/>
      <w:i/>
      <w:iCs/>
      <w:szCs w:val="20"/>
      <w:lang w:val="en-US" w:eastAsia="en-US"/>
    </w:rPr>
  </w:style>
  <w:style w:type="character" w:styleId="SubtleReference">
    <w:name w:val="Subtle Reference"/>
    <w:uiPriority w:val="31"/>
    <w:qFormat/>
    <w:rsid w:val="00A1351C"/>
    <w:rPr>
      <w:smallCaps/>
      <w:color w:val="auto"/>
      <w:u w:val="single"/>
    </w:rPr>
  </w:style>
  <w:style w:type="character" w:styleId="IntenseReference">
    <w:name w:val="Intense Reference"/>
    <w:uiPriority w:val="32"/>
    <w:qFormat/>
    <w:rsid w:val="00A1351C"/>
    <w:rPr>
      <w:b/>
      <w:bCs/>
      <w:smallCaps/>
      <w:color w:val="auto"/>
      <w:spacing w:val="5"/>
      <w:u w:val="single"/>
    </w:rPr>
  </w:style>
  <w:style w:type="paragraph" w:customStyle="1" w:styleId="2ColumnHeading">
    <w:name w:val="2Column Heading"/>
    <w:basedOn w:val="BodyText"/>
    <w:qFormat/>
    <w:rsid w:val="00A1351C"/>
    <w:pPr>
      <w:spacing w:after="60"/>
      <w:ind w:left="-2268"/>
    </w:pPr>
    <w:rPr>
      <w:b/>
    </w:rPr>
  </w:style>
  <w:style w:type="paragraph" w:customStyle="1" w:styleId="Heading1TOC">
    <w:name w:val="Heading1 TOC"/>
    <w:basedOn w:val="Normal"/>
    <w:qFormat/>
    <w:rsid w:val="00A1351C"/>
    <w:pPr>
      <w:spacing w:before="240" w:after="120"/>
    </w:pPr>
    <w:rPr>
      <w:rFonts w:ascii="Times New Roman" w:hAnsi="Times New Roman"/>
      <w:b/>
      <w:sz w:val="32"/>
    </w:rPr>
  </w:style>
  <w:style w:type="paragraph" w:customStyle="1" w:styleId="Heading2TOC">
    <w:name w:val="Heading2 TOC"/>
    <w:basedOn w:val="Normal"/>
    <w:qFormat/>
    <w:rsid w:val="00A1351C"/>
    <w:pPr>
      <w:spacing w:before="240" w:after="60"/>
    </w:pPr>
    <w:rPr>
      <w:rFonts w:ascii="Times New Roman" w:hAnsi="Times New Roman"/>
      <w:b/>
      <w:sz w:val="28"/>
    </w:rPr>
  </w:style>
  <w:style w:type="character" w:customStyle="1" w:styleId="Underline">
    <w:name w:val="Underline"/>
    <w:qFormat/>
    <w:rsid w:val="00A1351C"/>
    <w:rPr>
      <w:u w:val="single"/>
    </w:rPr>
  </w:style>
  <w:style w:type="character" w:customStyle="1" w:styleId="BoldandItalics">
    <w:name w:val="Bold and Italics"/>
    <w:qFormat/>
    <w:rsid w:val="00A1351C"/>
    <w:rPr>
      <w:b/>
      <w:i/>
      <w:u w:val="none"/>
    </w:rPr>
  </w:style>
  <w:style w:type="paragraph" w:styleId="BalloonText">
    <w:name w:val="Balloon Text"/>
    <w:basedOn w:val="Normal"/>
    <w:link w:val="BalloonTextChar"/>
    <w:rsid w:val="00A1351C"/>
    <w:rPr>
      <w:rFonts w:ascii="Tahoma" w:hAnsi="Tahoma" w:cs="Tahoma"/>
      <w:sz w:val="16"/>
      <w:szCs w:val="16"/>
    </w:rPr>
  </w:style>
  <w:style w:type="character" w:customStyle="1" w:styleId="BalloonTextChar">
    <w:name w:val="Balloon Text Char"/>
    <w:link w:val="BalloonText"/>
    <w:rsid w:val="00A135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351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1351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1325</Words>
  <Characters>8718</Characters>
  <Application>Microsoft Office Word</Application>
  <DocSecurity>0</DocSecurity>
  <Lines>310</Lines>
  <Paragraphs>189</Paragraphs>
  <ScaleCrop>false</ScaleCrop>
  <Company>Author-it Software Corporation Ltd.</Company>
  <LinksUpToDate>false</LinksUpToDate>
  <CharactersWithSpaces>9905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FNSACCT608B Evaluate organisation's financial performance</dc:title>
  <dc:subject>Approved</dc:subject>
  <dc:creator>Government Skills Australia</dc:creator>
  <cp:keywords>Release: 1</cp:keywords>
  <dc:description>Copyright © 1996-2007 Author-it Software Corporation Ltd., all rights reserved.</dc:description>
  <cp:lastModifiedBy>Andrew Campey</cp:lastModifiedBy>
  <cp:revision>3</cp:revision>
  <dcterms:created xsi:type="dcterms:W3CDTF">2012-05-26T06:59:00Z</dcterms:created>
  <dcterms:modified xsi:type="dcterms:W3CDTF">2012-05-26T06:59:00Z</dcterms:modified>
</cp:coreProperties>
</file>