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398" w:rsidP="00437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FNSACCT604B Monitor corporate governance activities</w:t>
      </w:r>
      <w:r>
        <w:fldChar w:fldCharType="end"/>
      </w:r>
    </w:p>
    <w:p w:rsidR="00437398" w:rsidP="00437398">
      <w:pPr>
        <w:pStyle w:val="Version"/>
        <w:sectPr w:rsidSect="004B2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1DC" w:rsidP="004B21DC">
      <w:pPr>
        <w:pStyle w:val="SuperHeading"/>
      </w:pPr>
      <w:r w:rsidRPr="004B21DC">
        <w:t>FNSACCT604B Monitor corporate governance activities</w:t>
      </w:r>
    </w:p>
    <w:p w:rsidR="00000000" w:rsidRPr="004B21DC" w:rsidP="004B21DC">
      <w:pPr>
        <w:pStyle w:val="Heading1"/>
      </w:pPr>
      <w:bookmarkStart w:id="1" w:name="O_318070"/>
      <w:bookmarkEnd w:id="1"/>
      <w:r w:rsidRPr="004B21DC">
        <w:t>Modification History</w:t>
      </w:r>
    </w:p>
    <w:p w:rsidR="00000000" w:rsidRPr="004B21DC" w:rsidP="004B21DC">
      <w:pPr>
        <w:pStyle w:val="BodyText"/>
      </w:pPr>
      <w:r w:rsidRPr="004B21DC">
        <w:t>Not applicable.</w:t>
      </w: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2" w:name="O_318069"/>
      <w:bookmarkEnd w:id="2"/>
      <w:r w:rsidRPr="004B21DC">
        <w:t>Unit Descriptor</w:t>
      </w:r>
    </w:p>
    <w:p w:rsidR="00000000" w:rsidRPr="004B21DC" w:rsidP="004B21DC">
      <w:pPr>
        <w:pStyle w:val="BodyText"/>
      </w:pPr>
      <w:r w:rsidRPr="004B21DC">
        <w:t>This unit covers the competency to develop and implement processes and procedures for meeting corporate governance ob</w:t>
      </w:r>
      <w:r w:rsidRPr="004B21DC">
        <w:t>ligations.</w:t>
      </w:r>
    </w:p>
    <w:p w:rsidR="00000000" w:rsidRPr="004B21DC" w:rsidP="004B21DC">
      <w:pPr>
        <w:pStyle w:val="BodyText"/>
      </w:pPr>
      <w:r w:rsidRPr="004B21DC">
        <w:t>This unit covers the competency to develop and implement processes and procedures for meeting corporate governance obligations.</w:t>
      </w: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3" w:name="O_318068"/>
      <w:bookmarkEnd w:id="3"/>
      <w:r w:rsidRPr="004B21DC">
        <w:t>Application of the Unit</w:t>
      </w:r>
    </w:p>
    <w:p w:rsidR="00000000" w:rsidRPr="004B21DC" w:rsidP="004B21DC">
      <w:pPr>
        <w:pStyle w:val="BodyText"/>
      </w:pPr>
      <w:r w:rsidRPr="004B21DC">
        <w:t>This unit requires the application of skills and knowledge required to monit</w:t>
      </w:r>
      <w:r w:rsidRPr="004B21DC">
        <w:t>or corporate governance activities within an organisation. The unit encompasses researching corporate governance reporting trends, determining processes for corporate governance adherence, examining corporate governance standards and practices and reviewin</w:t>
      </w:r>
      <w:r w:rsidRPr="004B21DC">
        <w:t>g corporate governance compliance.</w:t>
      </w:r>
    </w:p>
    <w:p w:rsidR="00000000" w:rsidRPr="004B21DC" w:rsidP="004B21DC">
      <w:pPr>
        <w:pStyle w:val="BodyText"/>
      </w:pPr>
      <w:r w:rsidRPr="004B21DC">
        <w:t>This unit requires the application of skills and knowledge required to monitor corporate governance activities within an organisation. The unit encompasses researching corporate governance reporting trends, determining pr</w:t>
      </w:r>
      <w:r w:rsidRPr="004B21DC">
        <w:t>ocesses for corporate governance adherence, examining corporate governance standards and practices and reviewing corporate governance compliance.</w:t>
      </w: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4" w:name="O_318067"/>
      <w:bookmarkEnd w:id="4"/>
      <w:r w:rsidRPr="004B21DC">
        <w:t>Licensing/Regulatory Information</w:t>
      </w:r>
    </w:p>
    <w:p w:rsidR="00000000" w:rsidRPr="004B21DC" w:rsidP="004B21DC">
      <w:pPr>
        <w:pStyle w:val="BodyText"/>
      </w:pPr>
      <w:r w:rsidRPr="004B21DC">
        <w:t>Not applicable.</w:t>
      </w: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5" w:name="O_318066"/>
      <w:bookmarkEnd w:id="5"/>
      <w:r w:rsidRPr="004B21DC">
        <w:t>Pre-Requisites</w:t>
      </w:r>
    </w:p>
    <w:p w:rsidR="00000000" w:rsidRPr="004B21DC" w:rsidP="004B21DC">
      <w:pPr>
        <w:pStyle w:val="BodyText"/>
      </w:pPr>
      <w:r w:rsidRPr="004B21DC">
        <w:t>Not applicable.</w:t>
      </w: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6" w:name="O_318065"/>
      <w:bookmarkEnd w:id="6"/>
      <w:r w:rsidRPr="004B21DC">
        <w:t>Employability Skills Information</w:t>
      </w:r>
    </w:p>
    <w:p w:rsidR="00000000" w:rsidRPr="004B21DC" w:rsidP="004B21DC">
      <w:pPr>
        <w:pStyle w:val="BodyText"/>
      </w:pPr>
      <w:r w:rsidRPr="004B21DC">
        <w:t>The required outcomes described in this unit of competency contain applicable facets of employability skills. The Employability Skills Summary for the qualification in which this unit of com</w:t>
      </w:r>
      <w:r w:rsidRPr="004B21DC">
        <w:t>petency is packaged, will assist in identifying employability skills requirements.</w:t>
      </w:r>
    </w:p>
    <w:p w:rsidR="00000000" w:rsidRPr="004B21DC" w:rsidP="004B21DC">
      <w:pPr>
        <w:pStyle w:val="BodyText"/>
      </w:pPr>
      <w:r w:rsidRPr="004B21DC">
        <w:t>The required outcomes described in this unit of competency contain applicable facets of employability skills. The Employability Skills Summary for the qualification in which</w:t>
      </w:r>
      <w:r w:rsidRPr="004B21DC">
        <w:t xml:space="preserve"> this unit of competency is packaged, will assist in identifying employability skills requirements.</w:t>
      </w: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7" w:name="O_318064"/>
      <w:bookmarkEnd w:id="7"/>
      <w:r w:rsidRPr="004B21DC">
        <w:t>Elements and Performance Criteria Pre-Content</w:t>
      </w:r>
    </w:p>
    <w:p w:rsidR="00000000" w:rsidRPr="004B21DC" w:rsidP="004B21DC">
      <w:pPr>
        <w:pStyle w:val="BodyText"/>
      </w:pPr>
      <w:r w:rsidRPr="004B21DC">
        <w:t>Elements define the essential outcomes of a unit of competency.</w:t>
      </w:r>
    </w:p>
    <w:p w:rsidR="00000000" w:rsidRPr="004B21DC" w:rsidP="004B21DC">
      <w:pPr>
        <w:pStyle w:val="BodyText"/>
      </w:pPr>
      <w:r w:rsidRPr="004B21DC">
        <w:t xml:space="preserve">Performance Criteria describe the required performance needed to demonstrate achievement of the Element. </w:t>
      </w:r>
      <w:r w:rsidRPr="004B21DC">
        <w:rPr>
          <w:rStyle w:val="SpecialBold"/>
        </w:rPr>
        <w:t xml:space="preserve">Bold, italicised </w:t>
      </w:r>
      <w:r w:rsidRPr="004B21DC">
        <w:t>terms are elaborated in the Range Statement. Assessment of performance is to be consistent with the Evidence Guide.</w:t>
      </w:r>
    </w:p>
    <w:p w:rsidR="00000000" w:rsidRPr="004B21DC" w:rsidP="004B21DC">
      <w:pPr>
        <w:pStyle w:val="BodyText"/>
      </w:pPr>
      <w:r w:rsidRPr="004B21DC">
        <w:t>Elements define th</w:t>
      </w:r>
      <w:r w:rsidRPr="004B21DC">
        <w:t>e essential outcomes of a unit of competency.</w:t>
      </w:r>
    </w:p>
    <w:p w:rsidR="00000000" w:rsidRPr="004B21DC" w:rsidP="004B21DC">
      <w:pPr>
        <w:pStyle w:val="BodyText"/>
      </w:pPr>
      <w:r w:rsidRPr="004B21DC">
        <w:t xml:space="preserve">Performance Criteria describe the required performance needed to demonstrate achievement of the Element. </w:t>
      </w:r>
      <w:r w:rsidRPr="004B21DC">
        <w:rPr>
          <w:rStyle w:val="SpecialBold"/>
        </w:rPr>
        <w:t xml:space="preserve">Bold, italicised </w:t>
      </w:r>
      <w:r w:rsidRPr="004B21DC">
        <w:t>terms are elaborated in the Range Statement. Assessment of performance is to be consiste</w:t>
      </w:r>
      <w:r w:rsidRPr="004B21DC">
        <w:t>nt with the Evidence Guide.</w:t>
      </w: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8" w:name="O_318063"/>
      <w:bookmarkEnd w:id="8"/>
      <w:r w:rsidRPr="004B21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Elements and Performance Criteria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Performance Criteria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Research corporate governance reporting trends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Organisational practices are analysed to identify corporate governance </w:t>
            </w:r>
            <w:r w:rsidRPr="004B21DC">
              <w:rPr>
                <w:rStyle w:val="SpecialBold"/>
              </w:rPr>
              <w:t xml:space="preserve">obligations </w:t>
            </w:r>
            <w:r w:rsidRPr="004B21DC">
              <w:t>and performance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Queries from statutory and other regulatory authorities for corporate governance failure are examined to assess the change effects on </w:t>
            </w:r>
            <w:r w:rsidRPr="004B21DC">
              <w:rPr>
                <w:rStyle w:val="SpecialBold"/>
              </w:rPr>
              <w:t>internal control procedures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Content and structure of reports, returns and processes for review are assessed to evaluate </w:t>
            </w:r>
            <w:r w:rsidRPr="004B21DC">
              <w:rPr>
                <w:rStyle w:val="SpecialBold"/>
              </w:rPr>
              <w:t xml:space="preserve">policies </w:t>
            </w:r>
            <w:r w:rsidRPr="004B21DC">
              <w:t>being followed by the organisation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Determine processes for corporate governance adherence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Internal control proced</w:t>
            </w:r>
            <w:r w:rsidRPr="004B21DC">
              <w:t>ures are analysed and monitored to determine performance indicators for compliance with corporate governance requirements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 xml:space="preserve">Information technology systems </w:t>
            </w:r>
            <w:r w:rsidRPr="004B21DC">
              <w:t>are evaluated to determine their use and suitability for recording dat</w:t>
            </w:r>
            <w:r w:rsidRPr="004B21DC">
              <w:t>a from operations and transactions for corporate governance obligations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 xml:space="preserve">Management processes </w:t>
            </w:r>
            <w:r w:rsidRPr="004B21DC">
              <w:t>to support corporate governance are established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Reporting plans are established to ensure completion of compliance requirements within scheduled timeframes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Examine corporate governance standards and practices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Application of, and adherence to, </w:t>
            </w:r>
            <w:r w:rsidRPr="004B21DC">
              <w:rPr>
                <w:rStyle w:val="SpecialBold"/>
              </w:rPr>
              <w:t xml:space="preserve">professional and legal accounting standards </w:t>
            </w:r>
            <w:r w:rsidRPr="004B21DC">
              <w:t>are monito</w:t>
            </w:r>
            <w:r w:rsidRPr="004B21DC">
              <w:t xml:space="preserve">red to identify emerging trends and interpretations of </w:t>
            </w:r>
            <w:r w:rsidRPr="004B21DC">
              <w:rPr>
                <w:rStyle w:val="SpecialBold"/>
              </w:rPr>
              <w:t>statutory and other regulatory requirements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Audit reports and practices are researched to assess methodologies and recommendations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Review corporate governance compliance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The achievement of </w:t>
            </w:r>
            <w:r w:rsidRPr="004B21DC">
              <w:rPr>
                <w:rStyle w:val="SpecialBold"/>
              </w:rPr>
              <w:t xml:space="preserve">performance indicators </w:t>
            </w:r>
            <w:r w:rsidRPr="004B21DC">
              <w:t xml:space="preserve">is assessed and reviewed against </w:t>
            </w:r>
            <w:r w:rsidRPr="004B21DC">
              <w:rPr>
                <w:rStyle w:val="SpecialBold"/>
              </w:rPr>
              <w:t>key result areas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Compliance preparation processes are monitored and reviewed in line with corporate governance requirements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Failures in compliance are analysed to diag</w:t>
            </w:r>
            <w:r w:rsidRPr="004B21DC">
              <w:t>nose shortcomings and to remedy processes in line with corporate governance requirements</w:t>
            </w:r>
          </w:p>
        </w:tc>
      </w:tr>
    </w:tbl>
    <w:p w:rsidR="00000000" w:rsidRPr="004B21DC" w:rsidP="004B21DC">
      <w:pPr>
        <w:pStyle w:val="BodyText"/>
      </w:pP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9" w:name="O_318062"/>
      <w:bookmarkEnd w:id="9"/>
      <w:r w:rsidRPr="004B21D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REQUIRED KNOWLEDGE</w:t>
            </w:r>
            <w:r w:rsidRPr="004B21DC">
              <w:t>&amp;</w:t>
            </w:r>
            <w:r w:rsidRPr="004B21DC">
              <w:rPr>
                <w:rStyle w:val="SpecialBold"/>
              </w:rPr>
              <w:t>SKILLS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rPr>
                <w:rStyle w:val="SpecialBold"/>
              </w:rPr>
              <w:t>Knowledge requirements include</w:t>
            </w:r>
            <w:r w:rsidRPr="004B21DC">
              <w:t xml:space="preserve">: </w:t>
            </w:r>
          </w:p>
          <w:p w:rsidR="00000000" w:rsidRPr="004B21DC" w:rsidP="004B21DC">
            <w:pPr>
              <w:pStyle w:val="BodyText"/>
            </w:pPr>
            <w:r w:rsidRPr="004B21DC">
              <w:t>principles of internal control (including statutory requirements)</w:t>
            </w:r>
          </w:p>
          <w:p w:rsidR="00000000" w:rsidRPr="004B21DC" w:rsidP="004B21DC">
            <w:pPr>
              <w:pStyle w:val="BodyText"/>
            </w:pPr>
            <w:r w:rsidRPr="004B21DC">
              <w:t>principles of valuation and common methods of depreciation</w:t>
            </w:r>
          </w:p>
          <w:p w:rsidR="00000000" w:rsidRPr="004B21DC" w:rsidP="004B21DC">
            <w:pPr>
              <w:pStyle w:val="BodyText"/>
            </w:pPr>
            <w:r w:rsidRPr="004B21DC">
              <w:t>detailed current knowledge of formats required for submission of statutory returns</w:t>
            </w:r>
          </w:p>
          <w:p w:rsidR="00000000" w:rsidRPr="004B21DC" w:rsidP="004B21DC">
            <w:pPr>
              <w:pStyle w:val="BodyText"/>
            </w:pPr>
            <w:r w:rsidRPr="004B21DC">
              <w:t>forms and functions of employee records</w:t>
            </w:r>
          </w:p>
          <w:p w:rsidR="00000000" w:rsidRPr="004B21DC" w:rsidP="004B21DC">
            <w:pPr>
              <w:pStyle w:val="BodyText"/>
            </w:pPr>
            <w:r w:rsidRPr="004B21DC">
              <w:t xml:space="preserve">current </w:t>
            </w:r>
            <w:r w:rsidRPr="004B21DC">
              <w:t>financial legislation (eg taxable transactions, reporting requirements)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ethical considerations for compliance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rPr>
                <w:rStyle w:val="SpecialBold"/>
              </w:rPr>
              <w:t>Skills requirements include</w:t>
            </w:r>
            <w:r w:rsidRPr="004B21DC">
              <w:t xml:space="preserve">: </w:t>
            </w:r>
          </w:p>
          <w:p w:rsidR="00000000" w:rsidRPr="004B21DC" w:rsidP="004B21DC">
            <w:pPr>
              <w:pStyle w:val="BodyText"/>
            </w:pPr>
            <w:r w:rsidRPr="004B21DC">
              <w:t>planning skills for timetabling and scheduling reports and lodgements</w:t>
            </w:r>
          </w:p>
          <w:p w:rsidR="00000000" w:rsidRPr="004B21DC" w:rsidP="004B21DC">
            <w:pPr>
              <w:pStyle w:val="BodyText"/>
            </w:pPr>
            <w:r w:rsidRPr="004B21DC">
              <w:t>recording, gathering and consolidating finan</w:t>
            </w:r>
            <w:r w:rsidRPr="004B21DC">
              <w:t>cial information</w:t>
            </w:r>
          </w:p>
          <w:p w:rsidR="00000000" w:rsidRPr="004B21DC" w:rsidP="004B21DC">
            <w:pPr>
              <w:pStyle w:val="BodyText"/>
            </w:pPr>
            <w:r w:rsidRPr="004B21DC">
              <w:t>researching and identifying applicable accounting standards and decisions</w:t>
            </w:r>
          </w:p>
          <w:p w:rsidR="00000000" w:rsidRPr="004B21DC" w:rsidP="004B21DC">
            <w:pPr>
              <w:pStyle w:val="BodyText"/>
            </w:pPr>
            <w:r w:rsidRPr="004B21DC">
              <w:t>interpersonal skills and communication skills (eg liaising, listening, consulting)</w:t>
            </w:r>
          </w:p>
          <w:p w:rsidR="00000000" w:rsidRPr="004B21DC" w:rsidP="004B21DC">
            <w:pPr>
              <w:pStyle w:val="BodyText"/>
            </w:pPr>
            <w:r w:rsidRPr="004B21DC">
              <w:t>report writing and preparation</w:t>
            </w:r>
          </w:p>
          <w:p w:rsidR="00000000" w:rsidRPr="004B21DC" w:rsidP="004B21DC">
            <w:pPr>
              <w:pStyle w:val="BodyText"/>
            </w:pPr>
            <w:r w:rsidRPr="004B21DC">
              <w:t xml:space="preserve">numeracy skills for calculation of data </w:t>
            </w:r>
          </w:p>
        </w:tc>
      </w:tr>
    </w:tbl>
    <w:p w:rsidR="00000000" w:rsidRPr="004B21DC" w:rsidP="004B21DC">
      <w:pPr>
        <w:pStyle w:val="BodyText"/>
      </w:pP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10" w:name="O_318059"/>
      <w:bookmarkEnd w:id="10"/>
      <w:r w:rsidRPr="004B21D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 xml:space="preserve"> EVIDENCE GUIDE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Assessment of performance requirements in the unit should be undertaken in an industry context. The Evidence Guide identifies the critical aspects, knowledge and skills to be demonstrated to confirm competen</w:t>
            </w:r>
            <w:r w:rsidRPr="004B21DC">
              <w:t xml:space="preserve">cy for the unit. Competency is demonstrated by performance of all stated criteria including the Range Statement applicable to the workplace.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Overview of assessment requirements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 xml:space="preserve">To achieve competency in this unit, a person must be able to demonstrate: </w:t>
            </w:r>
          </w:p>
          <w:p w:rsidR="00000000" w:rsidRPr="004B21DC" w:rsidP="004B21DC">
            <w:pPr>
              <w:pStyle w:val="BodyText"/>
            </w:pPr>
            <w:r w:rsidRPr="004B21DC">
              <w:t xml:space="preserve">knowledge of statutory and regulatory authorities </w:t>
            </w:r>
          </w:p>
          <w:p w:rsidR="00000000" w:rsidRPr="004B21DC" w:rsidP="004B21DC">
            <w:pPr>
              <w:pStyle w:val="BodyText"/>
            </w:pPr>
            <w:r w:rsidRPr="004B21DC">
              <w:t xml:space="preserve">knowledge of professional accounting standards </w:t>
            </w:r>
          </w:p>
          <w:p w:rsidR="00000000" w:rsidRPr="004B21DC" w:rsidP="004B21DC">
            <w:pPr>
              <w:pStyle w:val="BodyText"/>
            </w:pPr>
            <w:r w:rsidRPr="004B21DC">
              <w:t>knowledge of organisational policies and procedures</w:t>
            </w:r>
          </w:p>
          <w:p w:rsidR="00000000" w:rsidRPr="004B21DC" w:rsidP="004B21DC">
            <w:pPr>
              <w:pStyle w:val="BodyText"/>
            </w:pPr>
            <w:r w:rsidRPr="004B21DC">
              <w:t>ability to research corporate governance reporting trends</w:t>
            </w:r>
          </w:p>
          <w:p w:rsidR="00000000" w:rsidRPr="004B21DC" w:rsidP="004B21DC">
            <w:pPr>
              <w:pStyle w:val="BodyText"/>
            </w:pPr>
            <w:r w:rsidRPr="004B21DC">
              <w:t>ability to determine processes for corporate g</w:t>
            </w:r>
            <w:r w:rsidRPr="004B21DC">
              <w:t>overnance adherence</w:t>
            </w:r>
          </w:p>
          <w:p w:rsidR="00000000" w:rsidRPr="004B21DC" w:rsidP="004B21DC">
            <w:pPr>
              <w:pStyle w:val="BodyText"/>
            </w:pPr>
            <w:r w:rsidRPr="004B21DC">
              <w:t xml:space="preserve">ability to examine corporate governance standards and practices 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ability to review corporate governance compliance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Critical aspects of evidence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Evidence required for demonstration of consistent performance</w:t>
            </w:r>
            <w:r w:rsidRPr="004B21DC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Competence in this unit must be assessed over a period of time in order to ensure consistency of performance over the Range Statement and contexts applicable to the work environment.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Delivery</w:t>
            </w:r>
            <w:r w:rsidRPr="004B21DC">
              <w:t>/</w:t>
            </w:r>
            <w:r w:rsidRPr="004B21DC">
              <w:rPr>
                <w:rStyle w:val="SpecialBold"/>
              </w:rPr>
              <w:t>assessment relationship to other units</w:t>
            </w:r>
            <w:r w:rsidRPr="004B21DC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This unit may be asse</w:t>
            </w:r>
            <w:r w:rsidRPr="004B21DC">
              <w:t>ssed on its own or it may be assessed with other units that cover related skills and knowledge.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Evidence is most relevant when provided through an integrated activity, which combines the elements of competency for the unit, or a cluster of units of compete</w:t>
            </w:r>
            <w:r w:rsidRPr="004B21DC">
              <w:t xml:space="preserve">ncy.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Assessment requirements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Method of assessment</w:t>
            </w:r>
            <w:r w:rsidRPr="004B21DC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For valid and reliable assessment of this unit, evidence should be gathered through a range of methods to indicate consistent performance.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Assessment of this unit of competence will usually include ob</w:t>
            </w:r>
            <w:r w:rsidRPr="004B21DC">
              <w:t xml:space="preserve">servation of processes and procedures, oral and/or written questioning on underpinning knowledge and skills and other methods as required.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Context of assessment</w:t>
            </w:r>
            <w:r w:rsidRPr="004B21DC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 xml:space="preserve">Assessment of performance requirements in this unit should be undertaken within the financial services industry context and should cover aspects of personal/financial responsibility and accountability. 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>Aspects of competency, including the attainment of re</w:t>
            </w:r>
            <w:r w:rsidRPr="004B21DC">
              <w:t xml:space="preserve">levant knowledge and skills, may be assessed in a relevant workplace, a closely simulated work environment, or other appropriate means that clearly meet industry competency requirements.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Resources required for assessment</w:t>
            </w:r>
            <w:r w:rsidRPr="004B21DC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Assessment of this unit of comp</w:t>
            </w:r>
            <w:r w:rsidRPr="004B21DC">
              <w:t>etence requires access to suitable resources to demonstrate competence.</w:t>
            </w:r>
          </w:p>
          <w:p w:rsidR="00000000" w:rsidRPr="004B21DC" w:rsidP="004B21DC">
            <w:pPr>
              <w:pStyle w:val="BodyText"/>
            </w:pPr>
            <w:r w:rsidRPr="004B21DC">
              <w:t>Assessment instruments, including personal planner and assessment record book.</w:t>
            </w:r>
          </w:p>
          <w:p w:rsidR="00000000" w:rsidRPr="004B21DC" w:rsidP="004B21DC">
            <w:pPr>
              <w:pStyle w:val="BodyText"/>
            </w:pPr>
            <w:r w:rsidRPr="004B21DC">
              <w:t xml:space="preserve">Access to registered provider of assessment services. </w:t>
            </w:r>
          </w:p>
        </w:tc>
      </w:tr>
    </w:tbl>
    <w:p w:rsidR="00000000" w:rsidRPr="004B21DC" w:rsidP="004B21DC">
      <w:pPr>
        <w:pStyle w:val="BodyText"/>
      </w:pP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11" w:name="O_318061"/>
      <w:bookmarkEnd w:id="11"/>
      <w:r w:rsidRPr="004B21D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The Range Statement relates to the unit of competency as a whole. It allows for different work environments and situations that will affect performance.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The following variables may be present with training and assessment depending on the work situation, needs of the candidate, accessibility of the item, and local industry and regional contexts. If </w:t>
            </w:r>
            <w:r w:rsidRPr="004B21DC">
              <w:rPr>
                <w:rStyle w:val="SpecialBold"/>
              </w:rPr>
              <w:t>bold italicised</w:t>
            </w:r>
            <w:r w:rsidRPr="004B21DC">
              <w:t xml:space="preserve"> text is shown in Performance Criteria, deta</w:t>
            </w:r>
            <w:r w:rsidRPr="004B21DC">
              <w:t xml:space="preserve">ils of the text are provided in the Range Statement.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Obligations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lodgement dates</w:t>
            </w:r>
          </w:p>
          <w:p w:rsidR="00000000" w:rsidRPr="004B21DC" w:rsidP="004B21DC">
            <w:pPr>
              <w:pStyle w:val="BodyText"/>
            </w:pPr>
            <w:r w:rsidRPr="004B21DC">
              <w:t>supporting documentation</w:t>
            </w:r>
          </w:p>
          <w:p w:rsidR="00000000" w:rsidRPr="004B21DC" w:rsidP="004B21DC">
            <w:pPr>
              <w:pStyle w:val="BodyText"/>
            </w:pPr>
            <w:r w:rsidRPr="004B21DC">
              <w:t>explanatory statements</w:t>
            </w:r>
          </w:p>
          <w:p w:rsidR="00000000" w:rsidRPr="004B21DC" w:rsidP="004B21DC">
            <w:pPr>
              <w:pStyle w:val="BodyText"/>
            </w:pPr>
            <w:r w:rsidRPr="004B21DC">
              <w:t>repayment schedules</w:t>
            </w:r>
          </w:p>
          <w:p w:rsidR="00000000" w:rsidRPr="004B21DC" w:rsidP="004B21DC">
            <w:pPr>
              <w:pStyle w:val="BodyText"/>
            </w:pPr>
            <w:r w:rsidRPr="004B21DC">
              <w:t>directors' duties, rights and responsibilities</w:t>
            </w:r>
          </w:p>
          <w:p w:rsidR="00000000" w:rsidRPr="004B21DC" w:rsidP="004B21DC">
            <w:pPr>
              <w:pStyle w:val="BodyText"/>
            </w:pPr>
            <w:r w:rsidRPr="004B21DC">
              <w:t>Australian Securities and Investments Commis</w:t>
            </w:r>
            <w:r w:rsidRPr="004B21DC">
              <w:t>sion (ASIC)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regulatory influence of the Corporations Act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Internal control procedures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identification, measurement and recording of income, assets, expenditure, liabilities and equity</w:t>
            </w:r>
          </w:p>
          <w:p w:rsidR="00000000" w:rsidRPr="004B21DC" w:rsidP="004B21DC">
            <w:pPr>
              <w:pStyle w:val="BodyText"/>
            </w:pPr>
            <w:r w:rsidRPr="004B21DC">
              <w:t>safeguarding and insurance of assets</w:t>
            </w:r>
          </w:p>
          <w:p w:rsidR="00000000" w:rsidRPr="004B21DC" w:rsidP="004B21DC">
            <w:pPr>
              <w:pStyle w:val="BodyText"/>
            </w:pPr>
            <w:r w:rsidRPr="004B21DC">
              <w:t>decision making author</w:t>
            </w:r>
            <w:r w:rsidRPr="004B21DC">
              <w:t>ities</w:t>
            </w:r>
          </w:p>
          <w:p w:rsidR="00000000" w:rsidRPr="004B21DC" w:rsidP="004B21DC">
            <w:pPr>
              <w:pStyle w:val="BodyText"/>
            </w:pPr>
            <w:r w:rsidRPr="004B21DC">
              <w:t>accuracy in valuations</w:t>
            </w:r>
          </w:p>
          <w:p w:rsidR="00000000" w:rsidRPr="004B21DC" w:rsidP="004B21DC">
            <w:pPr>
              <w:pStyle w:val="BodyText"/>
            </w:pPr>
            <w:r w:rsidRPr="004B21DC">
              <w:t>transparency in financial reporting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risk management strategies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Policies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expenditure authorities</w:t>
            </w:r>
          </w:p>
          <w:p w:rsidR="00000000" w:rsidRPr="004B21DC" w:rsidP="004B21DC">
            <w:pPr>
              <w:pStyle w:val="BodyText"/>
            </w:pPr>
            <w:r w:rsidRPr="004B21DC">
              <w:t>submission dates</w:t>
            </w:r>
          </w:p>
          <w:p w:rsidR="00000000" w:rsidRPr="004B21DC" w:rsidP="004B21DC">
            <w:pPr>
              <w:pStyle w:val="BodyText"/>
            </w:pPr>
            <w:r w:rsidRPr="004B21DC">
              <w:t>expenditure limits</w:t>
            </w:r>
          </w:p>
          <w:p w:rsidR="00000000" w:rsidRPr="004B21DC" w:rsidP="004B21DC">
            <w:pPr>
              <w:pStyle w:val="BodyText"/>
            </w:pPr>
            <w:r w:rsidRPr="004B21DC">
              <w:t>decision making authorities</w:t>
            </w:r>
          </w:p>
          <w:p w:rsidR="00000000" w:rsidRPr="004B21DC" w:rsidP="004B21DC">
            <w:pPr>
              <w:pStyle w:val="BodyText"/>
            </w:pPr>
            <w:r w:rsidRPr="004B21DC">
              <w:t>documenting and receipting requirements</w:t>
            </w:r>
          </w:p>
          <w:p w:rsidR="00000000" w:rsidRPr="004B21DC" w:rsidP="004B21DC">
            <w:pPr>
              <w:pStyle w:val="BodyText"/>
            </w:pPr>
            <w:r w:rsidRPr="004B21DC">
              <w:t>eligible expenditures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financial analysis techniques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Information technology systems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databases</w:t>
            </w:r>
          </w:p>
          <w:p w:rsidR="00000000" w:rsidRPr="004B21DC" w:rsidP="004B21DC">
            <w:pPr>
              <w:pStyle w:val="BodyText"/>
            </w:pPr>
            <w:r w:rsidRPr="004B21DC">
              <w:t>spreadsheet software</w:t>
            </w:r>
          </w:p>
          <w:p w:rsidR="00000000" w:rsidRPr="004B21DC" w:rsidP="004B21DC">
            <w:pPr>
              <w:pStyle w:val="BodyText"/>
            </w:pPr>
            <w:r w:rsidRPr="004B21DC">
              <w:t>local area networks</w:t>
            </w:r>
          </w:p>
          <w:p w:rsidR="00000000" w:rsidRPr="004B21DC" w:rsidP="004B21DC">
            <w:pPr>
              <w:pStyle w:val="BodyText"/>
            </w:pPr>
            <w:r w:rsidRPr="004B21DC">
              <w:t>internet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electronic master files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Management processes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 xml:space="preserve">internal reporting </w:t>
            </w:r>
          </w:p>
          <w:p w:rsidR="00000000" w:rsidRPr="004B21DC" w:rsidP="004B21DC">
            <w:pPr>
              <w:pStyle w:val="BodyText"/>
            </w:pPr>
            <w:r w:rsidRPr="004B21DC">
              <w:t>sign-off authoriti</w:t>
            </w:r>
            <w:r w:rsidRPr="004B21DC">
              <w:t>es</w:t>
            </w:r>
          </w:p>
          <w:p w:rsidR="00000000" w:rsidRPr="004B21DC" w:rsidP="004B21DC">
            <w:pPr>
              <w:pStyle w:val="BodyText"/>
            </w:pPr>
            <w:r w:rsidRPr="004B21DC">
              <w:t>program responsibilities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lending approvals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Professional accounting standards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Australian Accounting Standards Board (AASB)</w:t>
            </w:r>
          </w:p>
          <w:p w:rsidR="00000000" w:rsidRPr="004B21DC" w:rsidP="004B21DC">
            <w:pPr>
              <w:pStyle w:val="BodyText"/>
            </w:pPr>
            <w:r w:rsidRPr="004B21DC">
              <w:t xml:space="preserve">Australian Accounting Standards 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ethical requirements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Statutory and other regulatory authorities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ASIC</w:t>
            </w:r>
          </w:p>
          <w:p w:rsidR="00000000" w:rsidRPr="004B21DC" w:rsidP="004B21DC">
            <w:pPr>
              <w:pStyle w:val="BodyText"/>
            </w:pPr>
            <w:r w:rsidRPr="004B21DC">
              <w:t>professional associations</w:t>
            </w:r>
          </w:p>
          <w:p w:rsidR="00000000" w:rsidRPr="004B21DC" w:rsidP="004B21DC">
            <w:pPr>
              <w:pStyle w:val="BodyText"/>
            </w:pPr>
            <w:r w:rsidRPr="004B21DC">
              <w:t>Australian Consumer and Competition Commission (ACCC)</w:t>
            </w:r>
          </w:p>
          <w:p w:rsidR="00000000" w:rsidRPr="004B21DC" w:rsidP="004B21DC">
            <w:pPr>
              <w:pStyle w:val="BodyText"/>
            </w:pPr>
            <w:r w:rsidRPr="004B21DC">
              <w:t>Australian Institute of Company Directors</w:t>
            </w:r>
          </w:p>
          <w:p w:rsidR="00000000" w:rsidRPr="004B21DC" w:rsidP="004B21DC">
            <w:pPr>
              <w:pStyle w:val="BodyText"/>
            </w:pPr>
            <w:r w:rsidRPr="004B21DC">
              <w:t>Australian Accounting Standards Board (AASB)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Australian Stock Exchange (ASX)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Performance indicators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reports (quarterly</w:t>
            </w:r>
            <w:r w:rsidRPr="004B21DC">
              <w:t>, half yearly, annual)</w:t>
            </w:r>
          </w:p>
          <w:p w:rsidR="00000000" w:rsidRPr="004B21DC" w:rsidP="004B21DC">
            <w:pPr>
              <w:pStyle w:val="BodyText"/>
            </w:pPr>
            <w:r w:rsidRPr="004B21DC">
              <w:t>compliance with scheduled payment dates</w:t>
            </w:r>
          </w:p>
          <w:p w:rsidR="00000000" w:rsidRPr="004B21DC" w:rsidP="004B21DC">
            <w:pPr>
              <w:pStyle w:val="BodyText"/>
            </w:pPr>
            <w:r w:rsidRPr="004B21DC">
              <w:t>profits and losses</w:t>
            </w:r>
          </w:p>
          <w:p w:rsidR="00000000" w:rsidRPr="004B21DC" w:rsidP="004B21DC">
            <w:pPr>
              <w:pStyle w:val="BodyText"/>
            </w:pPr>
            <w:r w:rsidRPr="004B21DC">
              <w:t>debt reduction targets</w:t>
            </w:r>
          </w:p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t xml:space="preserve">unqualified audits </w:t>
            </w:r>
          </w:p>
        </w:tc>
      </w:tr>
      <w:tr w:rsidTr="00437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1DC">
            <w:pPr>
              <w:pStyle w:val="BodyText"/>
              <w:rPr>
                <w:lang w:val="en-NZ"/>
              </w:rPr>
            </w:pPr>
            <w:r w:rsidRPr="004B21DC">
              <w:rPr>
                <w:rStyle w:val="SpecialBold"/>
              </w:rPr>
              <w:t>Key result areas</w:t>
            </w:r>
            <w:r w:rsidRPr="004B21DC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1DC" w:rsidP="004B21DC">
            <w:pPr>
              <w:pStyle w:val="BodyText"/>
            </w:pPr>
            <w:r w:rsidRPr="004B21DC">
              <w:t>accuracy of data</w:t>
            </w:r>
          </w:p>
          <w:p w:rsidR="00000000" w:rsidRPr="004B21DC" w:rsidP="004B21DC">
            <w:pPr>
              <w:pStyle w:val="BodyText"/>
            </w:pPr>
            <w:r w:rsidRPr="004B21DC">
              <w:t>consistency of application of procedures</w:t>
            </w:r>
          </w:p>
          <w:p w:rsidR="00000000" w:rsidRPr="004B21DC" w:rsidP="004B21DC">
            <w:pPr>
              <w:pStyle w:val="BodyText"/>
            </w:pPr>
            <w:r w:rsidRPr="004B21DC">
              <w:t>compliance with statutory requirements</w:t>
            </w:r>
          </w:p>
          <w:p w:rsidR="00000000" w:rsidRPr="004B21DC" w:rsidP="004B21DC">
            <w:pPr>
              <w:pStyle w:val="BodyText"/>
            </w:pPr>
            <w:r w:rsidRPr="004B21DC">
              <w:t>completion of documentation</w:t>
            </w:r>
          </w:p>
          <w:p w:rsidR="00000000" w:rsidRPr="004B21DC" w:rsidP="004B21DC">
            <w:pPr>
              <w:pStyle w:val="BodyText"/>
            </w:pPr>
            <w:r w:rsidRPr="004B21DC">
              <w:t>continuity of records</w:t>
            </w:r>
          </w:p>
          <w:p w:rsidR="00000000" w:rsidRPr="004B21DC" w:rsidP="004B21DC">
            <w:pPr>
              <w:pStyle w:val="BodyText"/>
            </w:pPr>
            <w:r w:rsidRPr="004B21DC">
              <w:t xml:space="preserve">administrative efficiency </w:t>
            </w:r>
          </w:p>
        </w:tc>
      </w:tr>
    </w:tbl>
    <w:p w:rsidR="00000000" w:rsidRPr="004B21DC" w:rsidP="004B21DC">
      <w:pPr>
        <w:pStyle w:val="BodyText"/>
      </w:pP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12" w:name="O_318071"/>
      <w:bookmarkEnd w:id="12"/>
      <w:r w:rsidRPr="004B21DC">
        <w:t>Unit Sector(s)</w:t>
      </w:r>
    </w:p>
    <w:p w:rsidR="00000000" w:rsidRPr="004B21DC" w:rsidP="004B21DC">
      <w:pPr>
        <w:pStyle w:val="BodyText"/>
      </w:pPr>
      <w:r w:rsidRPr="004B21DC">
        <w:t>Not applicable.</w:t>
      </w:r>
    </w:p>
    <w:p w:rsidR="00000000" w:rsidRPr="004B21DC" w:rsidP="004B21DC">
      <w:pPr>
        <w:pStyle w:val="AllowPageBreak"/>
      </w:pPr>
    </w:p>
    <w:p w:rsidR="00000000" w:rsidRPr="004B21DC" w:rsidP="004B21DC">
      <w:pPr>
        <w:pStyle w:val="Heading1"/>
      </w:pPr>
      <w:bookmarkStart w:id="13" w:name="O_318060"/>
      <w:bookmarkEnd w:id="13"/>
      <w:r w:rsidRPr="004B21DC">
        <w:t>Relationship to other units</w:t>
      </w:r>
    </w:p>
    <w:p w:rsidR="00000000" w:rsidRPr="004B21DC" w:rsidP="004B21DC">
      <w:pPr>
        <w:pStyle w:val="BodyText"/>
      </w:pPr>
      <w:r w:rsidRPr="004B21DC">
        <w:t>This unit replaces FNSACCT604A.</w:t>
      </w:r>
    </w:p>
    <w:p w:rsidR="00000000" w:rsidRPr="004B21DC" w:rsidP="004B21DC">
      <w:pPr>
        <w:pStyle w:val="BodyText"/>
      </w:pPr>
      <w:r w:rsidRPr="004B21DC">
        <w:t>This unit replaces FNSACCT604A.</w:t>
      </w:r>
    </w:p>
    <w:p w:rsidR="00000000" w:rsidRPr="004B21DC" w:rsidP="004B21DC"/>
    <w:sectPr w:rsidSect="004B21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7398" w:rsidP="00437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98" w:rsidP="004B2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37398" w:rsidP="004B2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7398" w:rsidP="004B21D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7398" w:rsidP="0043739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398" w:rsidP="004B2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FNSACCT604B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37398" w:rsidP="004B21D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B2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1DC"/>
  </w:style>
  <w:style w:type="character" w:customStyle="1" w:styleId="Heading1Char">
    <w:name w:val="Heading 1 Char"/>
    <w:link w:val="Heading1"/>
    <w:rsid w:val="004B2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1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B21D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B2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B21DC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4B21DC"/>
    <w:rPr>
      <w:b/>
      <w:spacing w:val="0"/>
    </w:rPr>
  </w:style>
  <w:style w:type="paragraph" w:styleId="Header">
    <w:name w:val="header"/>
    <w:basedOn w:val="Normal"/>
    <w:link w:val="HeaderChar"/>
    <w:rsid w:val="004B2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B2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B21D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B2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4B2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B2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B2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B2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B2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1D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B21D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B21D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B2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B2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B2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1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1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2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1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1D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B2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B21DC"/>
    <w:rPr>
      <w:i/>
    </w:rPr>
  </w:style>
  <w:style w:type="paragraph" w:styleId="Caption">
    <w:name w:val="caption"/>
    <w:basedOn w:val="BodyText"/>
    <w:next w:val="Normal"/>
    <w:qFormat/>
    <w:rsid w:val="004B2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1DC"/>
  </w:style>
  <w:style w:type="paragraph" w:styleId="TableofFigures">
    <w:name w:val="table of figures"/>
    <w:basedOn w:val="Normal"/>
    <w:next w:val="Normal"/>
    <w:semiHidden/>
    <w:rsid w:val="004B2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1DC"/>
    <w:pPr>
      <w:numPr>
        <w:numId w:val="9"/>
      </w:numPr>
    </w:pPr>
  </w:style>
  <w:style w:type="character" w:customStyle="1" w:styleId="WingdingSymbols">
    <w:name w:val="Wingding Symbols"/>
    <w:rsid w:val="004B21DC"/>
    <w:rPr>
      <w:rFonts w:ascii="Wingdings" w:hAnsi="Wingdings"/>
    </w:rPr>
  </w:style>
  <w:style w:type="paragraph" w:customStyle="1" w:styleId="TableHeading">
    <w:name w:val="Table Heading"/>
    <w:basedOn w:val="HeadingBase"/>
    <w:rsid w:val="004B2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1DC"/>
    <w:rPr>
      <w:color w:val="0033CC"/>
      <w:u w:val="none"/>
    </w:rPr>
  </w:style>
  <w:style w:type="paragraph" w:customStyle="1" w:styleId="BodyTextRight">
    <w:name w:val="Body Text Right"/>
    <w:basedOn w:val="BodyText"/>
    <w:rsid w:val="004B2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1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B21D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B21DC"/>
    <w:rPr>
      <w:sz w:val="32"/>
    </w:rPr>
  </w:style>
  <w:style w:type="paragraph" w:customStyle="1" w:styleId="HeadingProcedure">
    <w:name w:val="Heading Procedure"/>
    <w:basedOn w:val="HeadingBase"/>
    <w:next w:val="Normal"/>
    <w:rsid w:val="004B2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1DC"/>
    <w:pPr>
      <w:spacing w:before="60" w:after="60"/>
    </w:pPr>
  </w:style>
  <w:style w:type="paragraph" w:styleId="ListContinue">
    <w:name w:val="List Continue"/>
    <w:basedOn w:val="List"/>
    <w:rsid w:val="004B21DC"/>
    <w:pPr>
      <w:ind w:firstLine="0"/>
    </w:pPr>
  </w:style>
  <w:style w:type="paragraph" w:customStyle="1" w:styleId="ListNote">
    <w:name w:val="List Note"/>
    <w:basedOn w:val="List"/>
    <w:rsid w:val="004B2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B21DC"/>
    <w:rPr>
      <w:rFonts w:ascii="Courier New" w:hAnsi="Courier New"/>
    </w:rPr>
  </w:style>
  <w:style w:type="paragraph" w:customStyle="1" w:styleId="NoteBullet">
    <w:name w:val="Note Bullet"/>
    <w:basedOn w:val="Note"/>
    <w:rsid w:val="004B2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1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1D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B21DC"/>
    <w:rPr>
      <w:b/>
      <w:smallCaps/>
    </w:rPr>
  </w:style>
  <w:style w:type="paragraph" w:customStyle="1" w:styleId="TableListNumber">
    <w:name w:val="Table List Number"/>
    <w:basedOn w:val="ListNumber"/>
    <w:rsid w:val="004B2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1DC"/>
    <w:pPr>
      <w:numPr>
        <w:numId w:val="7"/>
      </w:numPr>
    </w:pPr>
  </w:style>
  <w:style w:type="paragraph" w:customStyle="1" w:styleId="ListAlpha2">
    <w:name w:val="List Alpha 2"/>
    <w:basedOn w:val="List2"/>
    <w:rsid w:val="004B21DC"/>
    <w:pPr>
      <w:numPr>
        <w:numId w:val="6"/>
      </w:numPr>
    </w:pPr>
  </w:style>
  <w:style w:type="paragraph" w:styleId="List2">
    <w:name w:val="List 2"/>
    <w:basedOn w:val="BodyText"/>
    <w:rsid w:val="004B2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1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1DC"/>
    <w:pPr>
      <w:numPr>
        <w:numId w:val="1"/>
      </w:numPr>
    </w:pPr>
  </w:style>
  <w:style w:type="paragraph" w:styleId="ListBullet5">
    <w:name w:val="List Bullet 5"/>
    <w:basedOn w:val="List5"/>
    <w:rsid w:val="004B21DC"/>
    <w:pPr>
      <w:numPr>
        <w:numId w:val="2"/>
      </w:numPr>
    </w:pPr>
  </w:style>
  <w:style w:type="paragraph" w:styleId="ListContinue2">
    <w:name w:val="List Continue 2"/>
    <w:basedOn w:val="List2"/>
    <w:rsid w:val="004B21DC"/>
    <w:pPr>
      <w:ind w:firstLine="0"/>
    </w:pPr>
  </w:style>
  <w:style w:type="paragraph" w:styleId="ListContinue3">
    <w:name w:val="List Continue 3"/>
    <w:basedOn w:val="List3"/>
    <w:rsid w:val="004B21DC"/>
    <w:pPr>
      <w:ind w:left="1021" w:firstLine="0"/>
    </w:pPr>
  </w:style>
  <w:style w:type="paragraph" w:styleId="ListContinue4">
    <w:name w:val="List Continue 4"/>
    <w:basedOn w:val="List4"/>
    <w:rsid w:val="004B21DC"/>
    <w:pPr>
      <w:ind w:firstLine="0"/>
    </w:pPr>
  </w:style>
  <w:style w:type="paragraph" w:styleId="ListContinue5">
    <w:name w:val="List Continue 5"/>
    <w:basedOn w:val="List5"/>
    <w:rsid w:val="004B21DC"/>
    <w:pPr>
      <w:ind w:firstLine="0"/>
    </w:pPr>
  </w:style>
  <w:style w:type="paragraph" w:styleId="ListNumber3">
    <w:name w:val="List Number 3"/>
    <w:basedOn w:val="List3"/>
    <w:rsid w:val="004B21DC"/>
    <w:pPr>
      <w:numPr>
        <w:numId w:val="3"/>
      </w:numPr>
    </w:pPr>
  </w:style>
  <w:style w:type="paragraph" w:styleId="ListNumber4">
    <w:name w:val="List Number 4"/>
    <w:basedOn w:val="List4"/>
    <w:rsid w:val="004B21DC"/>
    <w:pPr>
      <w:numPr>
        <w:numId w:val="4"/>
      </w:numPr>
    </w:pPr>
  </w:style>
  <w:style w:type="paragraph" w:styleId="ListNumber5">
    <w:name w:val="List Number 5"/>
    <w:basedOn w:val="List5"/>
    <w:rsid w:val="004B21DC"/>
    <w:pPr>
      <w:numPr>
        <w:numId w:val="5"/>
      </w:numPr>
    </w:pPr>
  </w:style>
  <w:style w:type="paragraph" w:styleId="BlockText">
    <w:name w:val="Block Text"/>
    <w:basedOn w:val="Normal"/>
    <w:rsid w:val="004B21DC"/>
    <w:pPr>
      <w:spacing w:after="120"/>
      <w:ind w:left="1440" w:right="1440"/>
    </w:pPr>
  </w:style>
  <w:style w:type="character" w:customStyle="1" w:styleId="Subscript">
    <w:name w:val="Subscript"/>
    <w:rsid w:val="004B21DC"/>
    <w:rPr>
      <w:sz w:val="16"/>
      <w:vertAlign w:val="subscript"/>
    </w:rPr>
  </w:style>
  <w:style w:type="character" w:customStyle="1" w:styleId="Superscript">
    <w:name w:val="Superscript"/>
    <w:rsid w:val="004B21DC"/>
    <w:rPr>
      <w:sz w:val="16"/>
      <w:vertAlign w:val="superscript"/>
    </w:rPr>
  </w:style>
  <w:style w:type="character" w:customStyle="1" w:styleId="Symbols">
    <w:name w:val="Symbols"/>
    <w:rsid w:val="004B21DC"/>
    <w:rPr>
      <w:rFonts w:ascii="Symbol" w:hAnsi="Symbol"/>
    </w:rPr>
  </w:style>
  <w:style w:type="character" w:customStyle="1" w:styleId="MenuOptions">
    <w:name w:val="Menu Options"/>
    <w:rsid w:val="004B21DC"/>
    <w:rPr>
      <w:rFonts w:ascii="Arial Narrow" w:hAnsi="Arial Narrow"/>
      <w:smallCaps/>
    </w:rPr>
  </w:style>
  <w:style w:type="character" w:customStyle="1" w:styleId="Buttons">
    <w:name w:val="Buttons"/>
    <w:rsid w:val="004B21DC"/>
    <w:rPr>
      <w:b/>
    </w:rPr>
  </w:style>
  <w:style w:type="character" w:customStyle="1" w:styleId="Underlined">
    <w:name w:val="Underlined"/>
    <w:rsid w:val="004B21DC"/>
    <w:rPr>
      <w:u w:val="single"/>
    </w:rPr>
  </w:style>
  <w:style w:type="paragraph" w:customStyle="1" w:styleId="TableBodyTextRight">
    <w:name w:val="Table Body Text Right"/>
    <w:basedOn w:val="TableBodyText"/>
    <w:rsid w:val="004B2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1DC"/>
    <w:rPr>
      <w:sz w:val="18"/>
    </w:rPr>
  </w:style>
  <w:style w:type="paragraph" w:customStyle="1" w:styleId="BodySmallRight">
    <w:name w:val="Body Small Right"/>
    <w:basedOn w:val="BodyTextRight"/>
    <w:rsid w:val="004B21DC"/>
    <w:rPr>
      <w:sz w:val="18"/>
      <w:szCs w:val="18"/>
    </w:rPr>
  </w:style>
  <w:style w:type="paragraph" w:customStyle="1" w:styleId="MarginEdition">
    <w:name w:val="Margin Edition"/>
    <w:basedOn w:val="MarginNote"/>
    <w:rsid w:val="004B2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1DC"/>
    <w:rPr>
      <w:sz w:val="2"/>
      <w:szCs w:val="2"/>
    </w:rPr>
  </w:style>
  <w:style w:type="character" w:customStyle="1" w:styleId="Small">
    <w:name w:val="Small"/>
    <w:rsid w:val="004B21DC"/>
    <w:rPr>
      <w:sz w:val="16"/>
    </w:rPr>
  </w:style>
  <w:style w:type="paragraph" w:customStyle="1" w:styleId="WideTable">
    <w:name w:val="Wide Table"/>
    <w:basedOn w:val="Normal"/>
    <w:rsid w:val="004B21DC"/>
    <w:pPr>
      <w:ind w:left="-1418"/>
    </w:pPr>
    <w:rPr>
      <w:sz w:val="2"/>
      <w:szCs w:val="2"/>
    </w:rPr>
  </w:style>
  <w:style w:type="character" w:styleId="PageNumber">
    <w:name w:val="page number"/>
    <w:rsid w:val="004B21DC"/>
  </w:style>
  <w:style w:type="paragraph" w:styleId="Quote">
    <w:name w:val="Quote"/>
    <w:basedOn w:val="Heading1"/>
    <w:link w:val="QuoteChar"/>
    <w:qFormat/>
    <w:rsid w:val="004B21D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B2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1DC"/>
    <w:pPr>
      <w:pageBreakBefore/>
    </w:pPr>
  </w:style>
  <w:style w:type="paragraph" w:customStyle="1" w:styleId="Border">
    <w:name w:val="Border"/>
    <w:basedOn w:val="Normal"/>
    <w:qFormat/>
    <w:rsid w:val="004B2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B2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B21D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B21D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B2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B21DC"/>
    <w:rPr>
      <w:u w:val="single"/>
    </w:rPr>
  </w:style>
  <w:style w:type="character" w:customStyle="1" w:styleId="BoldandItalics">
    <w:name w:val="Bold and Italics"/>
    <w:qFormat/>
    <w:rsid w:val="004B21DC"/>
    <w:rPr>
      <w:b/>
      <w:i/>
      <w:u w:val="none"/>
    </w:rPr>
  </w:style>
  <w:style w:type="paragraph" w:styleId="BalloonText">
    <w:name w:val="Balloon Text"/>
    <w:basedOn w:val="Normal"/>
    <w:link w:val="BalloonTextChar"/>
    <w:rsid w:val="004B2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21D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B21D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B21D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1307</Words>
  <Characters>8852</Characters>
  <Application>Microsoft Office Word</Application>
  <DocSecurity>0</DocSecurity>
  <Lines>301</Lines>
  <Paragraphs>170</Paragraphs>
  <ScaleCrop>false</ScaleCrop>
  <Company>Author-it Software Corporation Ltd.</Company>
  <LinksUpToDate>false</LinksUpToDate>
  <CharactersWithSpaces>10022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FNSACCT604B Monitor corporate governance activities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2012-05-26T06:59:00Z</dcterms:created>
  <dcterms:modified xsi:type="dcterms:W3CDTF">2012-05-26T06:59:00Z</dcterms:modified>
</cp:coreProperties>
</file>