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AC6" w:rsidP="00784AC6">
      <w:pPr>
        <w:pStyle w:val="Title"/>
      </w:pPr>
      <w:r>
        <w:fldChar w:fldCharType="begin"/>
      </w:r>
      <w:r>
        <w:instrText xml:space="preserve"> TITLE   \* MERGEFORMAT </w:instrText>
      </w:r>
      <w:r>
        <w:fldChar w:fldCharType="separate"/>
      </w:r>
      <w:r>
        <w:t>FNSACCT603B Implement tax plans and evaluate tax compliance</w:t>
      </w:r>
      <w:r>
        <w:fldChar w:fldCharType="end"/>
      </w:r>
    </w:p>
    <w:p w:rsidR="00784AC6" w:rsidP="00784AC6">
      <w:pPr>
        <w:pStyle w:val="Version"/>
        <w:sectPr w:rsidSect="00D01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1A27" w:rsidP="00D01A27">
      <w:pPr>
        <w:pStyle w:val="SuperHeading"/>
      </w:pPr>
      <w:r w:rsidRPr="00D01A27">
        <w:t>FNSACCT603B Implement tax plans and evaluate tax compliance</w:t>
      </w:r>
    </w:p>
    <w:p w:rsidR="00000000" w:rsidRPr="00D01A27" w:rsidP="00D01A27">
      <w:pPr>
        <w:pStyle w:val="Heading1"/>
      </w:pPr>
      <w:bookmarkStart w:id="1" w:name="O_318056"/>
      <w:bookmarkEnd w:id="1"/>
      <w:r w:rsidRPr="00D01A27">
        <w:t>Modification History</w:t>
      </w:r>
    </w:p>
    <w:p w:rsidR="00000000" w:rsidRPr="00D01A27" w:rsidP="00D01A27">
      <w:pPr>
        <w:pStyle w:val="BodyText"/>
      </w:pPr>
      <w:r w:rsidRPr="00D01A27">
        <w:t>Not applicable.</w:t>
      </w:r>
    </w:p>
    <w:p w:rsidR="00000000" w:rsidRPr="00D01A27" w:rsidP="00D01A27">
      <w:pPr>
        <w:pStyle w:val="AllowPageBreak"/>
      </w:pPr>
    </w:p>
    <w:p w:rsidR="00000000" w:rsidRPr="00D01A27" w:rsidP="00D01A27">
      <w:pPr>
        <w:pStyle w:val="Heading1"/>
      </w:pPr>
      <w:bookmarkStart w:id="2" w:name="O_318057"/>
      <w:bookmarkEnd w:id="2"/>
      <w:r w:rsidRPr="00D01A27">
        <w:t>Unit Descriptor</w:t>
      </w:r>
    </w:p>
    <w:p w:rsidR="00000000" w:rsidRPr="00D01A27" w:rsidP="00D01A27">
      <w:pPr>
        <w:pStyle w:val="BodyText"/>
      </w:pPr>
      <w:r w:rsidRPr="00D01A27">
        <w:t>This unit covers the competency to implement tax plans and evaluate tax compliance.</w:t>
      </w:r>
    </w:p>
    <w:p w:rsidR="00000000" w:rsidRPr="00D01A27" w:rsidP="00D01A27">
      <w:pPr>
        <w:pStyle w:val="BodyText"/>
      </w:pPr>
      <w:r w:rsidRPr="00D01A27">
        <w:t>This unit covers the c</w:t>
      </w:r>
      <w:r w:rsidRPr="00D01A27">
        <w:t>ompetency to implement tax plans and evaluate tax compliance.</w:t>
      </w:r>
    </w:p>
    <w:p w:rsidR="00000000" w:rsidRPr="00D01A27" w:rsidP="00D01A27">
      <w:pPr>
        <w:pStyle w:val="AllowPageBreak"/>
      </w:pPr>
    </w:p>
    <w:p w:rsidR="00000000" w:rsidRPr="00D01A27" w:rsidP="00D01A27">
      <w:pPr>
        <w:pStyle w:val="Heading1"/>
      </w:pPr>
      <w:bookmarkStart w:id="3" w:name="O_318047"/>
      <w:bookmarkEnd w:id="3"/>
      <w:r w:rsidRPr="00D01A27">
        <w:t>Application of the Unit</w:t>
      </w:r>
    </w:p>
    <w:p w:rsidR="00000000" w:rsidRPr="00D01A27" w:rsidP="00D01A27">
      <w:pPr>
        <w:pStyle w:val="BodyText"/>
      </w:pPr>
      <w:r w:rsidRPr="00D01A27">
        <w:t>This unit requires the application of skills and knowledge required to implement tax plans and to evaluate organisations taxation compliance. The unit en</w:t>
      </w:r>
      <w:r w:rsidRPr="00D01A27">
        <w:t xml:space="preserve">compasses assessing taxation liabilities, optimising tax position, establishing processes and plans, evaluating tax policies and reviewing taxation compliance.    </w:t>
      </w:r>
    </w:p>
    <w:p w:rsidR="00000000" w:rsidRPr="00D01A27" w:rsidP="00D01A27">
      <w:pPr>
        <w:pStyle w:val="BodyText"/>
      </w:pPr>
      <w:r w:rsidRPr="00D01A27">
        <w:t>The unit can be applied across the financial services sector, and is appropriate for a perso</w:t>
      </w:r>
      <w:r w:rsidRPr="00D01A27">
        <w:t xml:space="preserve">n with suitable qualifications and experience such as an accountant and taxation specialist that is responsible for implementing tax plans and evaluating compliance with taxation requirements.  </w:t>
      </w:r>
    </w:p>
    <w:p w:rsidR="00000000" w:rsidRPr="00D01A27" w:rsidP="00D01A27">
      <w:pPr>
        <w:pStyle w:val="BodyText"/>
      </w:pPr>
      <w:r w:rsidRPr="00D01A27">
        <w:t>This unit requires the application of skills and knowledge re</w:t>
      </w:r>
      <w:r w:rsidRPr="00D01A27">
        <w:t xml:space="preserve">quired to implement tax plans and to evaluate organisations taxation compliance. The unit encompasses assessing taxation liabilities, optimising tax position, establishing processes and plans, evaluating tax policies and reviewing taxation compliance.    </w:t>
      </w:r>
    </w:p>
    <w:p w:rsidR="00000000" w:rsidRPr="00D01A27" w:rsidP="00D01A27">
      <w:pPr>
        <w:pStyle w:val="BodyText"/>
      </w:pPr>
      <w:r w:rsidRPr="00D01A27">
        <w:t>The unit can be applied across the financial services sector, and is appropriate for a person with suitable qualifications and experience such as an accountant and taxation specialist that is responsible for implementing tax plans and evaluating compliance</w:t>
      </w:r>
      <w:r w:rsidRPr="00D01A27">
        <w:t xml:space="preserve"> with taxation requirements.  </w:t>
      </w:r>
    </w:p>
    <w:p w:rsidR="00000000" w:rsidRPr="00D01A27" w:rsidP="00D01A27">
      <w:pPr>
        <w:pStyle w:val="AllowPageBreak"/>
      </w:pPr>
    </w:p>
    <w:p w:rsidR="00000000" w:rsidRPr="00D01A27" w:rsidP="00D01A27">
      <w:pPr>
        <w:pStyle w:val="Heading1"/>
      </w:pPr>
      <w:bookmarkStart w:id="4" w:name="O_318048"/>
      <w:bookmarkEnd w:id="4"/>
      <w:r w:rsidRPr="00D01A27">
        <w:t>Licensing/Regulatory Information</w:t>
      </w:r>
    </w:p>
    <w:p w:rsidR="00000000" w:rsidRPr="00D01A27" w:rsidP="00D01A27">
      <w:pPr>
        <w:pStyle w:val="BodyText"/>
      </w:pPr>
      <w:r w:rsidRPr="00D01A27">
        <w:t>Not applicable.</w:t>
      </w:r>
    </w:p>
    <w:p w:rsidR="00000000" w:rsidRPr="00D01A27" w:rsidP="00D01A27">
      <w:pPr>
        <w:pStyle w:val="AllowPageBreak"/>
      </w:pPr>
    </w:p>
    <w:p w:rsidR="00000000" w:rsidRPr="00D01A27" w:rsidP="00D01A27">
      <w:pPr>
        <w:pStyle w:val="Heading1"/>
      </w:pPr>
      <w:bookmarkStart w:id="5" w:name="O_318049"/>
      <w:bookmarkEnd w:id="5"/>
      <w:r w:rsidRPr="00D01A27">
        <w:t>Pre-Requisites</w:t>
      </w:r>
    </w:p>
    <w:p w:rsidR="00000000" w:rsidRPr="00D01A27" w:rsidP="00D01A27">
      <w:pPr>
        <w:pStyle w:val="BodyText"/>
      </w:pPr>
      <w:r w:rsidRPr="00D01A27">
        <w:t>Not applicable.</w:t>
      </w:r>
    </w:p>
    <w:p w:rsidR="00000000" w:rsidRPr="00D01A27" w:rsidP="00D01A27">
      <w:pPr>
        <w:pStyle w:val="AllowPageBreak"/>
      </w:pPr>
    </w:p>
    <w:p w:rsidR="00000000" w:rsidRPr="00D01A27" w:rsidP="00D01A27">
      <w:pPr>
        <w:pStyle w:val="Heading1"/>
      </w:pPr>
      <w:bookmarkStart w:id="6" w:name="O_318050"/>
      <w:bookmarkEnd w:id="6"/>
      <w:r w:rsidRPr="00D01A27">
        <w:t>Employability Skills Information</w:t>
      </w:r>
    </w:p>
    <w:p w:rsidR="00000000" w:rsidRPr="00D01A27" w:rsidP="00D01A27">
      <w:pPr>
        <w:pStyle w:val="BodyText"/>
      </w:pPr>
      <w:r w:rsidRPr="00D01A27">
        <w:t>The required outcomes described in this unit of competency co</w:t>
      </w:r>
      <w:r w:rsidRPr="00D01A27">
        <w:t>ntain applicable facets of employability skills. The Employability Skills Summary for the qualification in which this unit of competency is packaged, will assist in identifying employability skills requirements.</w:t>
      </w:r>
    </w:p>
    <w:p w:rsidR="00000000" w:rsidRPr="00D01A27" w:rsidP="00D01A27">
      <w:pPr>
        <w:pStyle w:val="BodyText"/>
      </w:pPr>
      <w:r w:rsidRPr="00D01A27">
        <w:t>The required outcomes described in this unit</w:t>
      </w:r>
      <w:r w:rsidRPr="00D01A27">
        <w:t xml:space="preserve"> of competency contain applicable facets of employability skills. The Employability Skills Summary for the qualification in which this unit of competency is packaged, will assist in identifying employability skills requirements.</w:t>
      </w:r>
    </w:p>
    <w:p w:rsidR="00000000" w:rsidRPr="00D01A27" w:rsidP="00D01A27">
      <w:pPr>
        <w:pStyle w:val="AllowPageBreak"/>
      </w:pPr>
    </w:p>
    <w:p w:rsidR="00000000" w:rsidRPr="00D01A27" w:rsidP="00D01A27">
      <w:pPr>
        <w:pStyle w:val="Heading1"/>
      </w:pPr>
      <w:bookmarkStart w:id="7" w:name="O_318051"/>
      <w:bookmarkEnd w:id="7"/>
      <w:r w:rsidRPr="00D01A27">
        <w:t>Elements and Performance Criteria Pre-Content</w:t>
      </w:r>
    </w:p>
    <w:p w:rsidR="00000000" w:rsidRPr="00D01A27" w:rsidP="00D01A27">
      <w:pPr>
        <w:pStyle w:val="BodyText"/>
      </w:pPr>
      <w:r w:rsidRPr="00D01A27">
        <w:t>Elements define the essential outcomes of a unit of competency.</w:t>
      </w:r>
    </w:p>
    <w:p w:rsidR="00000000" w:rsidRPr="00D01A27" w:rsidP="00D01A27">
      <w:pPr>
        <w:pStyle w:val="BodyText"/>
      </w:pPr>
      <w:r w:rsidRPr="00D01A27">
        <w:t xml:space="preserve">Performance Criteria describe the required performance needed to demonstrate achievement of the Element. </w:t>
      </w:r>
      <w:r w:rsidRPr="00D01A27">
        <w:rPr>
          <w:rStyle w:val="SpecialBold"/>
        </w:rPr>
        <w:t xml:space="preserve">Bold, italicised </w:t>
      </w:r>
      <w:r w:rsidRPr="00D01A27">
        <w:t xml:space="preserve">terms are elaborated in </w:t>
      </w:r>
      <w:r w:rsidRPr="00D01A27">
        <w:t>the Range Statement. Assessment of performance is to be consistent with the Evidence Guide.</w:t>
      </w:r>
    </w:p>
    <w:p w:rsidR="00000000" w:rsidRPr="00D01A27" w:rsidP="00D01A27">
      <w:pPr>
        <w:pStyle w:val="BodyText"/>
      </w:pPr>
      <w:r w:rsidRPr="00D01A27">
        <w:t>Elements define the essential outcomes of a unit of competency.</w:t>
      </w:r>
    </w:p>
    <w:p w:rsidR="00000000" w:rsidRPr="00D01A27" w:rsidP="00D01A27">
      <w:pPr>
        <w:pStyle w:val="BodyText"/>
      </w:pPr>
      <w:r w:rsidRPr="00D01A27">
        <w:t>Performance Criteria describe the required performance needed to demonstrate achievement of the Elem</w:t>
      </w:r>
      <w:r w:rsidRPr="00D01A27">
        <w:t xml:space="preserve">ent. </w:t>
      </w:r>
      <w:r w:rsidRPr="00D01A27">
        <w:rPr>
          <w:rStyle w:val="SpecialBold"/>
        </w:rPr>
        <w:t xml:space="preserve">Bold, italicised </w:t>
      </w:r>
      <w:r w:rsidRPr="00D01A27">
        <w:t>terms are elaborated in the Range Statement. Assessment of performance is to be consistent with the Evidence Guide.</w:t>
      </w:r>
    </w:p>
    <w:p w:rsidR="00000000" w:rsidRPr="00D01A27" w:rsidP="00D01A27">
      <w:pPr>
        <w:pStyle w:val="AllowPageBreak"/>
      </w:pPr>
    </w:p>
    <w:p w:rsidR="00000000" w:rsidRPr="00D01A27" w:rsidP="00D01A27">
      <w:pPr>
        <w:pStyle w:val="Heading1"/>
      </w:pPr>
      <w:bookmarkStart w:id="8" w:name="O_318052"/>
      <w:bookmarkEnd w:id="8"/>
      <w:r w:rsidRPr="00D01A2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84AC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Elements and Performance Criteria</w:t>
            </w:r>
          </w:p>
        </w:tc>
      </w:tr>
      <w:tr w:rsidTr="00784AC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Performance Criteria</w:t>
            </w:r>
          </w:p>
        </w:tc>
      </w:tr>
      <w:tr w:rsidTr="00784A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1</w:t>
            </w:r>
          </w:p>
        </w:tc>
        <w:tc>
          <w:tcPr>
            <w:tcW w:w="30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Assess tax liabilities</w:t>
            </w: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1.1</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 xml:space="preserve">Organisational and operational </w:t>
            </w:r>
            <w:r w:rsidRPr="00D01A27">
              <w:rPr>
                <w:rStyle w:val="SpecialBold"/>
              </w:rPr>
              <w:t xml:space="preserve">tax liabilities </w:t>
            </w:r>
            <w:r w:rsidRPr="00D01A27">
              <w:t xml:space="preserve">are identified by analysis of external and internal </w:t>
            </w:r>
            <w:r w:rsidRPr="00D01A27">
              <w:rPr>
                <w:rStyle w:val="SpecialBold"/>
              </w:rPr>
              <w:t>taxable transactions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1.2</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 xml:space="preserve">History and trends in </w:t>
            </w:r>
            <w:r w:rsidRPr="00D01A27">
              <w:rPr>
                <w:rStyle w:val="SpecialBold"/>
              </w:rPr>
              <w:t xml:space="preserve">obligations </w:t>
            </w:r>
            <w:r w:rsidRPr="00D01A27">
              <w:t xml:space="preserve">arising from organisational transactions are quantified using </w:t>
            </w:r>
            <w:r w:rsidRPr="00D01A27">
              <w:rPr>
                <w:rStyle w:val="SpecialBold"/>
              </w:rPr>
              <w:t>standard accounting techniques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1.3</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 xml:space="preserve">Data </w:t>
            </w:r>
            <w:r w:rsidRPr="00D01A27">
              <w:t>from transactions are analysed to resolve ambiguities and determine the nature of taxation options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1.4</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 xml:space="preserve">Effects of taxes are analysed and scheduled by assessing </w:t>
            </w:r>
            <w:r w:rsidRPr="00D01A27">
              <w:rPr>
                <w:rStyle w:val="SpecialBold"/>
              </w:rPr>
              <w:t>methods of determination</w:t>
            </w:r>
            <w:r w:rsidRPr="00D01A27">
              <w:t xml:space="preserve">, </w:t>
            </w:r>
            <w:r w:rsidRPr="00D01A27">
              <w:rPr>
                <w:rStyle w:val="SpecialBold"/>
              </w:rPr>
              <w:t xml:space="preserve">tax bases </w:t>
            </w:r>
            <w:r w:rsidRPr="00D01A27">
              <w:t xml:space="preserve">and timing of </w:t>
            </w:r>
            <w:r w:rsidRPr="00D01A27">
              <w:t>incidence</w:t>
            </w:r>
          </w:p>
        </w:tc>
      </w:tr>
      <w:tr w:rsidTr="00784A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2</w:t>
            </w:r>
          </w:p>
        </w:tc>
        <w:tc>
          <w:tcPr>
            <w:tcW w:w="30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Optimise tax positions</w:t>
            </w: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2.1</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Implications of obligations on operations and structures are assessed to develop a range of treatments and responses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2.2</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 xml:space="preserve">Financial management strategies </w:t>
            </w:r>
            <w:r w:rsidRPr="00D01A27">
              <w:t>are developed to ensure the alignment of cash flow with incidence and schedules of tax payments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2.3</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Trends in tax liabilities are analysed and monitored to develop a history of obligations and compliance</w:t>
            </w:r>
          </w:p>
        </w:tc>
      </w:tr>
      <w:tr w:rsidTr="00784A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3</w:t>
            </w:r>
          </w:p>
        </w:tc>
        <w:tc>
          <w:tcPr>
            <w:tcW w:w="30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Establish processes and plans</w:t>
            </w: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3.1</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 xml:space="preserve">Management plans and </w:t>
            </w:r>
            <w:r w:rsidRPr="00D01A27">
              <w:rPr>
                <w:rStyle w:val="SpecialBold"/>
              </w:rPr>
              <w:t xml:space="preserve">record keeping systems </w:t>
            </w:r>
            <w:r w:rsidRPr="00D01A27">
              <w:t>are developed to implement financial management strategies and ensure the maintenance of an audit trail</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3.2</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 xml:space="preserve">Management processes </w:t>
            </w:r>
            <w:r w:rsidRPr="00D01A27">
              <w:t>are documented to ensure they promote standard application of compliance require</w:t>
            </w:r>
            <w:r w:rsidRPr="00D01A27">
              <w:t>ments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3.3</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Taxation liabilities are derived from income and expenditure estimates using standard accounting techniques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3.4</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Budgets are prepared in accordance with estimates and reviewed to ensure ongoing relevance of liability estimates</w:t>
            </w:r>
          </w:p>
        </w:tc>
      </w:tr>
      <w:tr w:rsidTr="00784A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4</w:t>
            </w:r>
          </w:p>
        </w:tc>
        <w:tc>
          <w:tcPr>
            <w:tcW w:w="30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Evaluate tax policies</w:t>
            </w:r>
          </w:p>
        </w:tc>
        <w:tc>
          <w:tcPr>
            <w:tcW w:w="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4.1</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 xml:space="preserve">Variances </w:t>
            </w:r>
            <w:r w:rsidRPr="00D01A27">
              <w:t>between liabilities and taxation plans are analysed to identify errors in tax strategies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4.2</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Performance of tax liabilities in similar or related organisations and operations are monitored and evaluated to measure tax effectiveness and prepare benchmarks and standards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4.3</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 xml:space="preserve">Data is reviewed for accuracy, completeness and reliability of </w:t>
            </w:r>
            <w:r w:rsidRPr="00D01A27">
              <w:rPr>
                <w:rStyle w:val="SpecialBold"/>
              </w:rPr>
              <w:t>assumption</w:t>
            </w:r>
            <w:r w:rsidRPr="00D01A27">
              <w:rPr>
                <w:rStyle w:val="SpecialBold"/>
              </w:rPr>
              <w:t xml:space="preserve">s </w:t>
            </w:r>
            <w:r w:rsidRPr="00D01A27">
              <w:t>in liability projections</w:t>
            </w:r>
          </w:p>
        </w:tc>
      </w:tr>
      <w:tr w:rsidTr="00784AC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5</w:t>
            </w:r>
          </w:p>
        </w:tc>
        <w:tc>
          <w:tcPr>
            <w:tcW w:w="3000" w:type="dxa"/>
            <w:vMerge w:val="restart"/>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Review tax compliance</w:t>
            </w: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5.1</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The achievement of performance indicators is assessed and reviewed against key result areas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5.2</w:t>
            </w:r>
          </w:p>
        </w:tc>
        <w:tc>
          <w:tcPr>
            <w:tcW w:w="51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Taxation preparation processes are monitored and reviewed in line with professional taxation and accounting standards requirements</w:t>
            </w:r>
          </w:p>
        </w:tc>
      </w:tr>
      <w:tr w:rsidTr="00784AC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5.3</w:t>
            </w:r>
          </w:p>
        </w:tc>
        <w:tc>
          <w:tcPr>
            <w:tcW w:w="51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Failures in compliance are analysed to diagnose shortcomings and to remedy processes in line with taxation authorities</w:t>
            </w:r>
            <w:r w:rsidRPr="00D01A27">
              <w:t>' requirements</w:t>
            </w:r>
          </w:p>
        </w:tc>
      </w:tr>
    </w:tbl>
    <w:p w:rsidR="00000000" w:rsidRPr="00D01A27" w:rsidP="00D01A27">
      <w:pPr>
        <w:pStyle w:val="BodyText"/>
      </w:pPr>
    </w:p>
    <w:p w:rsidR="00000000" w:rsidRPr="00D01A27" w:rsidP="00D01A27">
      <w:pPr>
        <w:pStyle w:val="AllowPageBreak"/>
      </w:pPr>
    </w:p>
    <w:p w:rsidR="00000000" w:rsidRPr="00D01A27" w:rsidP="00D01A27">
      <w:pPr>
        <w:pStyle w:val="Heading1"/>
      </w:pPr>
      <w:bookmarkStart w:id="9" w:name="O_318053"/>
      <w:bookmarkEnd w:id="9"/>
      <w:r w:rsidRPr="00D01A27">
        <w:t>Required Skills and Knowledge</w:t>
      </w:r>
    </w:p>
    <w:tbl>
      <w:tblPr>
        <w:tblW w:w="0" w:type="auto"/>
        <w:tblLayout w:type="fixed"/>
        <w:tblCellMar>
          <w:left w:w="62" w:type="dxa"/>
          <w:right w:w="62" w:type="dxa"/>
        </w:tblCellMar>
        <w:tblLook w:val="0000"/>
      </w:tblPr>
      <w:tblGrid>
        <w:gridCol w:w="9000"/>
      </w:tblGrid>
      <w:tr w:rsidTr="00784AC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REQUIRED KNOWLEDGE</w:t>
            </w:r>
            <w:r w:rsidRPr="00D01A27">
              <w:t>&amp;</w:t>
            </w:r>
            <w:r w:rsidRPr="00D01A27">
              <w:rPr>
                <w:rStyle w:val="SpecialBold"/>
              </w:rPr>
              <w:t>SKILLS</w:t>
            </w:r>
          </w:p>
        </w:tc>
      </w:tr>
      <w:tr w:rsidTr="00784AC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rPr>
                <w:rStyle w:val="SpecialBold"/>
              </w:rPr>
              <w:t>Knowledge requirements include</w:t>
            </w:r>
            <w:r w:rsidRPr="00D01A27">
              <w:t xml:space="preserve">: </w:t>
            </w:r>
          </w:p>
          <w:p w:rsidR="00000000" w:rsidRPr="00D01A27" w:rsidP="00D01A27">
            <w:pPr>
              <w:pStyle w:val="BodyText"/>
            </w:pPr>
            <w:r w:rsidRPr="00D01A27">
              <w:t xml:space="preserve">NOTE: As stipulated by the Tax Agents Registration Board, the taxation knowledge components only of this accounting unit of competency must be tested through written examination. All other components can be assessed as advised in the Assessment Guidelines </w:t>
            </w:r>
            <w:r w:rsidRPr="00D01A27">
              <w:t>section of this package.</w:t>
            </w:r>
          </w:p>
          <w:p w:rsidR="00000000" w:rsidRPr="00D01A27" w:rsidP="00D01A27">
            <w:pPr>
              <w:pStyle w:val="BodyText"/>
            </w:pPr>
            <w:r w:rsidRPr="00D01A27">
              <w:t>current financial legislation (eg taxable transactions, reporting requirements)</w:t>
            </w:r>
          </w:p>
          <w:p w:rsidR="00000000" w:rsidRPr="00D01A27" w:rsidP="00D01A27">
            <w:pPr>
              <w:pStyle w:val="BodyText"/>
            </w:pPr>
            <w:r w:rsidRPr="00D01A27">
              <w:t>range of acceptable practices required to obtain deductions under relevant tax legislation (eg Capital Gains Tax (CGT), income tax)</w:t>
            </w:r>
          </w:p>
          <w:p w:rsidR="00000000" w:rsidRPr="00D01A27" w:rsidP="00D01A27">
            <w:pPr>
              <w:pStyle w:val="BodyText"/>
            </w:pPr>
            <w:r w:rsidRPr="00D01A27">
              <w:t>principles of inter</w:t>
            </w:r>
            <w:r w:rsidRPr="00D01A27">
              <w:t>nal control (including statutory requirements)</w:t>
            </w:r>
          </w:p>
          <w:p w:rsidR="00000000" w:rsidRPr="00D01A27" w:rsidP="00D01A27">
            <w:pPr>
              <w:pStyle w:val="BodyText"/>
            </w:pPr>
            <w:r w:rsidRPr="00D01A27">
              <w:t>principles of valuation and common methods of depreciation</w:t>
            </w:r>
          </w:p>
          <w:p w:rsidR="00000000" w:rsidRPr="00D01A27" w:rsidP="00D01A27">
            <w:pPr>
              <w:pStyle w:val="BodyText"/>
            </w:pPr>
            <w:r w:rsidRPr="00D01A27">
              <w:t>detailed knowledge of formats required for submission of statutory returns</w:t>
            </w:r>
          </w:p>
          <w:p w:rsidR="00000000" w:rsidRPr="00D01A27" w:rsidP="00D01A27">
            <w:pPr>
              <w:pStyle w:val="BodyText"/>
            </w:pPr>
            <w:r w:rsidRPr="00D01A27">
              <w:t>methods and principles of accrual accounting</w:t>
            </w:r>
          </w:p>
          <w:p w:rsidR="00000000" w:rsidP="00D01A27">
            <w:pPr>
              <w:pStyle w:val="BodyText"/>
              <w:rPr>
                <w:lang w:val="en-NZ"/>
              </w:rPr>
            </w:pPr>
            <w:r w:rsidRPr="00D01A27">
              <w:t>ethical considerations for pre</w:t>
            </w:r>
            <w:r w:rsidRPr="00D01A27">
              <w:t xml:space="preserve">paration of returns (eg disclosure) </w:t>
            </w:r>
          </w:p>
        </w:tc>
      </w:tr>
      <w:tr w:rsidTr="00784AC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rPr>
                <w:rStyle w:val="SpecialBold"/>
              </w:rPr>
              <w:t>Skills requirements include</w:t>
            </w:r>
            <w:r w:rsidRPr="00D01A27">
              <w:t xml:space="preserve">: </w:t>
            </w:r>
          </w:p>
          <w:p w:rsidR="00000000" w:rsidRPr="00D01A27" w:rsidP="00D01A27">
            <w:pPr>
              <w:pStyle w:val="BodyText"/>
            </w:pPr>
            <w:r w:rsidRPr="00D01A27">
              <w:t>forecasting techniques</w:t>
            </w:r>
          </w:p>
          <w:p w:rsidR="00000000" w:rsidRPr="00D01A27" w:rsidP="00D01A27">
            <w:pPr>
              <w:pStyle w:val="BodyText"/>
            </w:pPr>
            <w:r w:rsidRPr="00D01A27">
              <w:t>interpersonal skills and communication skills (eg liaising, listening, consulting)</w:t>
            </w:r>
          </w:p>
          <w:p w:rsidR="00000000" w:rsidRPr="00D01A27" w:rsidP="00D01A27">
            <w:pPr>
              <w:pStyle w:val="BodyText"/>
            </w:pPr>
            <w:r w:rsidRPr="00D01A27">
              <w:t>report writing and preparation</w:t>
            </w:r>
          </w:p>
          <w:p w:rsidR="00000000" w:rsidRPr="00D01A27" w:rsidP="00D01A27">
            <w:pPr>
              <w:pStyle w:val="BodyText"/>
            </w:pPr>
            <w:r w:rsidRPr="00D01A27">
              <w:t>numeracy skills for calculation of revenues and pay</w:t>
            </w:r>
            <w:r w:rsidRPr="00D01A27">
              <w:t>ments</w:t>
            </w:r>
          </w:p>
          <w:p w:rsidR="00000000" w:rsidRPr="00D01A27" w:rsidP="00D01A27">
            <w:pPr>
              <w:pStyle w:val="BodyText"/>
            </w:pPr>
            <w:r w:rsidRPr="00D01A27">
              <w:t>research skills to identify valuations and applicable professional standards</w:t>
            </w:r>
          </w:p>
          <w:p w:rsidR="00000000" w:rsidRPr="00D01A27" w:rsidP="00D01A27">
            <w:pPr>
              <w:pStyle w:val="BodyText"/>
            </w:pPr>
            <w:r w:rsidRPr="00D01A27">
              <w:t xml:space="preserve">capacity to troubleshoot information technology systems </w:t>
            </w:r>
          </w:p>
        </w:tc>
      </w:tr>
    </w:tbl>
    <w:p w:rsidR="00000000" w:rsidRPr="00D01A27" w:rsidP="00D01A27">
      <w:pPr>
        <w:pStyle w:val="BodyText"/>
      </w:pPr>
    </w:p>
    <w:p w:rsidR="00000000" w:rsidRPr="00D01A27" w:rsidP="00D01A27">
      <w:pPr>
        <w:pStyle w:val="AllowPageBreak"/>
      </w:pPr>
    </w:p>
    <w:p w:rsidR="00000000" w:rsidRPr="00D01A27" w:rsidP="00D01A27">
      <w:pPr>
        <w:pStyle w:val="Heading1"/>
      </w:pPr>
      <w:bookmarkStart w:id="10" w:name="O_318058"/>
      <w:bookmarkEnd w:id="10"/>
      <w:r w:rsidRPr="00D01A27">
        <w:t>Evidence Guide</w:t>
      </w:r>
    </w:p>
    <w:tbl>
      <w:tblPr>
        <w:tblW w:w="0" w:type="auto"/>
        <w:tblLayout w:type="fixed"/>
        <w:tblCellMar>
          <w:left w:w="62" w:type="dxa"/>
          <w:right w:w="62" w:type="dxa"/>
        </w:tblCellMar>
        <w:tblLook w:val="0000"/>
      </w:tblPr>
      <w:tblGrid>
        <w:gridCol w:w="4500"/>
        <w:gridCol w:w="4500"/>
      </w:tblGrid>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 xml:space="preserve"> EVIDENCE GUIDE</w:t>
            </w:r>
          </w:p>
        </w:tc>
      </w:tr>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Assessment of performance requirements in the unit should be undertaken in an industry context. The Evidence Guide identifies the critical aspects, knowledge and skills to be demonstrated to confirm competency for the unit. Competency is demonstrated by pe</w:t>
            </w:r>
            <w:r w:rsidRPr="00D01A27">
              <w:t xml:space="preserve">rformance of all stated criteria including the Range Statement applicable to the workplace. </w:t>
            </w:r>
          </w:p>
        </w:tc>
      </w:tr>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Overview of assessment requirements</w:t>
            </w:r>
          </w:p>
        </w:tc>
      </w:tr>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 xml:space="preserve">To achieve competency in this unit, a person must be able to demonstrate: </w:t>
            </w:r>
          </w:p>
          <w:p w:rsidR="00000000" w:rsidRPr="00D01A27" w:rsidP="00D01A27">
            <w:pPr>
              <w:pStyle w:val="BodyText"/>
            </w:pPr>
            <w:r w:rsidRPr="00D01A27">
              <w:t xml:space="preserve">knowledge of standard accounting techniques </w:t>
            </w:r>
          </w:p>
          <w:p w:rsidR="00000000" w:rsidRPr="00D01A27" w:rsidP="00D01A27">
            <w:pPr>
              <w:pStyle w:val="BodyText"/>
            </w:pPr>
            <w:r w:rsidRPr="00D01A27">
              <w:t>kno</w:t>
            </w:r>
            <w:r w:rsidRPr="00D01A27">
              <w:t>wledge of organisational policies and procedures</w:t>
            </w:r>
          </w:p>
          <w:p w:rsidR="00000000" w:rsidRPr="00D01A27" w:rsidP="00D01A27">
            <w:pPr>
              <w:pStyle w:val="BodyText"/>
            </w:pPr>
            <w:r w:rsidRPr="00D01A27">
              <w:t xml:space="preserve">ability to assess tax liabilities </w:t>
            </w:r>
          </w:p>
          <w:p w:rsidR="00000000" w:rsidRPr="00D01A27" w:rsidP="00D01A27">
            <w:pPr>
              <w:pStyle w:val="BodyText"/>
            </w:pPr>
            <w:r w:rsidRPr="00D01A27">
              <w:t xml:space="preserve">ability to optimise tax position </w:t>
            </w:r>
          </w:p>
          <w:p w:rsidR="00000000" w:rsidRPr="00D01A27" w:rsidP="00D01A27">
            <w:pPr>
              <w:pStyle w:val="BodyText"/>
            </w:pPr>
            <w:r w:rsidRPr="00D01A27">
              <w:t xml:space="preserve">ability to establish processes and plans </w:t>
            </w:r>
          </w:p>
          <w:p w:rsidR="00000000" w:rsidRPr="00D01A27" w:rsidP="00D01A27">
            <w:pPr>
              <w:pStyle w:val="BodyText"/>
            </w:pPr>
            <w:r w:rsidRPr="00D01A27">
              <w:t xml:space="preserve">ability to evaluate tax policies </w:t>
            </w:r>
          </w:p>
          <w:p w:rsidR="00000000" w:rsidP="00D01A27">
            <w:pPr>
              <w:pStyle w:val="BodyText"/>
              <w:rPr>
                <w:lang w:val="en-NZ"/>
              </w:rPr>
            </w:pPr>
            <w:r w:rsidRPr="00D01A27">
              <w:t xml:space="preserve">ability to review tax compliance </w:t>
            </w:r>
          </w:p>
        </w:tc>
      </w:tr>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Critical aspects of eviden</w:t>
            </w:r>
            <w:r w:rsidRPr="00D01A27">
              <w:rPr>
                <w:rStyle w:val="SpecialBold"/>
              </w:rPr>
              <w:t>ce</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Evidence required for demonstration of consistent performance</w:t>
            </w:r>
            <w:r w:rsidRPr="00D01A27">
              <w:t xml:space="preserve">: </w:t>
            </w:r>
          </w:p>
        </w:tc>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t xml:space="preserve">Competence in this unit must be assessed over a period of time in order to ensure consistency of performance over the Range Statement and contexts applicable to the work environment.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Delivery</w:t>
            </w:r>
            <w:r w:rsidRPr="00D01A27">
              <w:t>/</w:t>
            </w:r>
            <w:r w:rsidRPr="00D01A27">
              <w:rPr>
                <w:rStyle w:val="SpecialBold"/>
              </w:rPr>
              <w:t>assessment relationship to other units</w:t>
            </w:r>
            <w:r w:rsidRPr="00D01A27">
              <w:t xml:space="preserve">: </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 xml:space="preserve">Prerequisite units:   </w:t>
            </w:r>
          </w:p>
          <w:p w:rsidR="00000000" w:rsidP="00D01A27">
            <w:pPr>
              <w:pStyle w:val="BodyText"/>
              <w:rPr>
                <w:lang w:val="en-NZ"/>
              </w:rPr>
            </w:pPr>
            <w:r w:rsidRPr="00D01A27">
              <w:t xml:space="preserve">FNSACCT502B Prepare income tax returns. </w:t>
            </w:r>
          </w:p>
        </w:tc>
      </w:tr>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Assessment requirements</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Method of assessment</w:t>
            </w:r>
            <w:r w:rsidRPr="00D01A27">
              <w:t xml:space="preserve">: </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For valid and reliable assessment of this unit, evidence should be gathered through a range of methods to indicate consistent performance.</w:t>
            </w:r>
          </w:p>
          <w:p w:rsidR="00000000" w:rsidP="00D01A27">
            <w:pPr>
              <w:pStyle w:val="BodyText"/>
              <w:rPr>
                <w:lang w:val="en-NZ"/>
              </w:rPr>
            </w:pPr>
            <w:r w:rsidRPr="00D01A27">
              <w:t>Assessment of this unit of competence will usually include observation of processes and procedures, oral and/or writt</w:t>
            </w:r>
            <w:r w:rsidRPr="00D01A27">
              <w:t xml:space="preserve">en questioning on underpinning knowledge and skills and other methods as required.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Context of assessment</w:t>
            </w:r>
            <w:r w:rsidRPr="00D01A27">
              <w:t xml:space="preserve">: </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Assessment of performance requirements in this unit should be undertaken within the financial services industry context and should cover aspects of</w:t>
            </w:r>
            <w:r w:rsidRPr="00D01A27">
              <w:t xml:space="preserve"> personal/financial responsibility and accountability. </w:t>
            </w:r>
          </w:p>
          <w:p w:rsidR="00000000" w:rsidP="00D01A27">
            <w:pPr>
              <w:pStyle w:val="BodyText"/>
              <w:rPr>
                <w:lang w:val="en-NZ"/>
              </w:rPr>
            </w:pPr>
            <w:r w:rsidRPr="00D01A27">
              <w:t xml:space="preserve">Aspects of competency, including the attainment of relevant knowledge and skills, may be assessed in a relevant workplace, a closely simulated work environment, or other appropriate means that clearly meet industry competency requirements.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Resources requ</w:t>
            </w:r>
            <w:r w:rsidRPr="00D01A27">
              <w:rPr>
                <w:rStyle w:val="SpecialBold"/>
              </w:rPr>
              <w:t>ired for assessment</w:t>
            </w:r>
            <w:r w:rsidRPr="00D01A27">
              <w:t xml:space="preserve">: </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Assessment of this unit of competence requires access to suitable resources to demonstrate competence.</w:t>
            </w:r>
          </w:p>
          <w:p w:rsidR="00000000" w:rsidRPr="00D01A27" w:rsidP="00D01A27">
            <w:pPr>
              <w:pStyle w:val="BodyText"/>
            </w:pPr>
            <w:r w:rsidRPr="00D01A27">
              <w:t>Assessment instruments, including personal planner and assessment record book.</w:t>
            </w:r>
          </w:p>
          <w:p w:rsidR="00000000" w:rsidRPr="00D01A27" w:rsidP="00D01A27">
            <w:pPr>
              <w:pStyle w:val="BodyText"/>
            </w:pPr>
            <w:r w:rsidRPr="00D01A27">
              <w:t>Access to registered provider of assessment services</w:t>
            </w:r>
            <w:r w:rsidRPr="00D01A27">
              <w:t xml:space="preserve">. </w:t>
            </w:r>
          </w:p>
        </w:tc>
      </w:tr>
    </w:tbl>
    <w:p w:rsidR="00000000" w:rsidRPr="00D01A27" w:rsidP="00D01A27">
      <w:pPr>
        <w:pStyle w:val="BodyText"/>
      </w:pPr>
    </w:p>
    <w:p w:rsidR="00000000" w:rsidRPr="00D01A27" w:rsidP="00D01A27">
      <w:pPr>
        <w:pStyle w:val="AllowPageBreak"/>
      </w:pPr>
    </w:p>
    <w:p w:rsidR="00000000" w:rsidRPr="00D01A27" w:rsidP="00D01A27">
      <w:pPr>
        <w:pStyle w:val="Heading1"/>
      </w:pPr>
      <w:bookmarkStart w:id="11" w:name="O_318054"/>
      <w:bookmarkEnd w:id="11"/>
      <w:r w:rsidRPr="00D01A27">
        <w:t>Range Statement</w:t>
      </w:r>
    </w:p>
    <w:tbl>
      <w:tblPr>
        <w:tblW w:w="0" w:type="auto"/>
        <w:tblLayout w:type="fixed"/>
        <w:tblCellMar>
          <w:left w:w="62" w:type="dxa"/>
          <w:right w:w="62" w:type="dxa"/>
        </w:tblCellMar>
        <w:tblLook w:val="0000"/>
      </w:tblPr>
      <w:tblGrid>
        <w:gridCol w:w="4500"/>
        <w:gridCol w:w="4500"/>
      </w:tblGrid>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84AC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The Range Statement relates to the unit of competency as a whole. It allows for different work environments and situations that will affect performance.</w:t>
            </w:r>
          </w:p>
          <w:p w:rsidR="00000000" w:rsidP="00D01A27">
            <w:pPr>
              <w:pStyle w:val="BodyText"/>
              <w:rPr>
                <w:lang w:val="en-NZ"/>
              </w:rPr>
            </w:pPr>
            <w:r w:rsidRPr="00D01A27">
              <w:t>The following variables may be present with training and asses</w:t>
            </w:r>
            <w:r w:rsidRPr="00D01A27">
              <w:t xml:space="preserve">sment depending on the work situation, needs of the candidate, accessibility of the item, and local industry and regional contexts. If </w:t>
            </w:r>
            <w:r w:rsidRPr="00D01A27">
              <w:rPr>
                <w:rStyle w:val="SpecialBold"/>
              </w:rPr>
              <w:t>bold italicised</w:t>
            </w:r>
            <w:r w:rsidRPr="00D01A27">
              <w:t xml:space="preserve"> text is shown in Performance Criteria, details of the text are provided in the Range Statement.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Tax liabilities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State Government charges (eg payroll taxes)</w:t>
            </w:r>
          </w:p>
          <w:p w:rsidR="00000000" w:rsidRPr="00D01A27" w:rsidP="00D01A27">
            <w:pPr>
              <w:pStyle w:val="BodyText"/>
            </w:pPr>
            <w:r w:rsidRPr="00D01A27">
              <w:t>income tax (including corporate tax and Capital Gains Tax)</w:t>
            </w:r>
          </w:p>
          <w:p w:rsidR="00000000" w:rsidRPr="00D01A27" w:rsidP="00D01A27">
            <w:pPr>
              <w:pStyle w:val="BodyText"/>
            </w:pPr>
            <w:r w:rsidRPr="00D01A27">
              <w:t>Fringe Benefits Tax (FBT)</w:t>
            </w:r>
          </w:p>
          <w:p w:rsidR="00000000" w:rsidRPr="00D01A27" w:rsidP="00D01A27">
            <w:pPr>
              <w:pStyle w:val="BodyText"/>
            </w:pPr>
            <w:r w:rsidRPr="00D01A27">
              <w:t>superannuation requirements</w:t>
            </w:r>
          </w:p>
          <w:p w:rsidR="00000000" w:rsidRPr="00D01A27" w:rsidP="00D01A27">
            <w:pPr>
              <w:pStyle w:val="BodyText"/>
            </w:pPr>
            <w:r w:rsidRPr="00D01A27">
              <w:t>instalments</w:t>
            </w:r>
          </w:p>
          <w:p w:rsidR="00000000" w:rsidRPr="00D01A27" w:rsidP="00D01A27">
            <w:pPr>
              <w:pStyle w:val="BodyText"/>
            </w:pPr>
            <w:r w:rsidRPr="00D01A27">
              <w:t>withholdings</w:t>
            </w:r>
          </w:p>
          <w:p w:rsidR="00000000" w:rsidRPr="00D01A27" w:rsidP="00D01A27">
            <w:pPr>
              <w:pStyle w:val="BodyText"/>
            </w:pPr>
            <w:r w:rsidRPr="00D01A27">
              <w:t>luxury car tax</w:t>
            </w:r>
          </w:p>
          <w:p w:rsidR="00000000" w:rsidP="00D01A27">
            <w:pPr>
              <w:pStyle w:val="BodyText"/>
              <w:rPr>
                <w:lang w:val="en-NZ"/>
              </w:rPr>
            </w:pPr>
            <w:r w:rsidRPr="00D01A27">
              <w:t xml:space="preserve">wine equalisation tax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Taxabl</w:t>
            </w:r>
            <w:r w:rsidRPr="00D01A27">
              <w:rPr>
                <w:rStyle w:val="SpecialBold"/>
              </w:rPr>
              <w:t>e transactions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income</w:t>
            </w:r>
          </w:p>
          <w:p w:rsidR="00000000" w:rsidRPr="00D01A27" w:rsidP="00D01A27">
            <w:pPr>
              <w:pStyle w:val="BodyText"/>
            </w:pPr>
            <w:r w:rsidRPr="00D01A27">
              <w:t>purchases</w:t>
            </w:r>
          </w:p>
          <w:p w:rsidR="00000000" w:rsidRPr="00D01A27" w:rsidP="00D01A27">
            <w:pPr>
              <w:pStyle w:val="BodyText"/>
            </w:pPr>
            <w:r w:rsidRPr="00D01A27">
              <w:t>payments</w:t>
            </w:r>
          </w:p>
          <w:p w:rsidR="00000000" w:rsidRPr="00D01A27" w:rsidP="00D01A27">
            <w:pPr>
              <w:pStyle w:val="BodyText"/>
            </w:pPr>
            <w:r w:rsidRPr="00D01A27">
              <w:t>capital gains</w:t>
            </w:r>
          </w:p>
          <w:p w:rsidR="00000000" w:rsidRPr="00D01A27" w:rsidP="00D01A27">
            <w:pPr>
              <w:pStyle w:val="BodyText"/>
            </w:pPr>
            <w:r w:rsidRPr="00D01A27">
              <w:t>superannuation payments</w:t>
            </w:r>
          </w:p>
          <w:p w:rsidR="00000000" w:rsidRPr="00D01A27" w:rsidP="00D01A27">
            <w:pPr>
              <w:pStyle w:val="BodyText"/>
            </w:pPr>
            <w:r w:rsidRPr="00D01A27">
              <w:t>financial adjustments (eg write-offs, revaluations)</w:t>
            </w:r>
          </w:p>
          <w:p w:rsidR="00000000" w:rsidP="00D01A27">
            <w:pPr>
              <w:pStyle w:val="BodyText"/>
              <w:rPr>
                <w:lang w:val="en-NZ"/>
              </w:rPr>
            </w:pPr>
            <w:r w:rsidRPr="00D01A27">
              <w:t xml:space="preserve">allowable deductions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Obligations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lodgement dates</w:t>
            </w:r>
          </w:p>
          <w:p w:rsidR="00000000" w:rsidRPr="00D01A27" w:rsidP="00D01A27">
            <w:pPr>
              <w:pStyle w:val="BodyText"/>
            </w:pPr>
            <w:r w:rsidRPr="00D01A27">
              <w:t>supporting documentation</w:t>
            </w:r>
          </w:p>
          <w:p w:rsidR="00000000" w:rsidRPr="00D01A27" w:rsidP="00D01A27">
            <w:pPr>
              <w:pStyle w:val="BodyText"/>
            </w:pPr>
            <w:r w:rsidRPr="00D01A27">
              <w:t>explanatory statements</w:t>
            </w:r>
          </w:p>
          <w:p w:rsidR="00000000" w:rsidP="00D01A27">
            <w:pPr>
              <w:pStyle w:val="BodyText"/>
              <w:rPr>
                <w:lang w:val="en-NZ"/>
              </w:rPr>
            </w:pPr>
            <w:r w:rsidRPr="00D01A27">
              <w:t xml:space="preserve">repayment schedules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Standard accounting techniques</w:t>
            </w:r>
            <w:r w:rsidRPr="00D01A2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discounted cash flows</w:t>
            </w:r>
          </w:p>
          <w:p w:rsidR="00000000" w:rsidRPr="00D01A27" w:rsidP="00D01A27">
            <w:pPr>
              <w:pStyle w:val="BodyText"/>
            </w:pPr>
            <w:r w:rsidRPr="00D01A27">
              <w:t>deprival asset valuations</w:t>
            </w:r>
          </w:p>
          <w:p w:rsidR="00000000" w:rsidRPr="00D01A27" w:rsidP="00D01A27">
            <w:pPr>
              <w:pStyle w:val="BodyText"/>
            </w:pPr>
            <w:r w:rsidRPr="00D01A27">
              <w:t>rates of return</w:t>
            </w:r>
          </w:p>
          <w:p w:rsidR="00000000" w:rsidRPr="00D01A27" w:rsidP="00D01A27">
            <w:pPr>
              <w:pStyle w:val="BodyText"/>
            </w:pPr>
            <w:r w:rsidRPr="00D01A27">
              <w:t>pay back periods</w:t>
            </w:r>
          </w:p>
          <w:p w:rsidR="00000000" w:rsidRPr="00D01A27" w:rsidP="00D01A27">
            <w:pPr>
              <w:pStyle w:val="BodyText"/>
            </w:pPr>
            <w:r w:rsidRPr="00D01A27">
              <w:t>impact statements</w:t>
            </w:r>
          </w:p>
          <w:p w:rsidR="00000000" w:rsidRPr="00D01A27" w:rsidP="00D01A27">
            <w:pPr>
              <w:pStyle w:val="BodyText"/>
            </w:pPr>
            <w:r w:rsidRPr="00D01A27">
              <w:t>pro-rata and percentage apportionment</w:t>
            </w:r>
          </w:p>
          <w:p w:rsidR="00000000" w:rsidRPr="00D01A27" w:rsidP="00D01A27">
            <w:pPr>
              <w:pStyle w:val="BodyText"/>
            </w:pPr>
            <w:r w:rsidRPr="00D01A27">
              <w:t>direct allocation</w:t>
            </w:r>
          </w:p>
          <w:p w:rsidR="00000000" w:rsidP="00D01A27">
            <w:pPr>
              <w:pStyle w:val="BodyText"/>
              <w:rPr>
                <w:lang w:val="en-NZ"/>
              </w:rPr>
            </w:pPr>
            <w:r w:rsidRPr="00D01A27">
              <w:t xml:space="preserve">forecasting techniques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Data</w:t>
            </w:r>
            <w:r w:rsidRPr="00D01A27">
              <w:t xml:space="preserve"> may</w:t>
            </w:r>
            <w:r w:rsidRPr="00D01A27">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budgets and forecasts</w:t>
            </w:r>
          </w:p>
          <w:p w:rsidR="00000000" w:rsidRPr="00D01A27" w:rsidP="00D01A27">
            <w:pPr>
              <w:pStyle w:val="BodyText"/>
            </w:pPr>
            <w:r w:rsidRPr="00D01A27">
              <w:t>financial statements and reports</w:t>
            </w:r>
          </w:p>
          <w:p w:rsidR="00000000" w:rsidRPr="00D01A27" w:rsidP="00D01A27">
            <w:pPr>
              <w:pStyle w:val="BodyText"/>
            </w:pPr>
            <w:r w:rsidRPr="00D01A27">
              <w:t>market valuations</w:t>
            </w:r>
          </w:p>
          <w:p w:rsidR="00000000" w:rsidRPr="00D01A27" w:rsidP="00D01A27">
            <w:pPr>
              <w:pStyle w:val="BodyText"/>
            </w:pPr>
            <w:r w:rsidRPr="00D01A27">
              <w:t>Australian Bureau of Statistics (ABS) economic data</w:t>
            </w:r>
          </w:p>
          <w:p w:rsidR="00000000" w:rsidRPr="00D01A27" w:rsidP="00D01A27">
            <w:pPr>
              <w:pStyle w:val="BodyText"/>
            </w:pPr>
            <w:r w:rsidRPr="00D01A27">
              <w:t>financial markets monitoring services (eg Reuters)</w:t>
            </w:r>
          </w:p>
          <w:p w:rsidR="00000000" w:rsidRPr="00D01A27" w:rsidP="00D01A27">
            <w:pPr>
              <w:pStyle w:val="BodyText"/>
            </w:pPr>
            <w:r w:rsidRPr="00D01A27">
              <w:t>credit ratings</w:t>
            </w:r>
          </w:p>
          <w:p w:rsidR="00000000" w:rsidP="00D01A27">
            <w:pPr>
              <w:pStyle w:val="BodyText"/>
              <w:rPr>
                <w:lang w:val="en-NZ"/>
              </w:rPr>
            </w:pPr>
            <w:r w:rsidRPr="00D01A27">
              <w:t xml:space="preserve">revenue and sales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Methods of determination</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income assessment</w:t>
            </w:r>
          </w:p>
          <w:p w:rsidR="00000000" w:rsidRPr="00D01A27" w:rsidP="00D01A27">
            <w:pPr>
              <w:pStyle w:val="BodyText"/>
            </w:pPr>
            <w:r w:rsidRPr="00D01A27">
              <w:t>forecasted income</w:t>
            </w:r>
          </w:p>
          <w:p w:rsidR="00000000" w:rsidRPr="00D01A27" w:rsidP="00D01A27">
            <w:pPr>
              <w:pStyle w:val="BodyText"/>
            </w:pPr>
            <w:r w:rsidRPr="00D01A27">
              <w:t>superannuation contributions</w:t>
            </w:r>
          </w:p>
          <w:p w:rsidR="00000000" w:rsidRPr="00D01A27" w:rsidP="00D01A27">
            <w:pPr>
              <w:pStyle w:val="BodyText"/>
            </w:pPr>
            <w:r w:rsidRPr="00D01A27">
              <w:t>fringe benefits assessments</w:t>
            </w:r>
          </w:p>
          <w:p w:rsidR="00000000" w:rsidRPr="00D01A27" w:rsidP="00D01A27">
            <w:pPr>
              <w:pStyle w:val="BodyText"/>
            </w:pPr>
            <w:r w:rsidRPr="00D01A27">
              <w:t>sales receipts</w:t>
            </w:r>
          </w:p>
          <w:p w:rsidR="00000000" w:rsidP="00D01A27">
            <w:pPr>
              <w:pStyle w:val="BodyText"/>
              <w:rPr>
                <w:lang w:val="en-NZ"/>
              </w:rPr>
            </w:pPr>
            <w:r w:rsidRPr="00D01A27">
              <w:t xml:space="preserve">investment income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Tax bases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employees</w:t>
            </w:r>
          </w:p>
          <w:p w:rsidR="00000000" w:rsidRPr="00D01A27" w:rsidP="00D01A27">
            <w:pPr>
              <w:pStyle w:val="BodyText"/>
            </w:pPr>
            <w:r w:rsidRPr="00D01A27">
              <w:t>revenue gathering practices</w:t>
            </w:r>
          </w:p>
          <w:p w:rsidR="00000000" w:rsidRPr="00D01A27" w:rsidP="00D01A27">
            <w:pPr>
              <w:pStyle w:val="BodyText"/>
            </w:pPr>
            <w:r w:rsidRPr="00D01A27">
              <w:t>superannuation</w:t>
            </w:r>
          </w:p>
          <w:p w:rsidR="00000000" w:rsidP="00D01A27">
            <w:pPr>
              <w:pStyle w:val="BodyText"/>
              <w:rPr>
                <w:lang w:val="en-NZ"/>
              </w:rPr>
            </w:pPr>
            <w:r w:rsidRPr="00D01A27">
              <w:t xml:space="preserve">salaries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Financial management strate</w:t>
            </w:r>
            <w:r w:rsidRPr="00D01A27">
              <w:rPr>
                <w:rStyle w:val="SpecialBold"/>
              </w:rPr>
              <w:t>gies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cost recoveries</w:t>
            </w:r>
          </w:p>
          <w:p w:rsidR="00000000" w:rsidRPr="00D01A27" w:rsidP="00D01A27">
            <w:pPr>
              <w:pStyle w:val="BodyText"/>
            </w:pPr>
            <w:r w:rsidRPr="00D01A27">
              <w:t>budget absorption</w:t>
            </w:r>
          </w:p>
          <w:p w:rsidR="00000000" w:rsidRPr="00D01A27" w:rsidP="00D01A27">
            <w:pPr>
              <w:pStyle w:val="BodyText"/>
            </w:pPr>
            <w:r w:rsidRPr="00D01A27">
              <w:t>purchases</w:t>
            </w:r>
          </w:p>
          <w:p w:rsidR="00000000" w:rsidRPr="00D01A27" w:rsidP="00D01A27">
            <w:pPr>
              <w:pStyle w:val="BodyText"/>
            </w:pPr>
            <w:r w:rsidRPr="00D01A27">
              <w:t>adjustment of borrowings</w:t>
            </w:r>
          </w:p>
          <w:p w:rsidR="00000000" w:rsidRPr="00D01A27" w:rsidP="00D01A27">
            <w:pPr>
              <w:pStyle w:val="BodyText"/>
            </w:pPr>
            <w:r w:rsidRPr="00D01A27">
              <w:t>asset liquidation</w:t>
            </w:r>
          </w:p>
          <w:p w:rsidR="00000000" w:rsidP="00D01A27">
            <w:pPr>
              <w:pStyle w:val="BodyText"/>
              <w:rPr>
                <w:lang w:val="en-NZ"/>
              </w:rPr>
            </w:pPr>
            <w:r w:rsidRPr="00D01A27">
              <w:t xml:space="preserve">long term investments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Record keeping systems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invoices</w:t>
            </w:r>
          </w:p>
          <w:p w:rsidR="00000000" w:rsidRPr="00D01A27" w:rsidP="00D01A27">
            <w:pPr>
              <w:pStyle w:val="BodyText"/>
            </w:pPr>
            <w:r w:rsidRPr="00D01A27">
              <w:t>purchase orders</w:t>
            </w:r>
          </w:p>
          <w:p w:rsidR="00000000" w:rsidRPr="00D01A27" w:rsidP="00D01A27">
            <w:pPr>
              <w:pStyle w:val="BodyText"/>
            </w:pPr>
            <w:r w:rsidRPr="00D01A27">
              <w:t>requisitions</w:t>
            </w:r>
          </w:p>
          <w:p w:rsidR="00000000" w:rsidRPr="00D01A27" w:rsidP="00D01A27">
            <w:pPr>
              <w:pStyle w:val="BodyText"/>
            </w:pPr>
            <w:r w:rsidRPr="00D01A27">
              <w:t>receipts</w:t>
            </w:r>
          </w:p>
          <w:p w:rsidR="00000000" w:rsidRPr="00D01A27" w:rsidP="00D01A27">
            <w:pPr>
              <w:pStyle w:val="BodyText"/>
            </w:pPr>
            <w:r w:rsidRPr="00D01A27">
              <w:t>periodic updates (eg daily, transaction based, monthly)</w:t>
            </w:r>
          </w:p>
          <w:p w:rsidR="00000000" w:rsidRPr="00D01A27" w:rsidP="00D01A27">
            <w:pPr>
              <w:pStyle w:val="BodyText"/>
            </w:pPr>
            <w:r w:rsidRPr="00D01A27">
              <w:t>centralised and decentralised recording</w:t>
            </w:r>
          </w:p>
          <w:p w:rsidR="00000000" w:rsidRPr="00D01A27" w:rsidP="00D01A27">
            <w:pPr>
              <w:pStyle w:val="BodyText"/>
            </w:pPr>
            <w:r w:rsidRPr="00D01A27">
              <w:t>classification by account type</w:t>
            </w:r>
          </w:p>
          <w:p w:rsidR="00000000" w:rsidRPr="00D01A27" w:rsidP="00D01A27">
            <w:pPr>
              <w:pStyle w:val="BodyText"/>
            </w:pPr>
            <w:r w:rsidRPr="00D01A27">
              <w:t>classification by account performance</w:t>
            </w:r>
          </w:p>
          <w:p w:rsidR="00000000" w:rsidP="00D01A27">
            <w:pPr>
              <w:pStyle w:val="BodyText"/>
              <w:rPr>
                <w:lang w:val="en-NZ"/>
              </w:rPr>
            </w:pPr>
            <w:r w:rsidRPr="00D01A27">
              <w:t xml:space="preserve">recording authorities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Management processes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decision making authorities</w:t>
            </w:r>
          </w:p>
          <w:p w:rsidR="00000000" w:rsidRPr="00D01A27" w:rsidP="00D01A27">
            <w:pPr>
              <w:pStyle w:val="BodyText"/>
            </w:pPr>
            <w:r w:rsidRPr="00D01A27">
              <w:t>expen</w:t>
            </w:r>
            <w:r w:rsidRPr="00D01A27">
              <w:t>diture authorities</w:t>
            </w:r>
          </w:p>
          <w:p w:rsidR="00000000" w:rsidRPr="00D01A27" w:rsidP="00D01A27">
            <w:pPr>
              <w:pStyle w:val="BodyText"/>
            </w:pPr>
            <w:r w:rsidRPr="00D01A27">
              <w:t>signature approvals</w:t>
            </w:r>
          </w:p>
          <w:p w:rsidR="00000000" w:rsidRPr="00D01A27" w:rsidP="00D01A27">
            <w:pPr>
              <w:pStyle w:val="BodyText"/>
            </w:pPr>
            <w:r w:rsidRPr="00D01A27">
              <w:t>program responsibilities</w:t>
            </w:r>
          </w:p>
          <w:p w:rsidR="00000000" w:rsidP="00D01A27">
            <w:pPr>
              <w:pStyle w:val="BodyText"/>
              <w:rPr>
                <w:lang w:val="en-NZ"/>
              </w:rPr>
            </w:pPr>
            <w:r w:rsidRPr="00D01A27">
              <w:t xml:space="preserve">lending approvals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Variances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budget expenditures</w:t>
            </w:r>
          </w:p>
          <w:p w:rsidR="00000000" w:rsidRPr="00D01A27" w:rsidP="00D01A27">
            <w:pPr>
              <w:pStyle w:val="BodyText"/>
            </w:pPr>
            <w:r w:rsidRPr="00D01A27">
              <w:t>profits and losses</w:t>
            </w:r>
          </w:p>
          <w:p w:rsidR="00000000" w:rsidRPr="00D01A27" w:rsidP="00D01A27">
            <w:pPr>
              <w:pStyle w:val="BodyText"/>
            </w:pPr>
            <w:r w:rsidRPr="00D01A27">
              <w:t>rate of investment returns</w:t>
            </w:r>
          </w:p>
          <w:p w:rsidR="00000000" w:rsidP="00D01A27">
            <w:pPr>
              <w:pStyle w:val="BodyText"/>
              <w:rPr>
                <w:lang w:val="en-NZ"/>
              </w:rPr>
            </w:pPr>
            <w:r w:rsidRPr="00D01A27">
              <w:t xml:space="preserve">unit costs </w:t>
            </w:r>
          </w:p>
        </w:tc>
      </w:tr>
      <w:tr w:rsidTr="00784AC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01A27">
            <w:pPr>
              <w:pStyle w:val="BodyText"/>
              <w:rPr>
                <w:lang w:val="en-NZ"/>
              </w:rPr>
            </w:pPr>
            <w:r w:rsidRPr="00D01A27">
              <w:rPr>
                <w:rStyle w:val="SpecialBold"/>
              </w:rPr>
              <w:t>Assumptions</w:t>
            </w:r>
            <w:r w:rsidRPr="00D01A2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01A27" w:rsidP="00D01A27">
            <w:pPr>
              <w:pStyle w:val="BodyText"/>
            </w:pPr>
            <w:r w:rsidRPr="00D01A27">
              <w:t>expenditure limits</w:t>
            </w:r>
          </w:p>
          <w:p w:rsidR="00000000" w:rsidRPr="00D01A27" w:rsidP="00D01A27">
            <w:pPr>
              <w:pStyle w:val="BodyText"/>
            </w:pPr>
            <w:r w:rsidRPr="00D01A27">
              <w:t>productivity levels</w:t>
            </w:r>
          </w:p>
          <w:p w:rsidR="00000000" w:rsidRPr="00D01A27" w:rsidP="00D01A27">
            <w:pPr>
              <w:pStyle w:val="BodyText"/>
            </w:pPr>
            <w:r w:rsidRPr="00D01A27">
              <w:t>cash and business returns</w:t>
            </w:r>
          </w:p>
          <w:p w:rsidR="00000000" w:rsidRPr="00D01A27" w:rsidP="00D01A27">
            <w:pPr>
              <w:pStyle w:val="BodyText"/>
            </w:pPr>
            <w:r w:rsidRPr="00D01A27">
              <w:t>market share growth</w:t>
            </w:r>
          </w:p>
          <w:p w:rsidR="00000000" w:rsidRPr="00D01A27" w:rsidP="00D01A27">
            <w:pPr>
              <w:pStyle w:val="BodyText"/>
            </w:pPr>
            <w:r w:rsidRPr="00D01A27">
              <w:t>competitors' behaviour</w:t>
            </w:r>
          </w:p>
          <w:p w:rsidR="00000000" w:rsidRPr="00D01A27" w:rsidP="00D01A27">
            <w:pPr>
              <w:pStyle w:val="BodyText"/>
            </w:pPr>
            <w:r w:rsidRPr="00D01A27">
              <w:t xml:space="preserve">regulatory stability </w:t>
            </w:r>
          </w:p>
        </w:tc>
      </w:tr>
    </w:tbl>
    <w:p w:rsidR="00000000" w:rsidRPr="00D01A27" w:rsidP="00D01A27">
      <w:pPr>
        <w:pStyle w:val="BodyText"/>
      </w:pPr>
    </w:p>
    <w:p w:rsidR="00000000" w:rsidRPr="00D01A27" w:rsidP="00D01A27">
      <w:pPr>
        <w:pStyle w:val="AllowPageBreak"/>
      </w:pPr>
    </w:p>
    <w:p w:rsidR="00000000" w:rsidRPr="00D01A27" w:rsidP="00D01A27">
      <w:pPr>
        <w:pStyle w:val="Heading1"/>
      </w:pPr>
      <w:bookmarkStart w:id="12" w:name="O_318046"/>
      <w:bookmarkEnd w:id="12"/>
      <w:r w:rsidRPr="00D01A27">
        <w:t>Unit Sector(s)</w:t>
      </w:r>
    </w:p>
    <w:p w:rsidR="00000000" w:rsidRPr="00D01A27" w:rsidP="00D01A27">
      <w:pPr>
        <w:pStyle w:val="BodyText"/>
      </w:pPr>
      <w:r w:rsidRPr="00D01A27">
        <w:t>Not applicable.</w:t>
      </w:r>
    </w:p>
    <w:p w:rsidR="00000000" w:rsidRPr="00D01A27" w:rsidP="00D01A27">
      <w:pPr>
        <w:pStyle w:val="AllowPageBreak"/>
      </w:pPr>
    </w:p>
    <w:p w:rsidR="00000000" w:rsidRPr="00D01A27" w:rsidP="00D01A27">
      <w:pPr>
        <w:pStyle w:val="Heading1"/>
      </w:pPr>
      <w:bookmarkStart w:id="13" w:name="O_318055"/>
      <w:bookmarkEnd w:id="13"/>
      <w:r w:rsidRPr="00D01A27">
        <w:t>Relationship to other units</w:t>
      </w:r>
    </w:p>
    <w:p w:rsidR="00000000" w:rsidRPr="00D01A27" w:rsidP="00D01A27">
      <w:pPr>
        <w:pStyle w:val="BodyText"/>
      </w:pPr>
      <w:r w:rsidRPr="00D01A27">
        <w:t>This unit replaces FNSACCT603A.</w:t>
      </w:r>
    </w:p>
    <w:p w:rsidR="00000000" w:rsidRPr="00D01A27" w:rsidP="00D01A27">
      <w:pPr>
        <w:pStyle w:val="BodyText"/>
      </w:pPr>
      <w:r w:rsidRPr="00D01A27">
        <w:t>This unit replaces FNSACCT603A.</w:t>
      </w:r>
    </w:p>
    <w:p w:rsidR="00000000" w:rsidRPr="00D01A27" w:rsidP="00D01A27"/>
    <w:sectPr w:rsidSect="00D01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AC6" w:rsidP="00784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AC6" w:rsidP="00D01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4AC6" w:rsidP="00D01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4AC6" w:rsidP="00D01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AC6" w:rsidP="00784A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AC6" w:rsidP="00D01A27">
    <w:pPr>
      <w:pStyle w:val="Header"/>
      <w:framePr w:wrap="around"/>
    </w:pPr>
    <w:r>
      <w:fldChar w:fldCharType="begin"/>
    </w:r>
    <w:r>
      <w:instrText xml:space="preserve"> TITLE   \* MERGEFORMAT </w:instrText>
    </w:r>
    <w:r>
      <w:fldChar w:fldCharType="separate"/>
    </w:r>
    <w:r>
      <w:t>FNSACCT603B Implement tax plans and evaluate tax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84AC6" w:rsidP="00D01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1A27"/>
    <w:pPr>
      <w:spacing w:before="360" w:after="60"/>
      <w:outlineLvl w:val="0"/>
    </w:pPr>
    <w:rPr>
      <w:sz w:val="32"/>
    </w:rPr>
  </w:style>
  <w:style w:type="paragraph" w:styleId="Heading2">
    <w:name w:val="heading 2"/>
    <w:basedOn w:val="HeadingBase"/>
    <w:next w:val="BodyText"/>
    <w:link w:val="Heading2Char"/>
    <w:qFormat/>
    <w:rsid w:val="00D01A27"/>
    <w:pPr>
      <w:keepLines/>
      <w:spacing w:before="240" w:after="120"/>
      <w:outlineLvl w:val="1"/>
    </w:pPr>
    <w:rPr>
      <w:sz w:val="28"/>
      <w:szCs w:val="40"/>
    </w:rPr>
  </w:style>
  <w:style w:type="paragraph" w:styleId="Heading3">
    <w:name w:val="heading 3"/>
    <w:basedOn w:val="HeadingBase"/>
    <w:next w:val="BodyText"/>
    <w:link w:val="Heading3Char"/>
    <w:qFormat/>
    <w:rsid w:val="00D01A27"/>
    <w:pPr>
      <w:spacing w:before="180" w:after="120"/>
      <w:outlineLvl w:val="2"/>
    </w:pPr>
    <w:rPr>
      <w:spacing w:val="-10"/>
      <w:kern w:val="32"/>
    </w:rPr>
  </w:style>
  <w:style w:type="paragraph" w:styleId="Heading4">
    <w:name w:val="heading 4"/>
    <w:basedOn w:val="HeadingBase"/>
    <w:next w:val="BodyText"/>
    <w:link w:val="Heading4Char"/>
    <w:qFormat/>
    <w:rsid w:val="00D01A27"/>
    <w:pPr>
      <w:spacing w:before="160" w:after="120"/>
      <w:outlineLvl w:val="3"/>
    </w:pPr>
    <w:rPr>
      <w:sz w:val="22"/>
    </w:rPr>
  </w:style>
  <w:style w:type="paragraph" w:styleId="Heading5">
    <w:name w:val="heading 5"/>
    <w:basedOn w:val="HeadingBase"/>
    <w:next w:val="Normal"/>
    <w:link w:val="Heading5Char"/>
    <w:qFormat/>
    <w:rsid w:val="00D01A27"/>
    <w:pPr>
      <w:spacing w:before="80"/>
      <w:outlineLvl w:val="4"/>
    </w:pPr>
    <w:rPr>
      <w:color w:val="918585"/>
      <w:sz w:val="20"/>
    </w:rPr>
  </w:style>
  <w:style w:type="paragraph" w:styleId="Heading6">
    <w:name w:val="heading 6"/>
    <w:basedOn w:val="HeadingBase"/>
    <w:next w:val="Normal"/>
    <w:link w:val="Heading6Char"/>
    <w:qFormat/>
    <w:rsid w:val="00D01A27"/>
    <w:pPr>
      <w:spacing w:before="60"/>
      <w:outlineLvl w:val="5"/>
    </w:pPr>
    <w:rPr>
      <w:color w:val="918585"/>
      <w:sz w:val="20"/>
    </w:rPr>
  </w:style>
  <w:style w:type="paragraph" w:styleId="Heading7">
    <w:name w:val="heading 7"/>
    <w:basedOn w:val="Normal"/>
    <w:next w:val="Normal"/>
    <w:link w:val="Heading7Char"/>
    <w:qFormat/>
    <w:rsid w:val="00D01A27"/>
    <w:pPr>
      <w:ind w:left="720"/>
      <w:outlineLvl w:val="6"/>
    </w:pPr>
    <w:rPr>
      <w:i/>
    </w:rPr>
  </w:style>
  <w:style w:type="paragraph" w:styleId="Heading8">
    <w:name w:val="heading 8"/>
    <w:basedOn w:val="Normal"/>
    <w:next w:val="Normal"/>
    <w:link w:val="Heading8Char"/>
    <w:qFormat/>
    <w:rsid w:val="00D01A27"/>
    <w:pPr>
      <w:ind w:left="720"/>
      <w:outlineLvl w:val="7"/>
    </w:pPr>
    <w:rPr>
      <w:i/>
    </w:rPr>
  </w:style>
  <w:style w:type="paragraph" w:styleId="Heading9">
    <w:name w:val="heading 9"/>
    <w:basedOn w:val="Normal"/>
    <w:next w:val="Normal"/>
    <w:link w:val="Heading9Char"/>
    <w:qFormat/>
    <w:rsid w:val="00D01A27"/>
    <w:pPr>
      <w:ind w:left="720"/>
      <w:outlineLvl w:val="8"/>
    </w:pPr>
    <w:rPr>
      <w:i/>
    </w:rPr>
  </w:style>
  <w:style w:type="character" w:default="1" w:styleId="DefaultParagraphFont">
    <w:name w:val="Default Paragraph Font"/>
    <w:uiPriority w:val="1"/>
    <w:unhideWhenUsed/>
    <w:rsid w:val="00D01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A27"/>
  </w:style>
  <w:style w:type="character" w:customStyle="1" w:styleId="Heading1Char">
    <w:name w:val="Heading 1 Char"/>
    <w:basedOn w:val="DefaultParagraphFont"/>
    <w:link w:val="Heading1"/>
    <w:rsid w:val="00D01A27"/>
    <w:rPr>
      <w:rFonts w:ascii="Times New Roman" w:eastAsia="Times New Roman" w:hAnsi="Times New Roman" w:cs="Times New Roman"/>
      <w:b/>
      <w:sz w:val="32"/>
      <w:szCs w:val="20"/>
      <w:lang w:eastAsia="en-US"/>
    </w:rPr>
  </w:style>
  <w:style w:type="paragraph" w:styleId="BodyText">
    <w:name w:val="Body Text"/>
    <w:basedOn w:val="Normal"/>
    <w:link w:val="BodyTextChar"/>
    <w:rsid w:val="00D01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A27"/>
    <w:rPr>
      <w:rFonts w:ascii="Times New Roman" w:eastAsia="Times New Roman" w:hAnsi="Times New Roman" w:cs="Times New Roman"/>
      <w:sz w:val="24"/>
      <w:lang w:val="en-US" w:eastAsia="en-US"/>
    </w:rPr>
  </w:style>
  <w:style w:type="paragraph" w:styleId="Footer">
    <w:name w:val="footer"/>
    <w:basedOn w:val="Normal"/>
    <w:link w:val="FooterChar"/>
    <w:rsid w:val="00D01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A2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01A27"/>
    <w:rPr>
      <w:b/>
      <w:spacing w:val="0"/>
    </w:rPr>
  </w:style>
  <w:style w:type="paragraph" w:styleId="Header">
    <w:name w:val="header"/>
    <w:basedOn w:val="Normal"/>
    <w:link w:val="HeaderChar"/>
    <w:rsid w:val="00D01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A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1A27"/>
    <w:pPr>
      <w:spacing w:before="240" w:after="120"/>
      <w:outlineLvl w:val="0"/>
    </w:pPr>
    <w:rPr>
      <w:rFonts w:ascii="Times New Roman" w:hAnsi="Times New Roman"/>
      <w:b/>
      <w:sz w:val="28"/>
    </w:rPr>
  </w:style>
  <w:style w:type="paragraph" w:customStyle="1" w:styleId="AllowPageBreak">
    <w:name w:val="AllowPageBreak"/>
    <w:rsid w:val="00D01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1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1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1A27"/>
    <w:rPr>
      <w:rFonts w:ascii="Courier New" w:eastAsia="Times New Roman" w:hAnsi="Courier New" w:cs="Times New Roman"/>
      <w:i/>
      <w:szCs w:val="20"/>
      <w:lang w:val="en-US" w:eastAsia="en-US"/>
    </w:rPr>
  </w:style>
  <w:style w:type="paragraph" w:customStyle="1" w:styleId="HeadingBase">
    <w:name w:val="Heading Base"/>
    <w:rsid w:val="00D01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A27"/>
    <w:pPr>
      <w:tabs>
        <w:tab w:val="right" w:leader="dot" w:pos="9072"/>
      </w:tabs>
      <w:ind w:left="567"/>
    </w:pPr>
    <w:rPr>
      <w:szCs w:val="22"/>
    </w:rPr>
  </w:style>
  <w:style w:type="paragraph" w:customStyle="1" w:styleId="TOCBase">
    <w:name w:val="TOC Base"/>
    <w:rsid w:val="00D01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A27"/>
    <w:pPr>
      <w:tabs>
        <w:tab w:val="right" w:leader="dot" w:pos="9072"/>
      </w:tabs>
      <w:spacing w:before="40" w:after="40"/>
      <w:ind w:left="284"/>
    </w:pPr>
    <w:rPr>
      <w:rFonts w:ascii="Times New Roman" w:hAnsi="Times New Roman"/>
    </w:rPr>
  </w:style>
  <w:style w:type="paragraph" w:styleId="TOC1">
    <w:name w:val="toc 1"/>
    <w:basedOn w:val="TOCBase"/>
    <w:next w:val="Normal"/>
    <w:rsid w:val="00D01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1A27"/>
    <w:pPr>
      <w:spacing w:before="5040"/>
      <w:jc w:val="center"/>
    </w:pPr>
    <w:rPr>
      <w:sz w:val="48"/>
      <w:szCs w:val="72"/>
      <w:lang w:val="en-US"/>
    </w:rPr>
  </w:style>
  <w:style w:type="character" w:customStyle="1" w:styleId="TitleChar">
    <w:name w:val="Title Char"/>
    <w:basedOn w:val="DefaultParagraphFont"/>
    <w:link w:val="Title"/>
    <w:rsid w:val="00D01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A27"/>
    <w:pPr>
      <w:tabs>
        <w:tab w:val="left" w:pos="3600"/>
        <w:tab w:val="left" w:pos="3958"/>
      </w:tabs>
    </w:pPr>
  </w:style>
  <w:style w:type="paragraph" w:styleId="List">
    <w:name w:val="List"/>
    <w:basedOn w:val="BodyText"/>
    <w:next w:val="BodyText"/>
    <w:rsid w:val="00D01A27"/>
    <w:pPr>
      <w:tabs>
        <w:tab w:val="left" w:pos="340"/>
      </w:tabs>
      <w:spacing w:before="60" w:after="60"/>
      <w:ind w:left="340" w:hanging="340"/>
    </w:pPr>
  </w:style>
  <w:style w:type="paragraph" w:styleId="ListBullet">
    <w:name w:val="List Bullet"/>
    <w:basedOn w:val="List"/>
    <w:rsid w:val="00D01A27"/>
    <w:pPr>
      <w:numPr>
        <w:numId w:val="11"/>
      </w:numPr>
      <w:tabs>
        <w:tab w:val="clear" w:pos="340"/>
      </w:tabs>
      <w:spacing w:before="40" w:after="40"/>
    </w:pPr>
  </w:style>
  <w:style w:type="paragraph" w:customStyle="1" w:styleId="Note">
    <w:name w:val="Note"/>
    <w:basedOn w:val="BodyText"/>
    <w:rsid w:val="00D01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A27"/>
    <w:pPr>
      <w:framePr w:wrap="auto" w:hAnchor="text" w:y="6049"/>
    </w:pPr>
    <w:rPr>
      <w:color w:val="000000"/>
      <w:sz w:val="40"/>
    </w:rPr>
  </w:style>
  <w:style w:type="paragraph" w:customStyle="1" w:styleId="TOCTitle">
    <w:name w:val="TOCTitle"/>
    <w:basedOn w:val="Heading1"/>
    <w:rsid w:val="00D01A27"/>
    <w:pPr>
      <w:spacing w:after="240"/>
      <w:jc w:val="center"/>
      <w:outlineLvl w:val="9"/>
    </w:pPr>
    <w:rPr>
      <w:caps/>
    </w:rPr>
  </w:style>
  <w:style w:type="paragraph" w:customStyle="1" w:styleId="Version">
    <w:name w:val="Version"/>
    <w:rsid w:val="00D01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1A27"/>
    <w:pPr>
      <w:numPr>
        <w:numId w:val="12"/>
      </w:numPr>
      <w:tabs>
        <w:tab w:val="clear" w:pos="680"/>
      </w:tabs>
    </w:pPr>
  </w:style>
  <w:style w:type="paragraph" w:styleId="Index1">
    <w:name w:val="index 1"/>
    <w:basedOn w:val="Normal"/>
    <w:next w:val="Normal"/>
    <w:semiHidden/>
    <w:rsid w:val="00D01A27"/>
    <w:pPr>
      <w:keepNext w:val="0"/>
      <w:tabs>
        <w:tab w:val="right" w:pos="4176"/>
      </w:tabs>
      <w:ind w:left="198" w:hanging="198"/>
    </w:pPr>
    <w:rPr>
      <w:rFonts w:ascii="Garamond" w:hAnsi="Garamond"/>
    </w:rPr>
  </w:style>
  <w:style w:type="paragraph" w:styleId="IndexHeading">
    <w:name w:val="index heading"/>
    <w:basedOn w:val="Normal"/>
    <w:next w:val="Index1"/>
    <w:semiHidden/>
    <w:rsid w:val="00D01A27"/>
    <w:pPr>
      <w:spacing w:before="120" w:after="120"/>
    </w:pPr>
    <w:rPr>
      <w:rFonts w:ascii="Arial" w:hAnsi="Arial"/>
      <w:b/>
      <w:color w:val="918585"/>
      <w:sz w:val="24"/>
    </w:rPr>
  </w:style>
  <w:style w:type="paragraph" w:customStyle="1" w:styleId="Chapter">
    <w:name w:val="Chapter"/>
    <w:basedOn w:val="Normal"/>
    <w:rsid w:val="00D01A27"/>
    <w:pPr>
      <w:spacing w:before="240"/>
    </w:pPr>
    <w:rPr>
      <w:rFonts w:ascii="Times New Roman" w:hAnsi="Times New Roman"/>
      <w:smallCaps/>
      <w:spacing w:val="80"/>
      <w:sz w:val="28"/>
    </w:rPr>
  </w:style>
  <w:style w:type="paragraph" w:customStyle="1" w:styleId="InChapter">
    <w:name w:val="InChapter"/>
    <w:basedOn w:val="Heading3"/>
    <w:rsid w:val="00D01A27"/>
    <w:pPr>
      <w:spacing w:after="240"/>
      <w:outlineLvl w:val="9"/>
    </w:pPr>
    <w:rPr>
      <w:noProof/>
    </w:rPr>
  </w:style>
  <w:style w:type="paragraph" w:styleId="Index2">
    <w:name w:val="index 2"/>
    <w:basedOn w:val="Normal"/>
    <w:next w:val="Normal"/>
    <w:semiHidden/>
    <w:rsid w:val="00D01A27"/>
    <w:pPr>
      <w:tabs>
        <w:tab w:val="right" w:pos="4176"/>
      </w:tabs>
      <w:ind w:left="568" w:hanging="284"/>
    </w:pPr>
    <w:rPr>
      <w:rFonts w:ascii="Garamond" w:hAnsi="Garamond"/>
    </w:rPr>
  </w:style>
  <w:style w:type="paragraph" w:customStyle="1" w:styleId="Byline">
    <w:name w:val="Byline"/>
    <w:rsid w:val="00D01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A27"/>
    <w:pPr>
      <w:tabs>
        <w:tab w:val="clear" w:pos="3600"/>
        <w:tab w:val="clear" w:pos="3958"/>
      </w:tabs>
      <w:jc w:val="right"/>
    </w:pPr>
  </w:style>
  <w:style w:type="character" w:styleId="Emphasis">
    <w:name w:val="Emphasis"/>
    <w:basedOn w:val="DefaultParagraphFont"/>
    <w:qFormat/>
    <w:rsid w:val="00D01A27"/>
    <w:rPr>
      <w:i/>
    </w:rPr>
  </w:style>
  <w:style w:type="paragraph" w:styleId="Caption">
    <w:name w:val="caption"/>
    <w:basedOn w:val="BodyText"/>
    <w:next w:val="Normal"/>
    <w:qFormat/>
    <w:rsid w:val="00D01A27"/>
    <w:pPr>
      <w:framePr w:w="2268" w:hSpace="181" w:vSpace="181" w:wrap="around" w:vAnchor="text" w:hAnchor="page" w:x="1135" w:y="285" w:anchorLock="1"/>
    </w:pPr>
    <w:rPr>
      <w:i/>
    </w:rPr>
  </w:style>
  <w:style w:type="paragraph" w:customStyle="1" w:styleId="MiniTOCTitle">
    <w:name w:val="MiniTOCTitle"/>
    <w:basedOn w:val="Heading4"/>
    <w:rsid w:val="00D01A27"/>
    <w:pPr>
      <w:spacing w:before="240"/>
      <w:outlineLvl w:val="9"/>
    </w:pPr>
    <w:rPr>
      <w:noProof/>
      <w:sz w:val="24"/>
    </w:rPr>
  </w:style>
  <w:style w:type="paragraph" w:customStyle="1" w:styleId="MiniTOCItem">
    <w:name w:val="MiniTOCItem"/>
    <w:basedOn w:val="ListBullet"/>
    <w:rsid w:val="00D01A27"/>
    <w:pPr>
      <w:numPr>
        <w:numId w:val="0"/>
      </w:numPr>
      <w:tabs>
        <w:tab w:val="right" w:leader="dot" w:pos="6521"/>
      </w:tabs>
      <w:spacing w:before="0" w:after="0"/>
    </w:pPr>
  </w:style>
  <w:style w:type="paragraph" w:customStyle="1" w:styleId="TOFTitle">
    <w:name w:val="TOFTitle"/>
    <w:basedOn w:val="TOCTitle"/>
    <w:rsid w:val="00D01A27"/>
  </w:style>
  <w:style w:type="paragraph" w:styleId="TableofFigures">
    <w:name w:val="table of figures"/>
    <w:basedOn w:val="Normal"/>
    <w:next w:val="Normal"/>
    <w:semiHidden/>
    <w:rsid w:val="00D01A27"/>
    <w:pPr>
      <w:tabs>
        <w:tab w:val="right" w:leader="dot" w:pos="9072"/>
      </w:tabs>
      <w:ind w:left="970" w:hanging="403"/>
    </w:pPr>
    <w:rPr>
      <w:rFonts w:ascii="Times New Roman" w:hAnsi="Times New Roman"/>
      <w:b/>
    </w:rPr>
  </w:style>
  <w:style w:type="paragraph" w:styleId="ListNumber">
    <w:name w:val="List Number"/>
    <w:basedOn w:val="List"/>
    <w:rsid w:val="00D01A27"/>
    <w:pPr>
      <w:numPr>
        <w:numId w:val="9"/>
      </w:numPr>
    </w:pPr>
  </w:style>
  <w:style w:type="character" w:customStyle="1" w:styleId="WingdingSymbols">
    <w:name w:val="Wingding Symbols"/>
    <w:rsid w:val="00D01A27"/>
    <w:rPr>
      <w:rFonts w:ascii="Wingdings" w:hAnsi="Wingdings"/>
    </w:rPr>
  </w:style>
  <w:style w:type="paragraph" w:customStyle="1" w:styleId="TableHeading">
    <w:name w:val="Table Heading"/>
    <w:basedOn w:val="HeadingBase"/>
    <w:rsid w:val="00D01A27"/>
    <w:pPr>
      <w:keepLines/>
      <w:pBdr>
        <w:bottom w:val="single" w:sz="6" w:space="1" w:color="918585"/>
      </w:pBdr>
      <w:spacing w:before="240"/>
    </w:pPr>
  </w:style>
  <w:style w:type="character" w:customStyle="1" w:styleId="HotSpot">
    <w:name w:val="HotSpot"/>
    <w:rsid w:val="00D01A27"/>
    <w:rPr>
      <w:color w:val="0033CC"/>
      <w:u w:val="none"/>
    </w:rPr>
  </w:style>
  <w:style w:type="paragraph" w:customStyle="1" w:styleId="BodyTextRight">
    <w:name w:val="Body Text Right"/>
    <w:basedOn w:val="BodyText"/>
    <w:rsid w:val="00D01A27"/>
    <w:pPr>
      <w:spacing w:before="0" w:after="0"/>
      <w:jc w:val="right"/>
    </w:pPr>
  </w:style>
  <w:style w:type="paragraph" w:styleId="Index3">
    <w:name w:val="index 3"/>
    <w:basedOn w:val="ListNumber2"/>
    <w:next w:val="Normal"/>
    <w:semiHidden/>
    <w:rsid w:val="00D01A27"/>
    <w:pPr>
      <w:numPr>
        <w:numId w:val="0"/>
      </w:numPr>
      <w:tabs>
        <w:tab w:val="right" w:leader="dot" w:pos="4176"/>
      </w:tabs>
    </w:pPr>
  </w:style>
  <w:style w:type="paragraph" w:styleId="ListNumber2">
    <w:name w:val="List Number 2"/>
    <w:basedOn w:val="List2"/>
    <w:rsid w:val="00D01A27"/>
    <w:pPr>
      <w:numPr>
        <w:numId w:val="8"/>
      </w:numPr>
      <w:tabs>
        <w:tab w:val="clear" w:pos="1060"/>
      </w:tabs>
    </w:pPr>
  </w:style>
  <w:style w:type="paragraph" w:customStyle="1" w:styleId="MarginNote">
    <w:name w:val="Margin Note"/>
    <w:basedOn w:val="BodyText"/>
    <w:rsid w:val="00D01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1A27"/>
    <w:rPr>
      <w:sz w:val="32"/>
    </w:rPr>
  </w:style>
  <w:style w:type="paragraph" w:customStyle="1" w:styleId="HeadingProcedure">
    <w:name w:val="Heading Procedure"/>
    <w:basedOn w:val="HeadingBase"/>
    <w:next w:val="Normal"/>
    <w:rsid w:val="00D01A27"/>
    <w:pPr>
      <w:tabs>
        <w:tab w:val="left" w:pos="0"/>
      </w:tabs>
      <w:spacing w:before="120" w:after="60"/>
    </w:pPr>
    <w:rPr>
      <w:i/>
      <w:color w:val="918585"/>
      <w:sz w:val="22"/>
    </w:rPr>
  </w:style>
  <w:style w:type="paragraph" w:customStyle="1" w:styleId="TableBodyText">
    <w:name w:val="Table Body Text"/>
    <w:basedOn w:val="BodyText"/>
    <w:rsid w:val="00D01A27"/>
    <w:pPr>
      <w:spacing w:before="60" w:after="60"/>
    </w:pPr>
  </w:style>
  <w:style w:type="paragraph" w:styleId="ListContinue">
    <w:name w:val="List Continue"/>
    <w:basedOn w:val="List"/>
    <w:rsid w:val="00D01A27"/>
    <w:pPr>
      <w:ind w:firstLine="0"/>
    </w:pPr>
  </w:style>
  <w:style w:type="paragraph" w:customStyle="1" w:styleId="ListNote">
    <w:name w:val="List Note"/>
    <w:basedOn w:val="List"/>
    <w:rsid w:val="00D01A27"/>
    <w:pPr>
      <w:pBdr>
        <w:top w:val="single" w:sz="6" w:space="2" w:color="918585"/>
        <w:bottom w:val="single" w:sz="6" w:space="2" w:color="918585"/>
      </w:pBdr>
      <w:tabs>
        <w:tab w:val="left" w:pos="1021"/>
      </w:tabs>
      <w:ind w:firstLine="0"/>
    </w:pPr>
  </w:style>
  <w:style w:type="paragraph" w:customStyle="1" w:styleId="Warning">
    <w:name w:val="Warning"/>
    <w:basedOn w:val="BodyText"/>
    <w:rsid w:val="00D01A27"/>
    <w:pPr>
      <w:shd w:val="clear" w:color="auto" w:fill="D9D9D9"/>
      <w:tabs>
        <w:tab w:val="left" w:pos="992"/>
      </w:tabs>
      <w:ind w:left="119" w:right="119"/>
    </w:pPr>
    <w:rPr>
      <w:sz w:val="20"/>
    </w:rPr>
  </w:style>
  <w:style w:type="paragraph" w:customStyle="1" w:styleId="MarginIcons">
    <w:name w:val="Margin Icons"/>
    <w:basedOn w:val="BodyText"/>
    <w:rsid w:val="00D01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A27"/>
    <w:rPr>
      <w:rFonts w:ascii="Courier New" w:hAnsi="Courier New"/>
    </w:rPr>
  </w:style>
  <w:style w:type="paragraph" w:customStyle="1" w:styleId="NoteBullet">
    <w:name w:val="Note Bullet"/>
    <w:basedOn w:val="Note"/>
    <w:rsid w:val="00D01A27"/>
    <w:pPr>
      <w:tabs>
        <w:tab w:val="clear" w:pos="680"/>
      </w:tabs>
      <w:spacing w:before="60" w:after="60"/>
    </w:pPr>
  </w:style>
  <w:style w:type="paragraph" w:customStyle="1" w:styleId="SubHeading2">
    <w:name w:val="SubHeading2"/>
    <w:basedOn w:val="HeadingBase"/>
    <w:rsid w:val="00D01A27"/>
    <w:pPr>
      <w:spacing w:before="240" w:after="60"/>
    </w:pPr>
    <w:rPr>
      <w:sz w:val="20"/>
    </w:rPr>
  </w:style>
  <w:style w:type="paragraph" w:customStyle="1" w:styleId="SubHeading1">
    <w:name w:val="SubHeading1"/>
    <w:basedOn w:val="HeadingBase"/>
    <w:rsid w:val="00D01A27"/>
    <w:pPr>
      <w:spacing w:before="240" w:after="60"/>
    </w:pPr>
    <w:rPr>
      <w:color w:val="918585"/>
      <w:sz w:val="22"/>
    </w:rPr>
  </w:style>
  <w:style w:type="paragraph" w:customStyle="1" w:styleId="SideHeading">
    <w:name w:val="Side Heading"/>
    <w:basedOn w:val="HeadingBase"/>
    <w:rsid w:val="00D01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A27"/>
    <w:pPr>
      <w:numPr>
        <w:numId w:val="10"/>
      </w:numPr>
    </w:pPr>
  </w:style>
  <w:style w:type="paragraph" w:styleId="PlainText">
    <w:name w:val="Plain Text"/>
    <w:basedOn w:val="Normal"/>
    <w:link w:val="PlainTextChar"/>
    <w:rsid w:val="00D01A27"/>
    <w:rPr>
      <w:sz w:val="20"/>
    </w:rPr>
  </w:style>
  <w:style w:type="character" w:customStyle="1" w:styleId="PlainTextChar">
    <w:name w:val="Plain Text Char"/>
    <w:basedOn w:val="DefaultParagraphFont"/>
    <w:link w:val="PlainText"/>
    <w:rsid w:val="00D01A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1A27"/>
    <w:rPr>
      <w:b/>
      <w:smallCaps/>
    </w:rPr>
  </w:style>
  <w:style w:type="paragraph" w:customStyle="1" w:styleId="TableListNumber">
    <w:name w:val="Table List Number"/>
    <w:basedOn w:val="ListNumber"/>
    <w:rsid w:val="00D01A27"/>
    <w:pPr>
      <w:numPr>
        <w:numId w:val="0"/>
      </w:numPr>
    </w:pPr>
  </w:style>
  <w:style w:type="paragraph" w:styleId="TOC4">
    <w:name w:val="toc 4"/>
    <w:basedOn w:val="TOCBase"/>
    <w:next w:val="Normal"/>
    <w:semiHidden/>
    <w:rsid w:val="00D01A27"/>
    <w:pPr>
      <w:tabs>
        <w:tab w:val="right" w:leader="dot" w:pos="9071"/>
      </w:tabs>
      <w:ind w:left="1701"/>
    </w:pPr>
  </w:style>
  <w:style w:type="paragraph" w:customStyle="1" w:styleId="ListAlpha">
    <w:name w:val="List Alpha"/>
    <w:basedOn w:val="List"/>
    <w:rsid w:val="00D01A27"/>
    <w:pPr>
      <w:numPr>
        <w:numId w:val="7"/>
      </w:numPr>
    </w:pPr>
  </w:style>
  <w:style w:type="paragraph" w:customStyle="1" w:styleId="ListAlpha2">
    <w:name w:val="List Alpha 2"/>
    <w:basedOn w:val="List2"/>
    <w:rsid w:val="00D01A27"/>
    <w:pPr>
      <w:numPr>
        <w:numId w:val="6"/>
      </w:numPr>
    </w:pPr>
  </w:style>
  <w:style w:type="paragraph" w:styleId="List2">
    <w:name w:val="List 2"/>
    <w:basedOn w:val="BodyText"/>
    <w:rsid w:val="00D01A27"/>
    <w:pPr>
      <w:tabs>
        <w:tab w:val="left" w:pos="680"/>
      </w:tabs>
      <w:spacing w:before="60" w:after="60"/>
      <w:ind w:left="680" w:hanging="340"/>
    </w:pPr>
  </w:style>
  <w:style w:type="paragraph" w:styleId="List3">
    <w:name w:val="List 3"/>
    <w:basedOn w:val="BodyText"/>
    <w:rsid w:val="00D01A27"/>
    <w:pPr>
      <w:tabs>
        <w:tab w:val="left" w:pos="1021"/>
      </w:tabs>
      <w:spacing w:before="60" w:after="60"/>
      <w:ind w:left="1020" w:hanging="340"/>
    </w:pPr>
  </w:style>
  <w:style w:type="paragraph" w:styleId="List4">
    <w:name w:val="List 4"/>
    <w:basedOn w:val="BodyText"/>
    <w:rsid w:val="00D01A27"/>
    <w:pPr>
      <w:tabs>
        <w:tab w:val="left" w:pos="1361"/>
      </w:tabs>
      <w:spacing w:before="60" w:after="60"/>
      <w:ind w:left="1361" w:hanging="340"/>
    </w:pPr>
  </w:style>
  <w:style w:type="paragraph" w:styleId="List5">
    <w:name w:val="List 5"/>
    <w:basedOn w:val="BodyText"/>
    <w:rsid w:val="00D01A27"/>
    <w:pPr>
      <w:tabs>
        <w:tab w:val="left" w:pos="1701"/>
      </w:tabs>
      <w:spacing w:before="60" w:after="60"/>
      <w:ind w:left="1701" w:hanging="340"/>
    </w:pPr>
  </w:style>
  <w:style w:type="paragraph" w:styleId="ListBullet3">
    <w:name w:val="List Bullet 3"/>
    <w:basedOn w:val="List3"/>
    <w:rsid w:val="00D01A27"/>
    <w:pPr>
      <w:numPr>
        <w:numId w:val="13"/>
      </w:numPr>
      <w:tabs>
        <w:tab w:val="clear" w:pos="1021"/>
      </w:tabs>
      <w:ind w:left="1037" w:hanging="357"/>
    </w:pPr>
  </w:style>
  <w:style w:type="paragraph" w:styleId="ListBullet4">
    <w:name w:val="List Bullet 4"/>
    <w:basedOn w:val="List4"/>
    <w:rsid w:val="00D01A27"/>
    <w:pPr>
      <w:numPr>
        <w:numId w:val="1"/>
      </w:numPr>
    </w:pPr>
  </w:style>
  <w:style w:type="paragraph" w:styleId="ListBullet5">
    <w:name w:val="List Bullet 5"/>
    <w:basedOn w:val="List5"/>
    <w:rsid w:val="00D01A27"/>
    <w:pPr>
      <w:numPr>
        <w:numId w:val="2"/>
      </w:numPr>
    </w:pPr>
  </w:style>
  <w:style w:type="paragraph" w:styleId="ListContinue2">
    <w:name w:val="List Continue 2"/>
    <w:basedOn w:val="List2"/>
    <w:rsid w:val="00D01A27"/>
    <w:pPr>
      <w:ind w:firstLine="0"/>
    </w:pPr>
  </w:style>
  <w:style w:type="paragraph" w:styleId="ListContinue3">
    <w:name w:val="List Continue 3"/>
    <w:basedOn w:val="List3"/>
    <w:rsid w:val="00D01A27"/>
    <w:pPr>
      <w:ind w:left="1021" w:firstLine="0"/>
    </w:pPr>
  </w:style>
  <w:style w:type="paragraph" w:styleId="ListContinue4">
    <w:name w:val="List Continue 4"/>
    <w:basedOn w:val="List4"/>
    <w:rsid w:val="00D01A27"/>
    <w:pPr>
      <w:ind w:firstLine="0"/>
    </w:pPr>
  </w:style>
  <w:style w:type="paragraph" w:styleId="ListContinue5">
    <w:name w:val="List Continue 5"/>
    <w:basedOn w:val="List5"/>
    <w:rsid w:val="00D01A27"/>
    <w:pPr>
      <w:ind w:firstLine="0"/>
    </w:pPr>
  </w:style>
  <w:style w:type="paragraph" w:styleId="ListNumber3">
    <w:name w:val="List Number 3"/>
    <w:basedOn w:val="List3"/>
    <w:rsid w:val="00D01A27"/>
    <w:pPr>
      <w:numPr>
        <w:numId w:val="3"/>
      </w:numPr>
    </w:pPr>
  </w:style>
  <w:style w:type="paragraph" w:styleId="ListNumber4">
    <w:name w:val="List Number 4"/>
    <w:basedOn w:val="List4"/>
    <w:rsid w:val="00D01A27"/>
    <w:pPr>
      <w:numPr>
        <w:numId w:val="4"/>
      </w:numPr>
    </w:pPr>
  </w:style>
  <w:style w:type="paragraph" w:styleId="ListNumber5">
    <w:name w:val="List Number 5"/>
    <w:basedOn w:val="List5"/>
    <w:rsid w:val="00D01A27"/>
    <w:pPr>
      <w:numPr>
        <w:numId w:val="5"/>
      </w:numPr>
    </w:pPr>
  </w:style>
  <w:style w:type="paragraph" w:styleId="BlockText">
    <w:name w:val="Block Text"/>
    <w:basedOn w:val="Normal"/>
    <w:rsid w:val="00D01A27"/>
    <w:pPr>
      <w:spacing w:after="120"/>
      <w:ind w:left="1440" w:right="1440"/>
    </w:pPr>
  </w:style>
  <w:style w:type="character" w:customStyle="1" w:styleId="Subscript">
    <w:name w:val="Subscript"/>
    <w:basedOn w:val="DefaultParagraphFont"/>
    <w:rsid w:val="00D01A27"/>
    <w:rPr>
      <w:sz w:val="16"/>
      <w:vertAlign w:val="subscript"/>
    </w:rPr>
  </w:style>
  <w:style w:type="character" w:customStyle="1" w:styleId="Superscript">
    <w:name w:val="Superscript"/>
    <w:basedOn w:val="DefaultParagraphFont"/>
    <w:rsid w:val="00D01A27"/>
    <w:rPr>
      <w:sz w:val="16"/>
      <w:vertAlign w:val="superscript"/>
    </w:rPr>
  </w:style>
  <w:style w:type="character" w:customStyle="1" w:styleId="Symbols">
    <w:name w:val="Symbols"/>
    <w:basedOn w:val="DefaultParagraphFont"/>
    <w:rsid w:val="00D01A27"/>
    <w:rPr>
      <w:rFonts w:ascii="Symbol" w:hAnsi="Symbol"/>
    </w:rPr>
  </w:style>
  <w:style w:type="character" w:customStyle="1" w:styleId="MenuOptions">
    <w:name w:val="Menu Options"/>
    <w:basedOn w:val="DefaultParagraphFont"/>
    <w:rsid w:val="00D01A27"/>
    <w:rPr>
      <w:rFonts w:ascii="Arial Narrow" w:hAnsi="Arial Narrow"/>
      <w:smallCaps/>
    </w:rPr>
  </w:style>
  <w:style w:type="character" w:customStyle="1" w:styleId="Buttons">
    <w:name w:val="Buttons"/>
    <w:basedOn w:val="DefaultParagraphFont"/>
    <w:rsid w:val="00D01A27"/>
    <w:rPr>
      <w:b/>
    </w:rPr>
  </w:style>
  <w:style w:type="character" w:customStyle="1" w:styleId="Underlined">
    <w:name w:val="Underlined"/>
    <w:basedOn w:val="DefaultParagraphFont"/>
    <w:rsid w:val="00D01A27"/>
    <w:rPr>
      <w:u w:val="single"/>
    </w:rPr>
  </w:style>
  <w:style w:type="paragraph" w:customStyle="1" w:styleId="TableBodyTextRight">
    <w:name w:val="Table Body Text Right"/>
    <w:basedOn w:val="TableBodyText"/>
    <w:rsid w:val="00D01A27"/>
    <w:pPr>
      <w:widowControl w:val="0"/>
      <w:autoSpaceDE w:val="0"/>
      <w:autoSpaceDN w:val="0"/>
      <w:adjustRightInd w:val="0"/>
      <w:jc w:val="right"/>
    </w:pPr>
    <w:rPr>
      <w:rFonts w:cs="Arial"/>
      <w:szCs w:val="18"/>
    </w:rPr>
  </w:style>
  <w:style w:type="paragraph" w:customStyle="1" w:styleId="CopyrightText">
    <w:name w:val="Copyright Text"/>
    <w:basedOn w:val="BodyText"/>
    <w:rsid w:val="00D01A27"/>
    <w:rPr>
      <w:sz w:val="18"/>
    </w:rPr>
  </w:style>
  <w:style w:type="paragraph" w:customStyle="1" w:styleId="BodySmallRight">
    <w:name w:val="Body Small Right"/>
    <w:basedOn w:val="BodyTextRight"/>
    <w:rsid w:val="00D01A27"/>
    <w:rPr>
      <w:sz w:val="18"/>
      <w:szCs w:val="18"/>
    </w:rPr>
  </w:style>
  <w:style w:type="paragraph" w:customStyle="1" w:styleId="MarginEdition">
    <w:name w:val="Margin Edition"/>
    <w:basedOn w:val="MarginNote"/>
    <w:rsid w:val="00D01A27"/>
    <w:pPr>
      <w:spacing w:before="0" w:after="0"/>
    </w:pPr>
    <w:rPr>
      <w:rFonts w:ascii="Times New Roman" w:hAnsi="Times New Roman"/>
      <w:color w:val="999999"/>
    </w:rPr>
  </w:style>
  <w:style w:type="paragraph" w:customStyle="1" w:styleId="Spacer">
    <w:name w:val="Spacer"/>
    <w:basedOn w:val="Normal"/>
    <w:rsid w:val="00D01A27"/>
    <w:rPr>
      <w:sz w:val="2"/>
      <w:szCs w:val="2"/>
    </w:rPr>
  </w:style>
  <w:style w:type="character" w:customStyle="1" w:styleId="Small">
    <w:name w:val="Small"/>
    <w:basedOn w:val="DefaultParagraphFont"/>
    <w:rsid w:val="00D01A27"/>
    <w:rPr>
      <w:sz w:val="16"/>
    </w:rPr>
  </w:style>
  <w:style w:type="paragraph" w:customStyle="1" w:styleId="WideTable">
    <w:name w:val="Wide Table"/>
    <w:basedOn w:val="Normal"/>
    <w:rsid w:val="00D01A27"/>
    <w:pPr>
      <w:ind w:left="-1418"/>
    </w:pPr>
    <w:rPr>
      <w:sz w:val="2"/>
      <w:szCs w:val="2"/>
    </w:rPr>
  </w:style>
  <w:style w:type="character" w:styleId="PageNumber">
    <w:name w:val="page number"/>
    <w:basedOn w:val="DefaultParagraphFont"/>
    <w:rsid w:val="00D01A27"/>
  </w:style>
  <w:style w:type="paragraph" w:styleId="Quote">
    <w:name w:val="Quote"/>
    <w:basedOn w:val="Heading1"/>
    <w:link w:val="QuoteChar"/>
    <w:qFormat/>
    <w:rsid w:val="00D01A27"/>
    <w:rPr>
      <w:b w:val="0"/>
      <w:sz w:val="72"/>
      <w:szCs w:val="72"/>
      <w:lang w:val="en-NZ"/>
    </w:rPr>
  </w:style>
  <w:style w:type="character" w:customStyle="1" w:styleId="QuoteChar">
    <w:name w:val="Quote Char"/>
    <w:basedOn w:val="DefaultParagraphFont"/>
    <w:link w:val="Quote"/>
    <w:rsid w:val="00D01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A27"/>
    <w:pPr>
      <w:pageBreakBefore/>
    </w:pPr>
  </w:style>
  <w:style w:type="paragraph" w:customStyle="1" w:styleId="Border">
    <w:name w:val="Border"/>
    <w:basedOn w:val="Normal"/>
    <w:qFormat/>
    <w:rsid w:val="00D01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A27"/>
    <w:rPr>
      <w:b/>
      <w:bCs/>
      <w:i/>
      <w:iCs/>
      <w:color w:val="auto"/>
    </w:rPr>
  </w:style>
  <w:style w:type="paragraph" w:styleId="IntenseQuote">
    <w:name w:val="Intense Quote"/>
    <w:basedOn w:val="Normal"/>
    <w:next w:val="Normal"/>
    <w:link w:val="IntenseQuoteChar"/>
    <w:uiPriority w:val="30"/>
    <w:qFormat/>
    <w:rsid w:val="00D01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A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1A27"/>
    <w:rPr>
      <w:smallCaps/>
      <w:color w:val="auto"/>
      <w:u w:val="single"/>
    </w:rPr>
  </w:style>
  <w:style w:type="character" w:styleId="IntenseReference">
    <w:name w:val="Intense Reference"/>
    <w:basedOn w:val="DefaultParagraphFont"/>
    <w:uiPriority w:val="32"/>
    <w:qFormat/>
    <w:rsid w:val="00D01A27"/>
    <w:rPr>
      <w:b/>
      <w:bCs/>
      <w:smallCaps/>
      <w:color w:val="auto"/>
      <w:spacing w:val="5"/>
      <w:u w:val="single"/>
    </w:rPr>
  </w:style>
  <w:style w:type="paragraph" w:customStyle="1" w:styleId="2ColumnHeading">
    <w:name w:val="2Column Heading"/>
    <w:basedOn w:val="BodyText"/>
    <w:qFormat/>
    <w:rsid w:val="00D01A27"/>
    <w:pPr>
      <w:spacing w:after="60"/>
      <w:ind w:left="-2268"/>
    </w:pPr>
    <w:rPr>
      <w:b/>
    </w:rPr>
  </w:style>
  <w:style w:type="paragraph" w:customStyle="1" w:styleId="Heading1TOC">
    <w:name w:val="Heading1 TOC"/>
    <w:basedOn w:val="Normal"/>
    <w:qFormat/>
    <w:rsid w:val="00D01A27"/>
    <w:pPr>
      <w:spacing w:before="240" w:after="120"/>
    </w:pPr>
    <w:rPr>
      <w:rFonts w:ascii="Times New Roman" w:hAnsi="Times New Roman"/>
      <w:b/>
      <w:sz w:val="32"/>
    </w:rPr>
  </w:style>
  <w:style w:type="paragraph" w:customStyle="1" w:styleId="Heading2TOC">
    <w:name w:val="Heading2 TOC"/>
    <w:basedOn w:val="Normal"/>
    <w:qFormat/>
    <w:rsid w:val="00D01A27"/>
    <w:pPr>
      <w:spacing w:before="240" w:after="60"/>
    </w:pPr>
    <w:rPr>
      <w:rFonts w:ascii="Times New Roman" w:hAnsi="Times New Roman"/>
      <w:b/>
      <w:sz w:val="28"/>
    </w:rPr>
  </w:style>
  <w:style w:type="character" w:customStyle="1" w:styleId="Underline">
    <w:name w:val="Underline"/>
    <w:basedOn w:val="DefaultParagraphFont"/>
    <w:qFormat/>
    <w:rsid w:val="00D01A27"/>
    <w:rPr>
      <w:u w:val="single"/>
    </w:rPr>
  </w:style>
  <w:style w:type="character" w:customStyle="1" w:styleId="BoldandItalics">
    <w:name w:val="Bold and Italics"/>
    <w:qFormat/>
    <w:rsid w:val="00D01A27"/>
    <w:rPr>
      <w:b/>
      <w:i/>
      <w:u w:val="none"/>
    </w:rPr>
  </w:style>
  <w:style w:type="paragraph" w:styleId="BalloonText">
    <w:name w:val="Balloon Text"/>
    <w:basedOn w:val="Normal"/>
    <w:link w:val="BalloonTextChar"/>
    <w:rsid w:val="00D01A27"/>
    <w:rPr>
      <w:rFonts w:ascii="Tahoma" w:hAnsi="Tahoma" w:cs="Tahoma"/>
      <w:sz w:val="16"/>
      <w:szCs w:val="16"/>
    </w:rPr>
  </w:style>
  <w:style w:type="character" w:customStyle="1" w:styleId="BalloonTextChar">
    <w:name w:val="Balloon Text Char"/>
    <w:basedOn w:val="DefaultParagraphFont"/>
    <w:link w:val="BalloonText"/>
    <w:rsid w:val="00D01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1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A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9849</Characters>
  <Application>Microsoft Office Word</Application>
  <DocSecurity>0</DocSecurity>
  <Lines>354</Lines>
  <Paragraphs>214</Paragraphs>
  <ScaleCrop>false</ScaleCrop>
  <Company>Author-it Software Corporation Ltd.</Company>
  <LinksUpToDate>false</LinksUpToDate>
  <CharactersWithSpaces>11205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FNSACCT603B Implement tax plans and evaluate tax compliance</dc:title>
  <dc:subject>Approved</dc:subject>
  <dc:creator>Government Skills Australia</dc:creator>
  <cp:keywords>Release: 1</cp:keywords>
  <dc:description>Copyright © 1996-2007 Author-it Software Corporation Ltd., all rights reserved.</dc:description>
  <cp:lastModifiedBy>Craig Taylor</cp:lastModifiedBy>
  <cp:revision>3</cp:revision>
  <dcterms:created xsi:type="dcterms:W3CDTF">2012-05-26T06:58:00Z</dcterms:created>
  <dcterms:modified xsi:type="dcterms:W3CDTF">2012-05-26T06:58:00Z</dcterms:modified>
</cp:coreProperties>
</file>