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2FE4" w:rsidP="00F82FE4">
      <w:pPr>
        <w:pStyle w:val="Title"/>
      </w:pPr>
      <w:r>
        <w:fldChar w:fldCharType="begin"/>
      </w:r>
      <w:r>
        <w:instrText xml:space="preserve"> TITLE   \* MERGEFORMAT </w:instrText>
      </w:r>
      <w:r>
        <w:fldChar w:fldCharType="separate"/>
      </w:r>
      <w:r>
        <w:t>FNSACCT502B Prepare income tax returns</w:t>
      </w:r>
      <w:r>
        <w:fldChar w:fldCharType="end"/>
      </w:r>
    </w:p>
    <w:p w:rsidR="00F82FE4" w:rsidP="00F82FE4">
      <w:pPr>
        <w:pStyle w:val="Version"/>
        <w:sectPr w:rsidSect="006F73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7389" w:rsidP="006F7389">
      <w:pPr>
        <w:pStyle w:val="SuperHeading"/>
      </w:pPr>
      <w:r w:rsidRPr="006F7389">
        <w:t>FNSACCT502B Prepare income tax returns</w:t>
      </w:r>
    </w:p>
    <w:p w:rsidR="00000000" w:rsidRPr="006F7389" w:rsidP="006F7389">
      <w:pPr>
        <w:pStyle w:val="Heading1"/>
      </w:pPr>
      <w:bookmarkStart w:id="1" w:name="O_317966"/>
      <w:bookmarkEnd w:id="1"/>
      <w:r w:rsidRPr="006F7389">
        <w:t>Modification History</w:t>
      </w:r>
    </w:p>
    <w:p w:rsidR="00000000" w:rsidRPr="006F7389" w:rsidP="006F7389">
      <w:pPr>
        <w:pStyle w:val="BodyText"/>
      </w:pPr>
      <w:r w:rsidRPr="006F7389">
        <w:t>Not applicable.</w:t>
      </w:r>
    </w:p>
    <w:p w:rsidR="00000000" w:rsidRPr="006F7389" w:rsidP="006F7389">
      <w:pPr>
        <w:pStyle w:val="AllowPageBreak"/>
      </w:pPr>
    </w:p>
    <w:p w:rsidR="00000000" w:rsidRPr="006F7389" w:rsidP="006F7389">
      <w:pPr>
        <w:pStyle w:val="Heading1"/>
      </w:pPr>
      <w:bookmarkStart w:id="2" w:name="O_317965"/>
      <w:bookmarkEnd w:id="2"/>
      <w:r w:rsidRPr="006F7389">
        <w:t>Unit Descriptor</w:t>
      </w:r>
    </w:p>
    <w:p w:rsidR="00000000" w:rsidRPr="006F7389" w:rsidP="006F7389">
      <w:pPr>
        <w:pStyle w:val="BodyText"/>
      </w:pPr>
      <w:r w:rsidRPr="006F7389">
        <w:t>This unit covers the preparation of income tax returns for individuals in accordance with statutory requirements.</w:t>
      </w:r>
    </w:p>
    <w:p w:rsidR="00000000" w:rsidRPr="006F7389" w:rsidP="006F7389">
      <w:pPr>
        <w:pStyle w:val="BodyText"/>
      </w:pPr>
      <w:r w:rsidRPr="006F7389">
        <w:t>This unit cov</w:t>
      </w:r>
      <w:r w:rsidRPr="006F7389">
        <w:t>ers the preparation of income tax returns for individuals in accordance with statutory requirements.</w:t>
      </w:r>
    </w:p>
    <w:p w:rsidR="00000000" w:rsidRPr="006F7389" w:rsidP="006F7389">
      <w:pPr>
        <w:pStyle w:val="AllowPageBreak"/>
      </w:pPr>
    </w:p>
    <w:p w:rsidR="00000000" w:rsidRPr="006F7389" w:rsidP="006F7389">
      <w:pPr>
        <w:pStyle w:val="Heading1"/>
      </w:pPr>
      <w:bookmarkStart w:id="3" w:name="O_317964"/>
      <w:bookmarkEnd w:id="3"/>
      <w:r w:rsidRPr="006F7389">
        <w:t>Application of the Unit</w:t>
      </w:r>
    </w:p>
    <w:p w:rsidR="00000000" w:rsidRPr="006F7389" w:rsidP="006F7389">
      <w:pPr>
        <w:pStyle w:val="BodyText"/>
      </w:pPr>
      <w:r w:rsidRPr="006F7389">
        <w:t xml:space="preserve">This unit requires the application of skills and knowledge required to prepare income tax returns for individuals </w:t>
      </w:r>
      <w:r w:rsidRPr="006F7389">
        <w:t>in accordance with statutory requirements.</w:t>
      </w:r>
    </w:p>
    <w:p w:rsidR="00000000" w:rsidRPr="006F7389" w:rsidP="006F7389">
      <w:pPr>
        <w:pStyle w:val="BodyText"/>
      </w:pPr>
      <w:r w:rsidRPr="006F7389">
        <w:t>The unit encompasses gathering and verifying data, calculating taxable income and reviewing compliance.</w:t>
      </w:r>
    </w:p>
    <w:p w:rsidR="00000000" w:rsidRPr="006F7389" w:rsidP="006F7389">
      <w:pPr>
        <w:pStyle w:val="BodyText"/>
      </w:pPr>
      <w:r w:rsidRPr="006F7389">
        <w:t>This unit has application to accountants and registered tax agents.</w:t>
      </w:r>
    </w:p>
    <w:p w:rsidR="00000000" w:rsidRPr="006F7389" w:rsidP="006F7389">
      <w:pPr>
        <w:pStyle w:val="BodyText"/>
      </w:pPr>
      <w:r w:rsidRPr="006F7389">
        <w:t>This unit requires the application of skills and knowledge required to prepare income tax returns for individuals in accordance with statutory requirements.</w:t>
      </w:r>
    </w:p>
    <w:p w:rsidR="00000000" w:rsidRPr="006F7389" w:rsidP="006F7389">
      <w:pPr>
        <w:pStyle w:val="BodyText"/>
      </w:pPr>
      <w:r w:rsidRPr="006F7389">
        <w:t>The unit encompasses gathering and verifying data, calculating taxable income and reviewing complia</w:t>
      </w:r>
      <w:r w:rsidRPr="006F7389">
        <w:t>nce.</w:t>
      </w:r>
    </w:p>
    <w:p w:rsidR="00000000" w:rsidRPr="006F7389" w:rsidP="006F7389">
      <w:pPr>
        <w:pStyle w:val="BodyText"/>
      </w:pPr>
      <w:r w:rsidRPr="006F7389">
        <w:t>This unit has application to accountants and registered tax agents.</w:t>
      </w:r>
    </w:p>
    <w:p w:rsidR="00000000" w:rsidRPr="006F7389" w:rsidP="006F7389">
      <w:pPr>
        <w:pStyle w:val="AllowPageBreak"/>
      </w:pPr>
    </w:p>
    <w:p w:rsidR="00000000" w:rsidRPr="006F7389" w:rsidP="006F7389">
      <w:pPr>
        <w:pStyle w:val="Heading1"/>
      </w:pPr>
      <w:bookmarkStart w:id="4" w:name="O_317963"/>
      <w:bookmarkEnd w:id="4"/>
      <w:r w:rsidRPr="006F7389">
        <w:t>Licensing/Regulatory Information</w:t>
      </w:r>
    </w:p>
    <w:p w:rsidR="00000000" w:rsidRPr="006F7389" w:rsidP="006F7389">
      <w:pPr>
        <w:pStyle w:val="BodyText"/>
      </w:pPr>
      <w:r w:rsidRPr="006F7389">
        <w:t>Not applicable.</w:t>
      </w:r>
    </w:p>
    <w:p w:rsidR="00000000" w:rsidRPr="006F7389" w:rsidP="006F7389">
      <w:pPr>
        <w:pStyle w:val="AllowPageBreak"/>
      </w:pPr>
    </w:p>
    <w:p w:rsidR="00000000" w:rsidRPr="006F7389" w:rsidP="006F7389">
      <w:pPr>
        <w:pStyle w:val="Heading1"/>
      </w:pPr>
      <w:bookmarkStart w:id="5" w:name="O_317962"/>
      <w:bookmarkEnd w:id="5"/>
      <w:r w:rsidRPr="006F7389">
        <w:t>Pre-Requisites</w:t>
      </w:r>
    </w:p>
    <w:p w:rsidR="00000000" w:rsidRPr="006F7389" w:rsidP="006F7389">
      <w:pPr>
        <w:pStyle w:val="BodyText"/>
      </w:pPr>
      <w:r w:rsidRPr="006F7389">
        <w:t>Not applicable.</w:t>
      </w:r>
    </w:p>
    <w:p w:rsidR="00000000" w:rsidRPr="006F7389" w:rsidP="006F7389">
      <w:pPr>
        <w:pStyle w:val="AllowPageBreak"/>
      </w:pPr>
    </w:p>
    <w:p w:rsidR="00000000" w:rsidRPr="006F7389" w:rsidP="006F7389">
      <w:pPr>
        <w:pStyle w:val="Heading1"/>
      </w:pPr>
      <w:bookmarkStart w:id="6" w:name="O_317961"/>
      <w:bookmarkEnd w:id="6"/>
      <w:r w:rsidRPr="006F7389">
        <w:t>Employability Skills Information</w:t>
      </w:r>
    </w:p>
    <w:p w:rsidR="00000000" w:rsidRPr="006F7389" w:rsidP="006F7389">
      <w:pPr>
        <w:pStyle w:val="BodyText"/>
      </w:pPr>
      <w:r w:rsidRPr="006F7389">
        <w:t>The required outcom</w:t>
      </w:r>
      <w:r w:rsidRPr="006F7389">
        <w:t>es described in this unit of competency contain applicable facets of employability skills. The Employability Skills Summary for the qualification in which this unit of competency is packaged, will assist in identifying employability skills requirements.</w:t>
      </w:r>
    </w:p>
    <w:p w:rsidR="00000000" w:rsidRPr="006F7389" w:rsidP="006F7389">
      <w:pPr>
        <w:pStyle w:val="BodyText"/>
      </w:pPr>
      <w:r w:rsidRPr="006F7389">
        <w:t>Th</w:t>
      </w:r>
      <w:r w:rsidRPr="006F7389">
        <w:t>e required outcomes described in this unit of competency contain applicable facets of employability skills. The Employability Skills Summary for the qualification in which this unit of competency is packaged, will assist in identifying employability skills</w:t>
      </w:r>
      <w:r w:rsidRPr="006F7389">
        <w:t xml:space="preserve"> requirements.</w:t>
      </w:r>
    </w:p>
    <w:p w:rsidR="00000000" w:rsidRPr="006F7389" w:rsidP="006F7389">
      <w:pPr>
        <w:pStyle w:val="AllowPageBreak"/>
      </w:pPr>
    </w:p>
    <w:p w:rsidR="00000000" w:rsidRPr="006F7389" w:rsidP="006F7389">
      <w:pPr>
        <w:pStyle w:val="Heading1"/>
      </w:pPr>
      <w:bookmarkStart w:id="7" w:name="O_317956"/>
      <w:bookmarkEnd w:id="7"/>
      <w:r w:rsidRPr="006F7389">
        <w:t>Elements and Performance Criteria Pre-Content</w:t>
      </w:r>
    </w:p>
    <w:p w:rsidR="00000000" w:rsidRPr="006F7389" w:rsidP="006F7389">
      <w:pPr>
        <w:pStyle w:val="BodyText"/>
      </w:pPr>
      <w:r w:rsidRPr="006F7389">
        <w:t>Elements define the essential outcomes of a unit of competency.</w:t>
      </w:r>
    </w:p>
    <w:p w:rsidR="00000000" w:rsidRPr="006F7389" w:rsidP="006F7389">
      <w:pPr>
        <w:pStyle w:val="BodyText"/>
      </w:pPr>
      <w:r w:rsidRPr="006F7389">
        <w:t xml:space="preserve">Performance Criteria describe the required performance needed to demonstrate achievement of the Element. </w:t>
      </w:r>
      <w:r w:rsidRPr="006F7389">
        <w:rPr>
          <w:rStyle w:val="SpecialBold"/>
        </w:rPr>
        <w:t xml:space="preserve">Bold, italicised </w:t>
      </w:r>
      <w:r w:rsidRPr="006F7389">
        <w:t>terms are elaborated in the Range Statement. Assessment of performance is to be consistent with the Evidence Guide.</w:t>
      </w:r>
    </w:p>
    <w:p w:rsidR="00000000" w:rsidRPr="006F7389" w:rsidP="006F7389">
      <w:pPr>
        <w:pStyle w:val="BodyText"/>
      </w:pPr>
      <w:r w:rsidRPr="006F7389">
        <w:t>Elements define the essential outcomes of a unit of competency.</w:t>
      </w:r>
    </w:p>
    <w:p w:rsidR="00000000" w:rsidRPr="006F7389" w:rsidP="006F7389">
      <w:pPr>
        <w:pStyle w:val="BodyText"/>
      </w:pPr>
      <w:r w:rsidRPr="006F7389">
        <w:t>Performance Criteria describe the required performance need</w:t>
      </w:r>
      <w:r w:rsidRPr="006F7389">
        <w:t xml:space="preserve">ed to demonstrate achievement of the Element. </w:t>
      </w:r>
      <w:r w:rsidRPr="006F7389">
        <w:rPr>
          <w:rStyle w:val="SpecialBold"/>
        </w:rPr>
        <w:t xml:space="preserve">Bold, italicised </w:t>
      </w:r>
      <w:r w:rsidRPr="006F7389">
        <w:t>terms are elaborated in the Range Statement. Assessment of performance is to be consistent with the Evidence Guide.</w:t>
      </w:r>
    </w:p>
    <w:p w:rsidR="00000000" w:rsidRPr="006F7389" w:rsidP="006F7389">
      <w:pPr>
        <w:pStyle w:val="AllowPageBreak"/>
      </w:pPr>
    </w:p>
    <w:p w:rsidR="00000000" w:rsidRPr="006F7389" w:rsidP="006F7389">
      <w:pPr>
        <w:pStyle w:val="Heading1"/>
      </w:pPr>
      <w:bookmarkStart w:id="8" w:name="O_317959"/>
      <w:bookmarkEnd w:id="8"/>
      <w:r w:rsidRPr="006F738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82FE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rPr>
                <w:rStyle w:val="SpecialBold"/>
              </w:rPr>
              <w:t>Elements and Performance C</w:t>
            </w:r>
            <w:r w:rsidRPr="006F7389">
              <w:rPr>
                <w:rStyle w:val="SpecialBold"/>
              </w:rPr>
              <w:t>riteria</w:t>
            </w:r>
          </w:p>
        </w:tc>
      </w:tr>
      <w:tr w:rsidTr="00F82FE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F7389" w:rsidP="006F7389">
            <w:pPr>
              <w:pStyle w:val="BodyText"/>
            </w:pPr>
            <w:r w:rsidRPr="006F738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rPr>
                <w:rStyle w:val="SpecialBold"/>
              </w:rPr>
              <w:t>Performance Criteria</w:t>
            </w:r>
          </w:p>
        </w:tc>
      </w:tr>
      <w:tr w:rsidTr="00F82FE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1</w:t>
            </w:r>
          </w:p>
        </w:tc>
        <w:tc>
          <w:tcPr>
            <w:tcW w:w="3000" w:type="dxa"/>
            <w:vMerge w:val="restart"/>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Gather and verify data</w:t>
            </w:r>
          </w:p>
        </w:tc>
        <w:tc>
          <w:tcPr>
            <w:tcW w:w="5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1.1</w:t>
            </w:r>
          </w:p>
        </w:tc>
        <w:tc>
          <w:tcPr>
            <w:tcW w:w="51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Current data on assessable income and allowable deductions are gathered from appropriate sources</w:t>
            </w:r>
          </w:p>
        </w:tc>
      </w:tr>
      <w:tr w:rsidTr="00F82F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1.2</w:t>
            </w:r>
          </w:p>
        </w:tc>
        <w:tc>
          <w:tcPr>
            <w:tcW w:w="51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 xml:space="preserve">Valuations are made, recorded and disclosed in accordance with </w:t>
            </w:r>
            <w:r w:rsidRPr="006F7389">
              <w:rPr>
                <w:rStyle w:val="SpecialBold"/>
              </w:rPr>
              <w:t>business policies and procedures</w:t>
            </w:r>
          </w:p>
        </w:tc>
      </w:tr>
      <w:tr w:rsidTr="00F82F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F7389" w:rsidP="006F7389">
            <w:pPr>
              <w:pStyle w:val="BodyText"/>
            </w:pPr>
            <w:r w:rsidRPr="006F7389">
              <w:t>1.3</w:t>
            </w:r>
          </w:p>
        </w:tc>
        <w:tc>
          <w:tcPr>
            <w:tcW w:w="51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rPr>
                <w:rStyle w:val="SpecialBold"/>
              </w:rPr>
              <w:t>Discrepancies</w:t>
            </w:r>
            <w:r w:rsidRPr="006F7389">
              <w:t>, unusual features or queries are identified, resolved or referred to the appropriate authority</w:t>
            </w:r>
          </w:p>
        </w:tc>
      </w:tr>
      <w:tr w:rsidTr="00F82F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1.4</w:t>
            </w:r>
          </w:p>
        </w:tc>
        <w:tc>
          <w:tcPr>
            <w:tcW w:w="51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 xml:space="preserve">Accrued or prepaid income and expenditure is identified and adjustments to the value of </w:t>
            </w:r>
            <w:r w:rsidRPr="006F7389">
              <w:rPr>
                <w:rStyle w:val="SpecialBold"/>
              </w:rPr>
              <w:t>assets and l</w:t>
            </w:r>
            <w:r w:rsidRPr="006F7389">
              <w:rPr>
                <w:rStyle w:val="SpecialBold"/>
              </w:rPr>
              <w:t xml:space="preserve">iabilities </w:t>
            </w:r>
            <w:r w:rsidRPr="006F7389">
              <w:t>are recorded</w:t>
            </w:r>
          </w:p>
        </w:tc>
      </w:tr>
      <w:tr w:rsidTr="00F82FE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2</w:t>
            </w:r>
          </w:p>
        </w:tc>
        <w:tc>
          <w:tcPr>
            <w:tcW w:w="3000" w:type="dxa"/>
            <w:vMerge w:val="restart"/>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Calculate taxable income</w:t>
            </w:r>
          </w:p>
        </w:tc>
        <w:tc>
          <w:tcPr>
            <w:tcW w:w="5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2.1</w:t>
            </w:r>
          </w:p>
        </w:tc>
        <w:tc>
          <w:tcPr>
            <w:tcW w:w="51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 xml:space="preserve">Liabilities for </w:t>
            </w:r>
            <w:r w:rsidRPr="006F7389">
              <w:rPr>
                <w:rStyle w:val="SpecialBold"/>
              </w:rPr>
              <w:t xml:space="preserve">tax </w:t>
            </w:r>
            <w:r w:rsidRPr="006F7389">
              <w:t xml:space="preserve">are calculated in accordance with current legislation and </w:t>
            </w:r>
            <w:r w:rsidRPr="006F7389">
              <w:rPr>
                <w:rStyle w:val="SpecialBold"/>
              </w:rPr>
              <w:t>revenue gathering practices</w:t>
            </w:r>
          </w:p>
        </w:tc>
      </w:tr>
      <w:tr w:rsidTr="00F82F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2.2</w:t>
            </w:r>
          </w:p>
        </w:tc>
        <w:tc>
          <w:tcPr>
            <w:tcW w:w="51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 xml:space="preserve">Relevant </w:t>
            </w:r>
            <w:r w:rsidRPr="006F7389">
              <w:rPr>
                <w:rStyle w:val="SpecialBold"/>
              </w:rPr>
              <w:t xml:space="preserve">source documentation </w:t>
            </w:r>
            <w:r w:rsidRPr="006F7389">
              <w:t>is identified correctly</w:t>
            </w:r>
          </w:p>
        </w:tc>
      </w:tr>
      <w:tr w:rsidTr="00F82F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2.3</w:t>
            </w:r>
          </w:p>
        </w:tc>
        <w:tc>
          <w:tcPr>
            <w:tcW w:w="51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 xml:space="preserve">Tax </w:t>
            </w:r>
            <w:r w:rsidRPr="006F7389">
              <w:rPr>
                <w:rStyle w:val="SpecialBold"/>
              </w:rPr>
              <w:t xml:space="preserve">returns, statements </w:t>
            </w:r>
            <w:r w:rsidRPr="006F7389">
              <w:t>and claims take full advantage of available benefits and allowances in accordance with statutory requirements</w:t>
            </w:r>
          </w:p>
        </w:tc>
      </w:tr>
      <w:tr w:rsidTr="00F82F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2.4</w:t>
            </w:r>
          </w:p>
        </w:tc>
        <w:tc>
          <w:tcPr>
            <w:tcW w:w="51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Returns are prepared within established timelines</w:t>
            </w:r>
          </w:p>
        </w:tc>
      </w:tr>
      <w:tr w:rsidTr="00F82FE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3</w:t>
            </w:r>
          </w:p>
        </w:tc>
        <w:tc>
          <w:tcPr>
            <w:tcW w:w="3000" w:type="dxa"/>
            <w:vMerge w:val="restart"/>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Review compliance</w:t>
            </w:r>
          </w:p>
        </w:tc>
        <w:tc>
          <w:tcPr>
            <w:tcW w:w="5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3.1</w:t>
            </w:r>
          </w:p>
        </w:tc>
        <w:tc>
          <w:tcPr>
            <w:tcW w:w="51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Relevant returns are submitted to appropriate authorities within</w:t>
            </w:r>
            <w:r w:rsidRPr="006F7389">
              <w:t xml:space="preserve"> stated deadlines</w:t>
            </w:r>
          </w:p>
        </w:tc>
      </w:tr>
      <w:tr w:rsidTr="00F82F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3.2</w:t>
            </w:r>
          </w:p>
        </w:tc>
        <w:tc>
          <w:tcPr>
            <w:tcW w:w="51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 xml:space="preserve">Current </w:t>
            </w:r>
            <w:r w:rsidRPr="006F7389">
              <w:rPr>
                <w:rStyle w:val="SpecialBold"/>
              </w:rPr>
              <w:t xml:space="preserve">obligations </w:t>
            </w:r>
            <w:r w:rsidRPr="006F7389">
              <w:t xml:space="preserve">are fulfilled and advice from taxation authorities followed and reported in </w:t>
            </w:r>
            <w:r w:rsidRPr="006F7389">
              <w:t xml:space="preserve">accordance with </w:t>
            </w:r>
            <w:r w:rsidRPr="006F7389">
              <w:rPr>
                <w:rStyle w:val="SpecialBold"/>
              </w:rPr>
              <w:t>statutory requirements</w:t>
            </w:r>
          </w:p>
        </w:tc>
      </w:tr>
      <w:tr w:rsidTr="00F82F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3.3</w:t>
            </w:r>
          </w:p>
        </w:tc>
        <w:tc>
          <w:tcPr>
            <w:tcW w:w="51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Statements give a clear indication of impact of taxation on individual</w:t>
            </w:r>
          </w:p>
        </w:tc>
      </w:tr>
      <w:tr w:rsidTr="00F82F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3.4</w:t>
            </w:r>
          </w:p>
        </w:tc>
        <w:tc>
          <w:tcPr>
            <w:tcW w:w="5100" w:type="dxa"/>
            <w:tcBorders>
              <w:top w:val="nil"/>
              <w:left w:val="nil"/>
              <w:bottom w:val="nil"/>
              <w:right w:val="nil"/>
            </w:tcBorders>
            <w:tcMar>
              <w:top w:w="0" w:type="dxa"/>
              <w:left w:w="62" w:type="dxa"/>
              <w:bottom w:w="0" w:type="dxa"/>
              <w:right w:w="62" w:type="dxa"/>
            </w:tcMar>
          </w:tcPr>
          <w:p w:rsidR="00000000" w:rsidRPr="006F7389" w:rsidP="006F7389">
            <w:pPr>
              <w:pStyle w:val="BodyText"/>
            </w:pPr>
            <w:r w:rsidRPr="006F7389">
              <w:t>Tax office enquiries and income tax audit requirements are met</w:t>
            </w:r>
          </w:p>
        </w:tc>
      </w:tr>
    </w:tbl>
    <w:p w:rsidR="00000000" w:rsidRPr="006F7389" w:rsidP="006F7389">
      <w:pPr>
        <w:pStyle w:val="BodyText"/>
      </w:pPr>
    </w:p>
    <w:p w:rsidR="00000000" w:rsidRPr="006F7389" w:rsidP="006F7389">
      <w:pPr>
        <w:pStyle w:val="AllowPageBreak"/>
      </w:pPr>
    </w:p>
    <w:p w:rsidR="00000000" w:rsidRPr="006F7389" w:rsidP="006F7389">
      <w:pPr>
        <w:pStyle w:val="Heading1"/>
      </w:pPr>
      <w:bookmarkStart w:id="9" w:name="O_317967"/>
      <w:bookmarkEnd w:id="9"/>
      <w:r w:rsidRPr="006F7389">
        <w:t>Required Skills and Knowledge</w:t>
      </w:r>
    </w:p>
    <w:tbl>
      <w:tblPr>
        <w:tblW w:w="0" w:type="auto"/>
        <w:tblLayout w:type="fixed"/>
        <w:tblCellMar>
          <w:left w:w="62" w:type="dxa"/>
          <w:right w:w="62" w:type="dxa"/>
        </w:tblCellMar>
        <w:tblLook w:val="0000"/>
      </w:tblPr>
      <w:tblGrid>
        <w:gridCol w:w="9000"/>
      </w:tblGrid>
      <w:tr w:rsidTr="00F82F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rPr>
                <w:rStyle w:val="SpecialBold"/>
              </w:rPr>
              <w:t>REQUIRED KNOWLEDGE</w:t>
            </w:r>
            <w:r w:rsidRPr="006F7389">
              <w:t>&amp;</w:t>
            </w:r>
            <w:r w:rsidRPr="006F7389">
              <w:rPr>
                <w:rStyle w:val="SpecialBold"/>
              </w:rPr>
              <w:t>SKILLS</w:t>
            </w:r>
          </w:p>
        </w:tc>
      </w:tr>
      <w:tr w:rsidTr="00F82F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F7389" w:rsidP="006F7389">
            <w:pPr>
              <w:pStyle w:val="BodyText"/>
            </w:pPr>
            <w:r w:rsidRPr="006F7389">
              <w:rPr>
                <w:rStyle w:val="SpecialBold"/>
              </w:rPr>
              <w:t>Knowledge requirements include</w:t>
            </w:r>
            <w:r w:rsidRPr="006F7389">
              <w:t xml:space="preserve">: </w:t>
            </w:r>
          </w:p>
          <w:p w:rsidR="00000000" w:rsidRPr="006F7389" w:rsidP="006F7389">
            <w:pPr>
              <w:pStyle w:val="BodyText"/>
            </w:pPr>
            <w:r w:rsidRPr="006F7389">
              <w:t xml:space="preserve">NOTE: As stipulated by the Tax Agents Registration Board, the taxation knowledge components only of this accounting unit of competency must be tested through written examination. All other components can be assessed as advised in the Assessment Guidelines </w:t>
            </w:r>
            <w:r w:rsidRPr="006F7389">
              <w:t>section of this Training Package.</w:t>
            </w:r>
          </w:p>
          <w:p w:rsidR="00000000" w:rsidRPr="006F7389" w:rsidP="006F7389">
            <w:pPr>
              <w:pStyle w:val="BodyText"/>
            </w:pPr>
            <w:r w:rsidRPr="006F7389">
              <w:t xml:space="preserve">income tax legislation </w:t>
            </w:r>
          </w:p>
          <w:p w:rsidR="00000000" w:rsidRPr="006F7389" w:rsidP="006F7389">
            <w:pPr>
              <w:pStyle w:val="BodyText"/>
            </w:pPr>
            <w:r w:rsidRPr="006F7389">
              <w:t>State and Federal Government taxes and charges</w:t>
            </w:r>
          </w:p>
          <w:p w:rsidR="00000000" w:rsidRPr="006F7389" w:rsidP="006F7389">
            <w:pPr>
              <w:pStyle w:val="BodyText"/>
            </w:pPr>
            <w:r w:rsidRPr="006F7389">
              <w:t>options, methods and practices for deductions, benefits and depreciation</w:t>
            </w:r>
          </w:p>
          <w:p w:rsidR="00000000" w:rsidP="006F7389">
            <w:pPr>
              <w:pStyle w:val="BodyText"/>
              <w:rPr>
                <w:lang w:val="en-NZ"/>
              </w:rPr>
            </w:pPr>
            <w:r w:rsidRPr="006F7389">
              <w:t xml:space="preserve">ethical considerations for the handling of returns (eg conflict of interests, </w:t>
            </w:r>
            <w:r w:rsidRPr="006F7389">
              <w:t xml:space="preserve">confidentiality, disclosure requirements) </w:t>
            </w:r>
          </w:p>
        </w:tc>
      </w:tr>
      <w:tr w:rsidTr="00F82F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F7389" w:rsidP="006F7389">
            <w:pPr>
              <w:pStyle w:val="BodyText"/>
            </w:pPr>
            <w:r w:rsidRPr="006F7389">
              <w:rPr>
                <w:rStyle w:val="SpecialBold"/>
              </w:rPr>
              <w:t>Skills requirements include</w:t>
            </w:r>
            <w:r w:rsidRPr="006F7389">
              <w:t xml:space="preserve">: </w:t>
            </w:r>
          </w:p>
          <w:p w:rsidR="00000000" w:rsidRPr="006F7389" w:rsidP="006F7389">
            <w:pPr>
              <w:pStyle w:val="BodyText"/>
            </w:pPr>
            <w:r w:rsidRPr="006F7389">
              <w:t>interpersonal skills and communication skills (eg liaising, listening, consulting)</w:t>
            </w:r>
          </w:p>
          <w:p w:rsidR="00000000" w:rsidRPr="006F7389" w:rsidP="006F7389">
            <w:pPr>
              <w:pStyle w:val="BodyText"/>
            </w:pPr>
            <w:r w:rsidRPr="006F7389">
              <w:t>working with individuals and appropriate authorities to resolve discrepancies, unusual features and</w:t>
            </w:r>
            <w:r w:rsidRPr="006F7389">
              <w:t xml:space="preserve"> queries</w:t>
            </w:r>
          </w:p>
          <w:p w:rsidR="00000000" w:rsidRPr="006F7389" w:rsidP="006F7389">
            <w:pPr>
              <w:pStyle w:val="BodyText"/>
            </w:pPr>
            <w:r w:rsidRPr="006F7389">
              <w:t>report writing and document preparation</w:t>
            </w:r>
          </w:p>
          <w:p w:rsidR="00000000" w:rsidRPr="006F7389" w:rsidP="006F7389">
            <w:pPr>
              <w:pStyle w:val="BodyText"/>
            </w:pPr>
            <w:r w:rsidRPr="006F7389">
              <w:t>recording, gathering and consolidating financial information</w:t>
            </w:r>
          </w:p>
          <w:p w:rsidR="00000000" w:rsidRPr="006F7389" w:rsidP="006F7389">
            <w:pPr>
              <w:pStyle w:val="BodyText"/>
            </w:pPr>
            <w:r w:rsidRPr="006F7389">
              <w:t>researching and identifying legislation and rulings applicable to income taxation</w:t>
            </w:r>
          </w:p>
          <w:p w:rsidR="00000000" w:rsidRPr="006F7389" w:rsidP="006F7389">
            <w:pPr>
              <w:pStyle w:val="BodyText"/>
            </w:pPr>
            <w:r w:rsidRPr="006F7389">
              <w:t>information technology use for the set up and analysis of spread</w:t>
            </w:r>
            <w:r w:rsidRPr="006F7389">
              <w:t>sheets</w:t>
            </w:r>
          </w:p>
          <w:p w:rsidR="00000000" w:rsidRPr="006F7389" w:rsidP="006F7389">
            <w:pPr>
              <w:pStyle w:val="BodyText"/>
            </w:pPr>
            <w:r w:rsidRPr="006F7389">
              <w:t xml:space="preserve">planning skills for timetabling and scheduling reports and lodgements </w:t>
            </w:r>
          </w:p>
        </w:tc>
      </w:tr>
    </w:tbl>
    <w:p w:rsidR="00000000" w:rsidRPr="006F7389" w:rsidP="006F7389">
      <w:pPr>
        <w:pStyle w:val="BodyText"/>
      </w:pPr>
    </w:p>
    <w:p w:rsidR="00000000" w:rsidRPr="006F7389" w:rsidP="006F7389">
      <w:pPr>
        <w:pStyle w:val="AllowPageBreak"/>
      </w:pPr>
    </w:p>
    <w:p w:rsidR="00000000" w:rsidRPr="006F7389" w:rsidP="006F7389">
      <w:pPr>
        <w:pStyle w:val="Heading1"/>
      </w:pPr>
      <w:bookmarkStart w:id="10" w:name="O_317955"/>
      <w:bookmarkEnd w:id="10"/>
      <w:r w:rsidRPr="006F7389">
        <w:t>Evidence Guide</w:t>
      </w:r>
    </w:p>
    <w:tbl>
      <w:tblPr>
        <w:tblW w:w="0" w:type="auto"/>
        <w:tblLayout w:type="fixed"/>
        <w:tblCellMar>
          <w:left w:w="62" w:type="dxa"/>
          <w:right w:w="62" w:type="dxa"/>
        </w:tblCellMar>
        <w:tblLook w:val="0000"/>
      </w:tblPr>
      <w:tblGrid>
        <w:gridCol w:w="4500"/>
        <w:gridCol w:w="4500"/>
      </w:tblGrid>
      <w:tr w:rsidTr="00F82FE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rPr>
                <w:rStyle w:val="SpecialBold"/>
              </w:rPr>
              <w:t xml:space="preserve"> EVIDENCE GUIDE</w:t>
            </w:r>
          </w:p>
        </w:tc>
      </w:tr>
      <w:tr w:rsidTr="00F82FE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Assessment of performance requirements in the unit should be undertaken in an industry context. The Evidence Guide identifies the critical aspects, knowledge and skills to be demonstrated to confirm competency for the unit. Competency is demonstrated by pe</w:t>
            </w:r>
            <w:r w:rsidRPr="006F7389">
              <w:t xml:space="preserve">rformance of all stated criteria including the Range Statement applicable to the workplace. </w:t>
            </w:r>
          </w:p>
        </w:tc>
      </w:tr>
      <w:tr w:rsidTr="00F82FE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rPr>
                <w:rStyle w:val="SpecialBold"/>
              </w:rPr>
              <w:t>Overview of assessment requirements</w:t>
            </w:r>
          </w:p>
        </w:tc>
      </w:tr>
      <w:tr w:rsidTr="00F82FE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F7389" w:rsidP="006F7389">
            <w:pPr>
              <w:pStyle w:val="BodyText"/>
            </w:pPr>
            <w:r w:rsidRPr="006F7389">
              <w:t xml:space="preserve">To achieve competency in this unit, a person must be able to demonstrate: </w:t>
            </w:r>
          </w:p>
          <w:p w:rsidR="00000000" w:rsidRPr="006F7389" w:rsidP="006F7389">
            <w:pPr>
              <w:pStyle w:val="BodyText"/>
            </w:pPr>
            <w:r w:rsidRPr="006F7389">
              <w:t xml:space="preserve">knowledge of statutory requirements </w:t>
            </w:r>
          </w:p>
          <w:p w:rsidR="00000000" w:rsidRPr="006F7389" w:rsidP="006F7389">
            <w:pPr>
              <w:pStyle w:val="BodyText"/>
            </w:pPr>
            <w:r w:rsidRPr="006F7389">
              <w:t>knowledge o</w:t>
            </w:r>
            <w:r w:rsidRPr="006F7389">
              <w:t xml:space="preserve">f state and territory taxes and charges </w:t>
            </w:r>
          </w:p>
          <w:p w:rsidR="00000000" w:rsidRPr="006F7389" w:rsidP="006F7389">
            <w:pPr>
              <w:pStyle w:val="BodyText"/>
            </w:pPr>
            <w:r w:rsidRPr="006F7389">
              <w:t xml:space="preserve">knowledge of organisational policies and procedures </w:t>
            </w:r>
          </w:p>
          <w:p w:rsidR="00000000" w:rsidRPr="006F7389" w:rsidP="006F7389">
            <w:pPr>
              <w:pStyle w:val="BodyText"/>
            </w:pPr>
            <w:r w:rsidRPr="006F7389">
              <w:t xml:space="preserve">knowledge of accounting principles and practices  </w:t>
            </w:r>
          </w:p>
          <w:p w:rsidR="00000000" w:rsidRPr="006F7389" w:rsidP="006F7389">
            <w:pPr>
              <w:pStyle w:val="BodyText"/>
            </w:pPr>
            <w:r w:rsidRPr="006F7389">
              <w:t>ability to gather and verify data</w:t>
            </w:r>
          </w:p>
          <w:p w:rsidR="00000000" w:rsidRPr="006F7389" w:rsidP="006F7389">
            <w:pPr>
              <w:pStyle w:val="BodyText"/>
            </w:pPr>
            <w:r w:rsidRPr="006F7389">
              <w:t>ability to calculate taxable income</w:t>
            </w:r>
          </w:p>
          <w:p w:rsidR="00000000" w:rsidRPr="006F7389" w:rsidP="006F7389">
            <w:pPr>
              <w:pStyle w:val="BodyText"/>
            </w:pPr>
            <w:r w:rsidRPr="006F7389">
              <w:t xml:space="preserve">ability to review compliance </w:t>
            </w:r>
          </w:p>
          <w:p w:rsidR="00000000" w:rsidP="006F7389">
            <w:pPr>
              <w:pStyle w:val="BodyText"/>
              <w:rPr>
                <w:lang w:val="en-NZ"/>
              </w:rPr>
            </w:pPr>
            <w:r w:rsidRPr="006F7389">
              <w:t>knowledge o</w:t>
            </w:r>
            <w:r w:rsidRPr="006F7389">
              <w:t xml:space="preserve">f relevant taxation legislation   </w:t>
            </w:r>
          </w:p>
        </w:tc>
      </w:tr>
      <w:tr w:rsidTr="00F82FE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rPr>
                <w:rStyle w:val="SpecialBold"/>
              </w:rPr>
              <w:t>Critical aspects of evidence</w:t>
            </w:r>
          </w:p>
        </w:tc>
      </w:tr>
      <w:tr w:rsidTr="00F82F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rPr>
                <w:rStyle w:val="SpecialBold"/>
              </w:rPr>
              <w:t>Evidence required for demonstration of consistent performance</w:t>
            </w:r>
            <w:r w:rsidRPr="006F7389">
              <w:t xml:space="preserve">: </w:t>
            </w:r>
          </w:p>
        </w:tc>
        <w:tc>
          <w:tcPr>
            <w:tcW w:w="45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t xml:space="preserve">Competence in this unit must be assessed over a period of time in order to ensure consistency of performance over the Range Statement and contexts applicable to the work environment. </w:t>
            </w:r>
          </w:p>
        </w:tc>
      </w:tr>
      <w:tr w:rsidTr="00F82F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rPr>
                <w:rStyle w:val="SpecialBold"/>
              </w:rPr>
              <w:t>Delivery</w:t>
            </w:r>
            <w:r w:rsidRPr="006F7389">
              <w:t>/</w:t>
            </w:r>
            <w:r w:rsidRPr="006F7389">
              <w:rPr>
                <w:rStyle w:val="SpecialBold"/>
              </w:rPr>
              <w:t>assessment relationship to other units</w:t>
            </w:r>
            <w:r w:rsidRPr="006F7389">
              <w:t xml:space="preserve">: </w:t>
            </w:r>
          </w:p>
        </w:tc>
        <w:tc>
          <w:tcPr>
            <w:tcW w:w="4500" w:type="dxa"/>
            <w:tcBorders>
              <w:top w:val="nil"/>
              <w:left w:val="nil"/>
              <w:bottom w:val="nil"/>
              <w:right w:val="nil"/>
            </w:tcBorders>
            <w:tcMar>
              <w:top w:w="0" w:type="dxa"/>
              <w:left w:w="62" w:type="dxa"/>
              <w:bottom w:w="0" w:type="dxa"/>
              <w:right w:w="62" w:type="dxa"/>
            </w:tcMar>
          </w:tcPr>
          <w:p w:rsidR="00000000" w:rsidRPr="006F7389" w:rsidP="006F7389">
            <w:pPr>
              <w:pStyle w:val="BodyText"/>
            </w:pPr>
            <w:r w:rsidRPr="006F7389">
              <w:t>This unit may be asse</w:t>
            </w:r>
            <w:r w:rsidRPr="006F7389">
              <w:t>ssed on its own or it may be assessed with other units that cover related skills and knowledge.</w:t>
            </w:r>
          </w:p>
          <w:p w:rsidR="00000000" w:rsidP="006F7389">
            <w:pPr>
              <w:pStyle w:val="BodyText"/>
              <w:rPr>
                <w:lang w:val="en-NZ"/>
              </w:rPr>
            </w:pPr>
            <w:r w:rsidRPr="006F7389">
              <w:t>Evidence is most relevant when provided through an integrated activity, which combines the elements of competency for the unit, or a cluster of units of compete</w:t>
            </w:r>
            <w:r w:rsidRPr="006F7389">
              <w:t xml:space="preserve">ncy. </w:t>
            </w:r>
          </w:p>
        </w:tc>
      </w:tr>
      <w:tr w:rsidTr="00F82FE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rPr>
                <w:rStyle w:val="SpecialBold"/>
              </w:rPr>
              <w:t>Assessment requirements</w:t>
            </w:r>
          </w:p>
        </w:tc>
      </w:tr>
      <w:tr w:rsidTr="00F82F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rPr>
                <w:rStyle w:val="SpecialBold"/>
              </w:rPr>
              <w:t>Method of assessment</w:t>
            </w:r>
            <w:r w:rsidRPr="006F7389">
              <w:t xml:space="preserve">: </w:t>
            </w:r>
          </w:p>
        </w:tc>
        <w:tc>
          <w:tcPr>
            <w:tcW w:w="4500" w:type="dxa"/>
            <w:tcBorders>
              <w:top w:val="nil"/>
              <w:left w:val="nil"/>
              <w:bottom w:val="nil"/>
              <w:right w:val="nil"/>
            </w:tcBorders>
            <w:tcMar>
              <w:top w:w="0" w:type="dxa"/>
              <w:left w:w="62" w:type="dxa"/>
              <w:bottom w:w="0" w:type="dxa"/>
              <w:right w:w="62" w:type="dxa"/>
            </w:tcMar>
          </w:tcPr>
          <w:p w:rsidR="00000000" w:rsidRPr="006F7389" w:rsidP="006F7389">
            <w:pPr>
              <w:pStyle w:val="BodyText"/>
            </w:pPr>
            <w:r w:rsidRPr="006F7389">
              <w:t>For valid and reliable assessment of this unit, evidence should be gathered through a range of methods to indicate consistent performance.</w:t>
            </w:r>
          </w:p>
          <w:p w:rsidR="00000000" w:rsidRPr="006F7389" w:rsidP="006F7389">
            <w:pPr>
              <w:pStyle w:val="BodyText"/>
            </w:pPr>
            <w:r w:rsidRPr="006F7389">
              <w:t xml:space="preserve">Assessment of this unit of competence will </w:t>
            </w:r>
            <w:r w:rsidRPr="006F7389">
              <w:t>usually include ob</w:t>
            </w:r>
            <w:r w:rsidRPr="006F7389">
              <w:t>servation of processes and procedures, oral and/or written questioning on underpinning knowledge and skills and other methods as required.</w:t>
            </w:r>
          </w:p>
          <w:p w:rsidR="00000000" w:rsidP="006F7389">
            <w:pPr>
              <w:pStyle w:val="BodyText"/>
              <w:rPr>
                <w:lang w:val="en-NZ"/>
              </w:rPr>
            </w:pPr>
            <w:r w:rsidRPr="006F7389">
              <w:t>As stipulated by the Tax Agents Registration Board, the taxation knowledge components only of this accounting unit of</w:t>
            </w:r>
            <w:r w:rsidRPr="006F7389">
              <w:t xml:space="preserve"> competency must be tested through written examination. </w:t>
            </w:r>
          </w:p>
        </w:tc>
      </w:tr>
      <w:tr w:rsidTr="00F82F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rPr>
                <w:rStyle w:val="SpecialBold"/>
              </w:rPr>
              <w:t>Context of assessment</w:t>
            </w:r>
            <w:r w:rsidRPr="006F7389">
              <w:t xml:space="preserve">: </w:t>
            </w:r>
          </w:p>
        </w:tc>
        <w:tc>
          <w:tcPr>
            <w:tcW w:w="4500" w:type="dxa"/>
            <w:tcBorders>
              <w:top w:val="nil"/>
              <w:left w:val="nil"/>
              <w:bottom w:val="nil"/>
              <w:right w:val="nil"/>
            </w:tcBorders>
            <w:tcMar>
              <w:top w:w="0" w:type="dxa"/>
              <w:left w:w="62" w:type="dxa"/>
              <w:bottom w:w="0" w:type="dxa"/>
              <w:right w:w="62" w:type="dxa"/>
            </w:tcMar>
          </w:tcPr>
          <w:p w:rsidR="00000000" w:rsidRPr="006F7389" w:rsidP="006F7389">
            <w:pPr>
              <w:pStyle w:val="BodyText"/>
            </w:pPr>
            <w:r w:rsidRPr="006F7389">
              <w:t>Assessment of performance requirements in this unit should be undertaken within the financial services industry context and should cover aspects of personal/financial respons</w:t>
            </w:r>
            <w:r w:rsidRPr="006F7389">
              <w:t xml:space="preserve">ibility and accountability. </w:t>
            </w:r>
          </w:p>
          <w:p w:rsidR="00000000" w:rsidP="006F7389">
            <w:pPr>
              <w:pStyle w:val="BodyText"/>
              <w:rPr>
                <w:lang w:val="en-NZ"/>
              </w:rPr>
            </w:pPr>
            <w:r w:rsidRPr="006F7389">
              <w:t>Aspects of competency, including the attainment of relevant knowledge and skills, may be assessed in a relevant workplace, a closely simulated work environment, or other appropriate means that clearly meet industry competency r</w:t>
            </w:r>
            <w:r w:rsidRPr="006F7389">
              <w:t xml:space="preserve">equirements. </w:t>
            </w:r>
          </w:p>
        </w:tc>
      </w:tr>
      <w:tr w:rsidTr="00F82F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rPr>
                <w:rStyle w:val="SpecialBold"/>
              </w:rPr>
              <w:t>Resources required for assessment</w:t>
            </w:r>
            <w:r w:rsidRPr="006F7389">
              <w:t xml:space="preserve">: </w:t>
            </w:r>
          </w:p>
        </w:tc>
        <w:tc>
          <w:tcPr>
            <w:tcW w:w="4500" w:type="dxa"/>
            <w:tcBorders>
              <w:top w:val="nil"/>
              <w:left w:val="nil"/>
              <w:bottom w:val="nil"/>
              <w:right w:val="nil"/>
            </w:tcBorders>
            <w:tcMar>
              <w:top w:w="0" w:type="dxa"/>
              <w:left w:w="62" w:type="dxa"/>
              <w:bottom w:w="0" w:type="dxa"/>
              <w:right w:w="62" w:type="dxa"/>
            </w:tcMar>
          </w:tcPr>
          <w:p w:rsidR="00000000" w:rsidRPr="006F7389" w:rsidP="006F7389">
            <w:pPr>
              <w:pStyle w:val="BodyText"/>
            </w:pPr>
            <w:r w:rsidRPr="006F7389">
              <w:t>Assessment of this unit of competence requires access to suitable resources to demonstrate competence.</w:t>
            </w:r>
          </w:p>
          <w:p w:rsidR="00000000" w:rsidRPr="006F7389" w:rsidP="006F7389">
            <w:pPr>
              <w:pStyle w:val="BodyText"/>
            </w:pPr>
            <w:r w:rsidRPr="006F7389">
              <w:t>Assessment instruments, including personal planner and assessment record book.</w:t>
            </w:r>
          </w:p>
          <w:p w:rsidR="00000000" w:rsidRPr="006F7389" w:rsidP="006F7389">
            <w:pPr>
              <w:pStyle w:val="BodyText"/>
            </w:pPr>
            <w:r w:rsidRPr="006F7389">
              <w:t xml:space="preserve">Access to registered provider of assessment services. </w:t>
            </w:r>
          </w:p>
        </w:tc>
      </w:tr>
    </w:tbl>
    <w:p w:rsidR="00000000" w:rsidRPr="006F7389" w:rsidP="006F7389">
      <w:pPr>
        <w:pStyle w:val="BodyText"/>
      </w:pPr>
    </w:p>
    <w:p w:rsidR="00000000" w:rsidRPr="006F7389" w:rsidP="006F7389">
      <w:pPr>
        <w:pStyle w:val="AllowPageBreak"/>
      </w:pPr>
    </w:p>
    <w:p w:rsidR="00000000" w:rsidRPr="006F7389" w:rsidP="006F7389">
      <w:pPr>
        <w:pStyle w:val="Heading1"/>
      </w:pPr>
      <w:bookmarkStart w:id="11" w:name="O_317958"/>
      <w:bookmarkEnd w:id="11"/>
      <w:r w:rsidRPr="006F7389">
        <w:t>Range Statement</w:t>
      </w:r>
    </w:p>
    <w:tbl>
      <w:tblPr>
        <w:tblW w:w="0" w:type="auto"/>
        <w:tblLayout w:type="fixed"/>
        <w:tblCellMar>
          <w:left w:w="62" w:type="dxa"/>
          <w:right w:w="62" w:type="dxa"/>
        </w:tblCellMar>
        <w:tblLook w:val="0000"/>
      </w:tblPr>
      <w:tblGrid>
        <w:gridCol w:w="4500"/>
        <w:gridCol w:w="4500"/>
      </w:tblGrid>
      <w:tr w:rsidTr="00F82FE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F7389">
            <w:pPr>
              <w:pStyle w:val="BodyText"/>
              <w:rPr>
                <w:lang w:val="en-NZ"/>
              </w:rPr>
            </w:pPr>
          </w:p>
        </w:tc>
      </w:tr>
      <w:tr w:rsidTr="00F82FE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F7389" w:rsidP="006F7389">
            <w:pPr>
              <w:pStyle w:val="BodyText"/>
            </w:pPr>
            <w:r w:rsidRPr="006F7389">
              <w:t>The Range Statement relates to the unit of competency as a whole. It allows for different work environments and situations that will affect performance.</w:t>
            </w:r>
          </w:p>
          <w:p w:rsidR="00000000" w:rsidP="006F7389">
            <w:pPr>
              <w:pStyle w:val="BodyText"/>
              <w:rPr>
                <w:lang w:val="en-NZ"/>
              </w:rPr>
            </w:pPr>
            <w:r w:rsidRPr="006F7389">
              <w:t xml:space="preserve">The following variables may be present with training and assessment depending on the work situation, needs of the candidate, accessibility of the item, and local industry and regional contexts. If </w:t>
            </w:r>
            <w:r w:rsidRPr="006F7389">
              <w:rPr>
                <w:rStyle w:val="SpecialBold"/>
              </w:rPr>
              <w:t>bold italicised</w:t>
            </w:r>
            <w:r w:rsidRPr="006F7389">
              <w:t xml:space="preserve"> text is shown in Performance Criteria, deta</w:t>
            </w:r>
            <w:r w:rsidRPr="006F7389">
              <w:t xml:space="preserve">ils of the text are provided in the Range Statement. </w:t>
            </w:r>
          </w:p>
        </w:tc>
      </w:tr>
      <w:tr w:rsidTr="00F82F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rPr>
                <w:rStyle w:val="SpecialBold"/>
              </w:rPr>
              <w:t>Business policies and procedures</w:t>
            </w:r>
            <w:r w:rsidRPr="006F7389">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F7389" w:rsidP="006F7389">
            <w:pPr>
              <w:pStyle w:val="BodyText"/>
            </w:pPr>
            <w:r w:rsidRPr="006F7389">
              <w:t>reporting requirements</w:t>
            </w:r>
          </w:p>
          <w:p w:rsidR="00000000" w:rsidRPr="006F7389" w:rsidP="006F7389">
            <w:pPr>
              <w:pStyle w:val="BodyText"/>
            </w:pPr>
            <w:r w:rsidRPr="006F7389">
              <w:t>financial analysis assessments</w:t>
            </w:r>
          </w:p>
          <w:p w:rsidR="00000000" w:rsidRPr="006F7389" w:rsidP="006F7389">
            <w:pPr>
              <w:pStyle w:val="BodyText"/>
            </w:pPr>
            <w:r w:rsidRPr="006F7389">
              <w:t>electronic data entry</w:t>
            </w:r>
          </w:p>
          <w:p w:rsidR="00000000" w:rsidRPr="006F7389" w:rsidP="006F7389">
            <w:pPr>
              <w:pStyle w:val="BodyText"/>
            </w:pPr>
            <w:r w:rsidRPr="006F7389">
              <w:t>recording and filing systems</w:t>
            </w:r>
          </w:p>
          <w:p w:rsidR="00000000" w:rsidRPr="006F7389" w:rsidP="006F7389">
            <w:pPr>
              <w:pStyle w:val="BodyText"/>
            </w:pPr>
            <w:r w:rsidRPr="006F7389">
              <w:t>standard financial analysis techniques</w:t>
            </w:r>
          </w:p>
          <w:p w:rsidR="00000000" w:rsidP="006F7389">
            <w:pPr>
              <w:pStyle w:val="BodyText"/>
              <w:rPr>
                <w:lang w:val="en-NZ"/>
              </w:rPr>
            </w:pPr>
            <w:r w:rsidRPr="006F7389">
              <w:t xml:space="preserve">financial management manuals </w:t>
            </w:r>
          </w:p>
        </w:tc>
      </w:tr>
      <w:tr w:rsidTr="00F82F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rPr>
                <w:rStyle w:val="SpecialBold"/>
              </w:rPr>
              <w:t>Discrepancies</w:t>
            </w:r>
            <w:r w:rsidRPr="006F7389">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6F7389" w:rsidP="006F7389">
            <w:pPr>
              <w:pStyle w:val="BodyText"/>
            </w:pPr>
            <w:r w:rsidRPr="006F7389">
              <w:t>expenditure report mismatches</w:t>
            </w:r>
          </w:p>
          <w:p w:rsidR="00000000" w:rsidRPr="006F7389" w:rsidP="006F7389">
            <w:pPr>
              <w:pStyle w:val="BodyText"/>
            </w:pPr>
            <w:r w:rsidRPr="006F7389">
              <w:t>incorrect payments</w:t>
            </w:r>
          </w:p>
          <w:p w:rsidR="00000000" w:rsidRPr="006F7389" w:rsidP="006F7389">
            <w:pPr>
              <w:pStyle w:val="BodyText"/>
            </w:pPr>
            <w:r w:rsidRPr="006F7389">
              <w:t>absence of auditable trail</w:t>
            </w:r>
          </w:p>
          <w:p w:rsidR="00000000" w:rsidRPr="006F7389" w:rsidP="006F7389">
            <w:pPr>
              <w:pStyle w:val="BodyText"/>
            </w:pPr>
            <w:r w:rsidRPr="006F7389">
              <w:t>inappropriate authorisations</w:t>
            </w:r>
          </w:p>
          <w:p w:rsidR="00000000" w:rsidRPr="006F7389" w:rsidP="006F7389">
            <w:pPr>
              <w:pStyle w:val="BodyText"/>
            </w:pPr>
            <w:r w:rsidRPr="006F7389">
              <w:t xml:space="preserve">variances from budget </w:t>
            </w:r>
          </w:p>
          <w:p w:rsidR="00000000" w:rsidP="006F7389">
            <w:pPr>
              <w:pStyle w:val="BodyText"/>
              <w:rPr>
                <w:lang w:val="en-NZ"/>
              </w:rPr>
            </w:pPr>
            <w:r w:rsidRPr="006F7389">
              <w:t xml:space="preserve">incorrect report formats </w:t>
            </w:r>
          </w:p>
        </w:tc>
      </w:tr>
      <w:tr w:rsidTr="00F82F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rPr>
                <w:rStyle w:val="SpecialBold"/>
              </w:rPr>
              <w:t>Asset and liabilities</w:t>
            </w:r>
            <w:r w:rsidRPr="006F7389">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F7389" w:rsidP="006F7389">
            <w:pPr>
              <w:pStyle w:val="BodyText"/>
            </w:pPr>
            <w:r w:rsidRPr="006F7389">
              <w:t>property investments</w:t>
            </w:r>
          </w:p>
          <w:p w:rsidR="00000000" w:rsidRPr="006F7389" w:rsidP="006F7389">
            <w:pPr>
              <w:pStyle w:val="BodyText"/>
            </w:pPr>
            <w:r w:rsidRPr="006F7389">
              <w:t>shares, bonds, securities</w:t>
            </w:r>
          </w:p>
          <w:p w:rsidR="00000000" w:rsidRPr="006F7389" w:rsidP="006F7389">
            <w:pPr>
              <w:pStyle w:val="BodyText"/>
            </w:pPr>
            <w:r w:rsidRPr="006F7389">
              <w:t>loans, leases, debts</w:t>
            </w:r>
          </w:p>
          <w:p w:rsidR="00000000" w:rsidRPr="006F7389" w:rsidP="006F7389">
            <w:pPr>
              <w:pStyle w:val="BodyText"/>
            </w:pPr>
            <w:r w:rsidRPr="006F7389">
              <w:t>plant and equipment</w:t>
            </w:r>
          </w:p>
          <w:p w:rsidR="00000000" w:rsidP="006F7389">
            <w:pPr>
              <w:pStyle w:val="BodyText"/>
              <w:rPr>
                <w:lang w:val="en-NZ"/>
              </w:rPr>
            </w:pPr>
            <w:r w:rsidRPr="006F7389">
              <w:t xml:space="preserve">cash </w:t>
            </w:r>
          </w:p>
        </w:tc>
      </w:tr>
      <w:tr w:rsidTr="00F82F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rPr>
                <w:rStyle w:val="SpecialBold"/>
              </w:rPr>
              <w:t>Taxmay include</w:t>
            </w:r>
            <w:r w:rsidRPr="006F7389">
              <w:t xml:space="preserve">: </w:t>
            </w:r>
          </w:p>
        </w:tc>
        <w:tc>
          <w:tcPr>
            <w:tcW w:w="4500" w:type="dxa"/>
            <w:tcBorders>
              <w:top w:val="nil"/>
              <w:left w:val="nil"/>
              <w:bottom w:val="nil"/>
              <w:right w:val="nil"/>
            </w:tcBorders>
            <w:tcMar>
              <w:top w:w="0" w:type="dxa"/>
              <w:left w:w="62" w:type="dxa"/>
              <w:bottom w:w="0" w:type="dxa"/>
              <w:right w:w="62" w:type="dxa"/>
            </w:tcMar>
          </w:tcPr>
          <w:p w:rsidR="00000000" w:rsidRPr="006F7389" w:rsidP="006F7389">
            <w:pPr>
              <w:pStyle w:val="BodyText"/>
            </w:pPr>
            <w:r w:rsidRPr="006F7389">
              <w:t>Capital Gains Tax (CGT)</w:t>
            </w:r>
          </w:p>
          <w:p w:rsidR="00000000" w:rsidRPr="006F7389" w:rsidP="006F7389">
            <w:pPr>
              <w:pStyle w:val="BodyText"/>
            </w:pPr>
            <w:r w:rsidRPr="006F7389">
              <w:t>individual income tax</w:t>
            </w:r>
          </w:p>
          <w:p w:rsidR="00000000" w:rsidP="006F7389">
            <w:pPr>
              <w:pStyle w:val="BodyText"/>
              <w:rPr>
                <w:lang w:val="en-NZ"/>
              </w:rPr>
            </w:pPr>
            <w:r w:rsidRPr="006F7389">
              <w:t xml:space="preserve">partnership </w:t>
            </w:r>
          </w:p>
        </w:tc>
      </w:tr>
      <w:tr w:rsidTr="00F82F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rPr>
                <w:rStyle w:val="SpecialBold"/>
              </w:rPr>
              <w:t>Revenue gathering practices</w:t>
            </w:r>
            <w:r w:rsidRPr="006F7389">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F7389" w:rsidP="006F7389">
            <w:pPr>
              <w:pStyle w:val="BodyText"/>
            </w:pPr>
            <w:r w:rsidRPr="006F7389">
              <w:t>sales</w:t>
            </w:r>
          </w:p>
          <w:p w:rsidR="00000000" w:rsidRPr="006F7389" w:rsidP="006F7389">
            <w:pPr>
              <w:pStyle w:val="BodyText"/>
            </w:pPr>
            <w:r w:rsidRPr="006F7389">
              <w:t>leasing</w:t>
            </w:r>
          </w:p>
          <w:p w:rsidR="00000000" w:rsidRPr="006F7389" w:rsidP="006F7389">
            <w:pPr>
              <w:pStyle w:val="BodyText"/>
            </w:pPr>
            <w:r w:rsidRPr="006F7389">
              <w:t>investments</w:t>
            </w:r>
          </w:p>
          <w:p w:rsidR="00000000" w:rsidRPr="006F7389" w:rsidP="006F7389">
            <w:pPr>
              <w:pStyle w:val="BodyText"/>
            </w:pPr>
            <w:r w:rsidRPr="006F7389">
              <w:t>billing schedule</w:t>
            </w:r>
            <w:r w:rsidRPr="006F7389">
              <w:t>s</w:t>
            </w:r>
          </w:p>
          <w:p w:rsidR="00000000" w:rsidRPr="006F7389" w:rsidP="006F7389">
            <w:pPr>
              <w:pStyle w:val="BodyText"/>
            </w:pPr>
            <w:r w:rsidRPr="006F7389">
              <w:t>lending and financing</w:t>
            </w:r>
          </w:p>
          <w:p w:rsidR="00000000" w:rsidP="006F7389">
            <w:pPr>
              <w:pStyle w:val="BodyText"/>
              <w:rPr>
                <w:lang w:val="en-NZ"/>
              </w:rPr>
            </w:pPr>
            <w:r w:rsidRPr="006F7389">
              <w:t xml:space="preserve">fees and charges </w:t>
            </w:r>
          </w:p>
        </w:tc>
      </w:tr>
      <w:tr w:rsidTr="00F82F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rPr>
                <w:rStyle w:val="SpecialBold"/>
              </w:rPr>
              <w:t>Source documentation</w:t>
            </w:r>
            <w:r w:rsidRPr="006F7389">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F7389" w:rsidP="006F7389">
            <w:pPr>
              <w:pStyle w:val="BodyText"/>
            </w:pPr>
            <w:r w:rsidRPr="006F7389">
              <w:t>order and supplier documentation</w:t>
            </w:r>
          </w:p>
          <w:p w:rsidR="00000000" w:rsidRPr="006F7389" w:rsidP="006F7389">
            <w:pPr>
              <w:pStyle w:val="BodyText"/>
            </w:pPr>
            <w:r w:rsidRPr="006F7389">
              <w:t>financial institution statements</w:t>
            </w:r>
          </w:p>
          <w:p w:rsidR="00000000" w:rsidRPr="006F7389" w:rsidP="006F7389">
            <w:pPr>
              <w:pStyle w:val="BodyText"/>
            </w:pPr>
            <w:r w:rsidRPr="006F7389">
              <w:t>taxation and statutory returns</w:t>
            </w:r>
          </w:p>
          <w:p w:rsidR="00000000" w:rsidRPr="006F7389" w:rsidP="006F7389">
            <w:pPr>
              <w:pStyle w:val="BodyText"/>
            </w:pPr>
            <w:r w:rsidRPr="006F7389">
              <w:t>vehicle log books</w:t>
            </w:r>
          </w:p>
          <w:p w:rsidR="00000000" w:rsidRPr="006F7389" w:rsidP="006F7389">
            <w:pPr>
              <w:pStyle w:val="BodyText"/>
            </w:pPr>
            <w:r w:rsidRPr="006F7389">
              <w:t>statutory declarations</w:t>
            </w:r>
          </w:p>
          <w:p w:rsidR="00000000" w:rsidRPr="006F7389" w:rsidP="006F7389">
            <w:pPr>
              <w:pStyle w:val="BodyText"/>
            </w:pPr>
            <w:r w:rsidRPr="006F7389">
              <w:t>invoices</w:t>
            </w:r>
          </w:p>
          <w:p w:rsidR="00000000" w:rsidP="006F7389">
            <w:pPr>
              <w:pStyle w:val="BodyText"/>
              <w:rPr>
                <w:lang w:val="en-NZ"/>
              </w:rPr>
            </w:pPr>
            <w:r w:rsidRPr="006F7389">
              <w:t xml:space="preserve">receipts </w:t>
            </w:r>
          </w:p>
        </w:tc>
      </w:tr>
      <w:tr w:rsidTr="00F82F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rPr>
                <w:rStyle w:val="SpecialBold"/>
              </w:rPr>
              <w:t>Revenue documentation</w:t>
            </w:r>
            <w:r w:rsidRPr="006F7389">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F7389" w:rsidP="006F7389">
            <w:pPr>
              <w:pStyle w:val="BodyText"/>
            </w:pPr>
            <w:r w:rsidRPr="006F7389">
              <w:t>invoices</w:t>
            </w:r>
          </w:p>
          <w:p w:rsidR="00000000" w:rsidRPr="006F7389" w:rsidP="006F7389">
            <w:pPr>
              <w:pStyle w:val="BodyText"/>
            </w:pPr>
            <w:r w:rsidRPr="006F7389">
              <w:t>declarations</w:t>
            </w:r>
          </w:p>
          <w:p w:rsidR="00000000" w:rsidRPr="006F7389" w:rsidP="006F7389">
            <w:pPr>
              <w:pStyle w:val="BodyText"/>
            </w:pPr>
            <w:r w:rsidRPr="006F7389">
              <w:t>bills</w:t>
            </w:r>
          </w:p>
          <w:p w:rsidR="00000000" w:rsidRPr="006F7389" w:rsidP="006F7389">
            <w:pPr>
              <w:pStyle w:val="BodyText"/>
            </w:pPr>
            <w:r w:rsidRPr="006F7389">
              <w:t>sales proceeds</w:t>
            </w:r>
          </w:p>
          <w:p w:rsidR="00000000" w:rsidRPr="006F7389" w:rsidP="006F7389">
            <w:pPr>
              <w:pStyle w:val="BodyText"/>
            </w:pPr>
            <w:r w:rsidRPr="006F7389">
              <w:t>cash received</w:t>
            </w:r>
          </w:p>
          <w:p w:rsidR="00000000" w:rsidP="006F7389">
            <w:pPr>
              <w:pStyle w:val="BodyText"/>
              <w:rPr>
                <w:lang w:val="en-NZ"/>
              </w:rPr>
            </w:pPr>
            <w:r w:rsidRPr="006F7389">
              <w:t xml:space="preserve">debit notes </w:t>
            </w:r>
          </w:p>
        </w:tc>
      </w:tr>
      <w:tr w:rsidTr="00F82F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rPr>
                <w:rStyle w:val="SpecialBold"/>
              </w:rPr>
              <w:t>Returns and statements</w:t>
            </w:r>
            <w:r w:rsidRPr="006F7389">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F7389" w:rsidP="006F7389">
            <w:pPr>
              <w:pStyle w:val="BodyText"/>
            </w:pPr>
            <w:r w:rsidRPr="006F7389">
              <w:t>financial statements</w:t>
            </w:r>
          </w:p>
          <w:p w:rsidR="00000000" w:rsidRPr="006F7389" w:rsidP="006F7389">
            <w:pPr>
              <w:pStyle w:val="BodyText"/>
            </w:pPr>
            <w:r w:rsidRPr="006F7389">
              <w:t>financial institution statements</w:t>
            </w:r>
          </w:p>
          <w:p w:rsidR="00000000" w:rsidRPr="006F7389" w:rsidP="006F7389">
            <w:pPr>
              <w:pStyle w:val="BodyText"/>
            </w:pPr>
            <w:r w:rsidRPr="006F7389">
              <w:t>asset usage reports</w:t>
            </w:r>
          </w:p>
          <w:p w:rsidR="00000000" w:rsidRPr="006F7389" w:rsidP="006F7389">
            <w:pPr>
              <w:pStyle w:val="BodyText"/>
            </w:pPr>
            <w:r w:rsidRPr="006F7389">
              <w:t>taxation declarations</w:t>
            </w:r>
          </w:p>
          <w:p w:rsidR="00000000" w:rsidP="006F7389">
            <w:pPr>
              <w:pStyle w:val="BodyText"/>
              <w:rPr>
                <w:lang w:val="en-NZ"/>
              </w:rPr>
            </w:pPr>
            <w:r w:rsidRPr="006F7389">
              <w:t xml:space="preserve">inventory usage </w:t>
            </w:r>
            <w:r w:rsidRPr="006F7389">
              <w:t xml:space="preserve">reports </w:t>
            </w:r>
          </w:p>
        </w:tc>
      </w:tr>
      <w:tr w:rsidTr="00F82F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rPr>
                <w:rStyle w:val="SpecialBold"/>
              </w:rPr>
              <w:t>Obligations</w:t>
            </w:r>
            <w:r w:rsidRPr="006F7389">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F7389" w:rsidP="006F7389">
            <w:pPr>
              <w:pStyle w:val="BodyText"/>
            </w:pPr>
            <w:r w:rsidRPr="006F7389">
              <w:t>lodgement dates</w:t>
            </w:r>
          </w:p>
          <w:p w:rsidR="00000000" w:rsidRPr="006F7389" w:rsidP="006F7389">
            <w:pPr>
              <w:pStyle w:val="BodyText"/>
            </w:pPr>
            <w:r w:rsidRPr="006F7389">
              <w:t>supporting documentation</w:t>
            </w:r>
          </w:p>
          <w:p w:rsidR="00000000" w:rsidRPr="006F7389" w:rsidP="006F7389">
            <w:pPr>
              <w:pStyle w:val="BodyText"/>
            </w:pPr>
            <w:r w:rsidRPr="006F7389">
              <w:t>explanatory statements</w:t>
            </w:r>
          </w:p>
          <w:p w:rsidR="00000000" w:rsidP="006F7389">
            <w:pPr>
              <w:pStyle w:val="BodyText"/>
              <w:rPr>
                <w:lang w:val="en-NZ"/>
              </w:rPr>
            </w:pPr>
            <w:r w:rsidRPr="006F7389">
              <w:t xml:space="preserve">repayment schedules </w:t>
            </w:r>
          </w:p>
        </w:tc>
      </w:tr>
      <w:tr w:rsidTr="00F82F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7389">
            <w:pPr>
              <w:pStyle w:val="BodyText"/>
              <w:rPr>
                <w:lang w:val="en-NZ"/>
              </w:rPr>
            </w:pPr>
            <w:r w:rsidRPr="006F7389">
              <w:rPr>
                <w:rStyle w:val="SpecialBold"/>
              </w:rPr>
              <w:t>Statutory requirements</w:t>
            </w:r>
            <w:r w:rsidRPr="006F7389">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F7389" w:rsidP="006F7389">
            <w:pPr>
              <w:pStyle w:val="BodyText"/>
            </w:pPr>
            <w:r w:rsidRPr="006F7389">
              <w:t>reporting periods</w:t>
            </w:r>
          </w:p>
          <w:p w:rsidR="00000000" w:rsidRPr="006F7389" w:rsidP="006F7389">
            <w:pPr>
              <w:pStyle w:val="BodyText"/>
            </w:pPr>
            <w:r w:rsidRPr="006F7389">
              <w:t>taxation payment timings</w:t>
            </w:r>
          </w:p>
          <w:p w:rsidR="00000000" w:rsidRPr="006F7389" w:rsidP="006F7389">
            <w:pPr>
              <w:pStyle w:val="BodyText"/>
            </w:pPr>
            <w:r w:rsidRPr="006F7389">
              <w:t>delegated authorities</w:t>
            </w:r>
          </w:p>
          <w:p w:rsidR="00000000" w:rsidRPr="006F7389" w:rsidP="006F7389">
            <w:pPr>
              <w:pStyle w:val="BodyText"/>
            </w:pPr>
            <w:r w:rsidRPr="006F7389">
              <w:t xml:space="preserve">internal control procedures </w:t>
            </w:r>
          </w:p>
        </w:tc>
      </w:tr>
    </w:tbl>
    <w:p w:rsidR="00000000" w:rsidRPr="006F7389" w:rsidP="006F7389">
      <w:pPr>
        <w:pStyle w:val="BodyText"/>
      </w:pPr>
    </w:p>
    <w:p w:rsidR="00000000" w:rsidRPr="006F7389" w:rsidP="006F7389">
      <w:pPr>
        <w:pStyle w:val="AllowPageBreak"/>
      </w:pPr>
    </w:p>
    <w:p w:rsidR="00000000" w:rsidRPr="006F7389" w:rsidP="006F7389">
      <w:pPr>
        <w:pStyle w:val="Heading1"/>
      </w:pPr>
      <w:bookmarkStart w:id="12" w:name="O_317957"/>
      <w:bookmarkEnd w:id="12"/>
      <w:r w:rsidRPr="006F7389">
        <w:t>Unit Sector(s)</w:t>
      </w:r>
    </w:p>
    <w:p w:rsidR="00000000" w:rsidRPr="006F7389" w:rsidP="006F7389">
      <w:pPr>
        <w:pStyle w:val="BodyText"/>
      </w:pPr>
      <w:r w:rsidRPr="006F7389">
        <w:t>Not applicable.</w:t>
      </w:r>
    </w:p>
    <w:p w:rsidR="00000000" w:rsidRPr="006F7389" w:rsidP="006F7389">
      <w:pPr>
        <w:pStyle w:val="AllowPageBreak"/>
      </w:pPr>
    </w:p>
    <w:p w:rsidR="00000000" w:rsidRPr="006F7389" w:rsidP="006F7389">
      <w:pPr>
        <w:pStyle w:val="Heading1"/>
      </w:pPr>
      <w:bookmarkStart w:id="13" w:name="O_317960"/>
      <w:bookmarkEnd w:id="13"/>
      <w:r w:rsidRPr="006F7389">
        <w:t>Relationship to other units</w:t>
      </w:r>
    </w:p>
    <w:p w:rsidR="00000000" w:rsidRPr="006F7389" w:rsidP="006F7389">
      <w:pPr>
        <w:pStyle w:val="BodyText"/>
      </w:pPr>
      <w:r w:rsidRPr="006F7389">
        <w:t>This unit replaces FNSACCT502A.</w:t>
      </w:r>
    </w:p>
    <w:p w:rsidR="00000000" w:rsidRPr="006F7389" w:rsidP="006F7389">
      <w:pPr>
        <w:pStyle w:val="BodyText"/>
      </w:pPr>
      <w:r w:rsidRPr="006F7389">
        <w:t>This unit replaces FNSACCT502A.</w:t>
      </w:r>
    </w:p>
    <w:p w:rsidR="00000000" w:rsidRPr="006F7389" w:rsidP="006F7389"/>
    <w:sectPr w:rsidSect="006F73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3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2FE4" w:rsidP="00F82F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3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E4" w:rsidP="006F73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82FE4" w:rsidP="006F73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82FE4" w:rsidP="006F73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3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2FE4" w:rsidP="00F82F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3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E4" w:rsidP="006F7389">
    <w:pPr>
      <w:pStyle w:val="Header"/>
      <w:framePr w:wrap="around"/>
    </w:pPr>
    <w:r>
      <w:fldChar w:fldCharType="begin"/>
    </w:r>
    <w:r>
      <w:instrText xml:space="preserve"> TITLE   \* MERGEFORMAT </w:instrText>
    </w:r>
    <w:r>
      <w:fldChar w:fldCharType="separate"/>
    </w:r>
    <w:r>
      <w:t>FNSACCT502B Prepare income tax returns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82FE4" w:rsidP="006F73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3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7389"/>
    <w:pPr>
      <w:spacing w:before="360" w:after="60"/>
      <w:outlineLvl w:val="0"/>
    </w:pPr>
    <w:rPr>
      <w:sz w:val="32"/>
    </w:rPr>
  </w:style>
  <w:style w:type="paragraph" w:styleId="Heading2">
    <w:name w:val="heading 2"/>
    <w:basedOn w:val="HeadingBase"/>
    <w:next w:val="BodyText"/>
    <w:link w:val="Heading2Char"/>
    <w:qFormat/>
    <w:rsid w:val="006F7389"/>
    <w:pPr>
      <w:keepLines/>
      <w:spacing w:before="240" w:after="120"/>
      <w:outlineLvl w:val="1"/>
    </w:pPr>
    <w:rPr>
      <w:sz w:val="28"/>
      <w:szCs w:val="40"/>
    </w:rPr>
  </w:style>
  <w:style w:type="paragraph" w:styleId="Heading3">
    <w:name w:val="heading 3"/>
    <w:basedOn w:val="HeadingBase"/>
    <w:next w:val="BodyText"/>
    <w:link w:val="Heading3Char"/>
    <w:qFormat/>
    <w:rsid w:val="006F7389"/>
    <w:pPr>
      <w:spacing w:before="180" w:after="120"/>
      <w:outlineLvl w:val="2"/>
    </w:pPr>
    <w:rPr>
      <w:spacing w:val="-10"/>
      <w:kern w:val="32"/>
    </w:rPr>
  </w:style>
  <w:style w:type="paragraph" w:styleId="Heading4">
    <w:name w:val="heading 4"/>
    <w:basedOn w:val="HeadingBase"/>
    <w:next w:val="BodyText"/>
    <w:link w:val="Heading4Char"/>
    <w:qFormat/>
    <w:rsid w:val="006F7389"/>
    <w:pPr>
      <w:spacing w:before="160" w:after="120"/>
      <w:outlineLvl w:val="3"/>
    </w:pPr>
    <w:rPr>
      <w:sz w:val="22"/>
    </w:rPr>
  </w:style>
  <w:style w:type="paragraph" w:styleId="Heading5">
    <w:name w:val="heading 5"/>
    <w:basedOn w:val="HeadingBase"/>
    <w:next w:val="Normal"/>
    <w:link w:val="Heading5Char"/>
    <w:qFormat/>
    <w:rsid w:val="006F7389"/>
    <w:pPr>
      <w:spacing w:before="80"/>
      <w:outlineLvl w:val="4"/>
    </w:pPr>
    <w:rPr>
      <w:color w:val="918585"/>
      <w:sz w:val="20"/>
    </w:rPr>
  </w:style>
  <w:style w:type="paragraph" w:styleId="Heading6">
    <w:name w:val="heading 6"/>
    <w:basedOn w:val="HeadingBase"/>
    <w:next w:val="Normal"/>
    <w:link w:val="Heading6Char"/>
    <w:qFormat/>
    <w:rsid w:val="006F7389"/>
    <w:pPr>
      <w:spacing w:before="60"/>
      <w:outlineLvl w:val="5"/>
    </w:pPr>
    <w:rPr>
      <w:color w:val="918585"/>
      <w:sz w:val="20"/>
    </w:rPr>
  </w:style>
  <w:style w:type="paragraph" w:styleId="Heading7">
    <w:name w:val="heading 7"/>
    <w:basedOn w:val="Normal"/>
    <w:next w:val="Normal"/>
    <w:link w:val="Heading7Char"/>
    <w:qFormat/>
    <w:rsid w:val="006F7389"/>
    <w:pPr>
      <w:ind w:left="720"/>
      <w:outlineLvl w:val="6"/>
    </w:pPr>
    <w:rPr>
      <w:i/>
    </w:rPr>
  </w:style>
  <w:style w:type="paragraph" w:styleId="Heading8">
    <w:name w:val="heading 8"/>
    <w:basedOn w:val="Normal"/>
    <w:next w:val="Normal"/>
    <w:link w:val="Heading8Char"/>
    <w:qFormat/>
    <w:rsid w:val="006F7389"/>
    <w:pPr>
      <w:ind w:left="720"/>
      <w:outlineLvl w:val="7"/>
    </w:pPr>
    <w:rPr>
      <w:i/>
    </w:rPr>
  </w:style>
  <w:style w:type="paragraph" w:styleId="Heading9">
    <w:name w:val="heading 9"/>
    <w:basedOn w:val="Normal"/>
    <w:next w:val="Normal"/>
    <w:link w:val="Heading9Char"/>
    <w:qFormat/>
    <w:rsid w:val="006F7389"/>
    <w:pPr>
      <w:ind w:left="720"/>
      <w:outlineLvl w:val="8"/>
    </w:pPr>
    <w:rPr>
      <w:i/>
    </w:rPr>
  </w:style>
  <w:style w:type="character" w:default="1" w:styleId="DefaultParagraphFont">
    <w:name w:val="Default Paragraph Font"/>
    <w:uiPriority w:val="1"/>
    <w:unhideWhenUsed/>
    <w:rsid w:val="006F73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7389"/>
  </w:style>
  <w:style w:type="character" w:customStyle="1" w:styleId="Heading1Char">
    <w:name w:val="Heading 1 Char"/>
    <w:basedOn w:val="DefaultParagraphFont"/>
    <w:link w:val="Heading1"/>
    <w:rsid w:val="006F7389"/>
    <w:rPr>
      <w:rFonts w:ascii="Times New Roman" w:eastAsia="Times New Roman" w:hAnsi="Times New Roman" w:cs="Times New Roman"/>
      <w:b/>
      <w:sz w:val="32"/>
      <w:szCs w:val="20"/>
      <w:lang w:eastAsia="en-US"/>
    </w:rPr>
  </w:style>
  <w:style w:type="paragraph" w:styleId="BodyText">
    <w:name w:val="Body Text"/>
    <w:basedOn w:val="Normal"/>
    <w:link w:val="BodyTextChar"/>
    <w:rsid w:val="006F73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7389"/>
    <w:rPr>
      <w:rFonts w:ascii="Times New Roman" w:eastAsia="Times New Roman" w:hAnsi="Times New Roman" w:cs="Times New Roman"/>
      <w:sz w:val="24"/>
      <w:lang w:val="en-US" w:eastAsia="en-US"/>
    </w:rPr>
  </w:style>
  <w:style w:type="paragraph" w:styleId="Footer">
    <w:name w:val="footer"/>
    <w:basedOn w:val="Normal"/>
    <w:link w:val="FooterChar"/>
    <w:rsid w:val="006F73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738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F7389"/>
    <w:rPr>
      <w:b/>
      <w:spacing w:val="0"/>
    </w:rPr>
  </w:style>
  <w:style w:type="paragraph" w:styleId="Header">
    <w:name w:val="header"/>
    <w:basedOn w:val="Normal"/>
    <w:link w:val="HeaderChar"/>
    <w:rsid w:val="006F73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73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7389"/>
    <w:pPr>
      <w:spacing w:before="240" w:after="120"/>
      <w:outlineLvl w:val="0"/>
    </w:pPr>
    <w:rPr>
      <w:rFonts w:ascii="Times New Roman" w:hAnsi="Times New Roman"/>
      <w:b/>
      <w:sz w:val="28"/>
    </w:rPr>
  </w:style>
  <w:style w:type="paragraph" w:customStyle="1" w:styleId="AllowPageBreak">
    <w:name w:val="AllowPageBreak"/>
    <w:rsid w:val="006F73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73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73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73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73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73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73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73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7389"/>
    <w:rPr>
      <w:rFonts w:ascii="Courier New" w:eastAsia="Times New Roman" w:hAnsi="Courier New" w:cs="Times New Roman"/>
      <w:i/>
      <w:szCs w:val="20"/>
      <w:lang w:val="en-US" w:eastAsia="en-US"/>
    </w:rPr>
  </w:style>
  <w:style w:type="paragraph" w:customStyle="1" w:styleId="HeadingBase">
    <w:name w:val="Heading Base"/>
    <w:rsid w:val="006F73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7389"/>
    <w:pPr>
      <w:tabs>
        <w:tab w:val="right" w:leader="dot" w:pos="9072"/>
      </w:tabs>
      <w:ind w:left="567"/>
    </w:pPr>
    <w:rPr>
      <w:szCs w:val="22"/>
    </w:rPr>
  </w:style>
  <w:style w:type="paragraph" w:customStyle="1" w:styleId="TOCBase">
    <w:name w:val="TOC Base"/>
    <w:rsid w:val="006F73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7389"/>
    <w:pPr>
      <w:tabs>
        <w:tab w:val="right" w:leader="dot" w:pos="9072"/>
      </w:tabs>
      <w:spacing w:before="40" w:after="40"/>
      <w:ind w:left="284"/>
    </w:pPr>
    <w:rPr>
      <w:rFonts w:ascii="Times New Roman" w:hAnsi="Times New Roman"/>
    </w:rPr>
  </w:style>
  <w:style w:type="paragraph" w:styleId="TOC1">
    <w:name w:val="toc 1"/>
    <w:basedOn w:val="TOCBase"/>
    <w:next w:val="Normal"/>
    <w:rsid w:val="006F73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7389"/>
    <w:pPr>
      <w:spacing w:before="5040"/>
      <w:jc w:val="center"/>
    </w:pPr>
    <w:rPr>
      <w:sz w:val="48"/>
      <w:szCs w:val="72"/>
      <w:lang w:val="en-US"/>
    </w:rPr>
  </w:style>
  <w:style w:type="character" w:customStyle="1" w:styleId="TitleChar">
    <w:name w:val="Title Char"/>
    <w:basedOn w:val="DefaultParagraphFont"/>
    <w:link w:val="Title"/>
    <w:rsid w:val="006F73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7389"/>
    <w:pPr>
      <w:tabs>
        <w:tab w:val="left" w:pos="3600"/>
        <w:tab w:val="left" w:pos="3958"/>
      </w:tabs>
    </w:pPr>
  </w:style>
  <w:style w:type="paragraph" w:styleId="List">
    <w:name w:val="List"/>
    <w:basedOn w:val="BodyText"/>
    <w:next w:val="BodyText"/>
    <w:rsid w:val="006F7389"/>
    <w:pPr>
      <w:tabs>
        <w:tab w:val="left" w:pos="340"/>
      </w:tabs>
      <w:spacing w:before="60" w:after="60"/>
      <w:ind w:left="340" w:hanging="340"/>
    </w:pPr>
  </w:style>
  <w:style w:type="paragraph" w:styleId="ListBullet">
    <w:name w:val="List Bullet"/>
    <w:basedOn w:val="List"/>
    <w:rsid w:val="006F7389"/>
    <w:pPr>
      <w:numPr>
        <w:numId w:val="11"/>
      </w:numPr>
      <w:tabs>
        <w:tab w:val="clear" w:pos="340"/>
      </w:tabs>
      <w:spacing w:before="40" w:after="40"/>
    </w:pPr>
  </w:style>
  <w:style w:type="paragraph" w:customStyle="1" w:styleId="Note">
    <w:name w:val="Note"/>
    <w:basedOn w:val="BodyText"/>
    <w:rsid w:val="006F73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7389"/>
    <w:pPr>
      <w:framePr w:wrap="auto" w:hAnchor="text" w:y="6049"/>
    </w:pPr>
    <w:rPr>
      <w:color w:val="000000"/>
      <w:sz w:val="40"/>
    </w:rPr>
  </w:style>
  <w:style w:type="paragraph" w:customStyle="1" w:styleId="TOCTitle">
    <w:name w:val="TOCTitle"/>
    <w:basedOn w:val="Heading1"/>
    <w:rsid w:val="006F7389"/>
    <w:pPr>
      <w:spacing w:after="240"/>
      <w:jc w:val="center"/>
      <w:outlineLvl w:val="9"/>
    </w:pPr>
    <w:rPr>
      <w:caps/>
    </w:rPr>
  </w:style>
  <w:style w:type="paragraph" w:customStyle="1" w:styleId="Version">
    <w:name w:val="Version"/>
    <w:rsid w:val="006F73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7389"/>
    <w:pPr>
      <w:numPr>
        <w:numId w:val="12"/>
      </w:numPr>
      <w:tabs>
        <w:tab w:val="clear" w:pos="680"/>
      </w:tabs>
    </w:pPr>
  </w:style>
  <w:style w:type="paragraph" w:styleId="Index1">
    <w:name w:val="index 1"/>
    <w:basedOn w:val="Normal"/>
    <w:next w:val="Normal"/>
    <w:semiHidden/>
    <w:rsid w:val="006F7389"/>
    <w:pPr>
      <w:keepNext w:val="0"/>
      <w:tabs>
        <w:tab w:val="right" w:pos="4176"/>
      </w:tabs>
      <w:ind w:left="198" w:hanging="198"/>
    </w:pPr>
    <w:rPr>
      <w:rFonts w:ascii="Garamond" w:hAnsi="Garamond"/>
    </w:rPr>
  </w:style>
  <w:style w:type="paragraph" w:styleId="IndexHeading">
    <w:name w:val="index heading"/>
    <w:basedOn w:val="Normal"/>
    <w:next w:val="Index1"/>
    <w:semiHidden/>
    <w:rsid w:val="006F7389"/>
    <w:pPr>
      <w:spacing w:before="120" w:after="120"/>
    </w:pPr>
    <w:rPr>
      <w:rFonts w:ascii="Arial" w:hAnsi="Arial"/>
      <w:b/>
      <w:color w:val="918585"/>
      <w:sz w:val="24"/>
    </w:rPr>
  </w:style>
  <w:style w:type="paragraph" w:customStyle="1" w:styleId="Chapter">
    <w:name w:val="Chapter"/>
    <w:basedOn w:val="Normal"/>
    <w:rsid w:val="006F7389"/>
    <w:pPr>
      <w:spacing w:before="240"/>
    </w:pPr>
    <w:rPr>
      <w:rFonts w:ascii="Times New Roman" w:hAnsi="Times New Roman"/>
      <w:smallCaps/>
      <w:spacing w:val="80"/>
      <w:sz w:val="28"/>
    </w:rPr>
  </w:style>
  <w:style w:type="paragraph" w:customStyle="1" w:styleId="InChapter">
    <w:name w:val="InChapter"/>
    <w:basedOn w:val="Heading3"/>
    <w:rsid w:val="006F7389"/>
    <w:pPr>
      <w:spacing w:after="240"/>
      <w:outlineLvl w:val="9"/>
    </w:pPr>
    <w:rPr>
      <w:noProof/>
    </w:rPr>
  </w:style>
  <w:style w:type="paragraph" w:styleId="Index2">
    <w:name w:val="index 2"/>
    <w:basedOn w:val="Normal"/>
    <w:next w:val="Normal"/>
    <w:semiHidden/>
    <w:rsid w:val="006F7389"/>
    <w:pPr>
      <w:tabs>
        <w:tab w:val="right" w:pos="4176"/>
      </w:tabs>
      <w:ind w:left="568" w:hanging="284"/>
    </w:pPr>
    <w:rPr>
      <w:rFonts w:ascii="Garamond" w:hAnsi="Garamond"/>
    </w:rPr>
  </w:style>
  <w:style w:type="paragraph" w:customStyle="1" w:styleId="Byline">
    <w:name w:val="Byline"/>
    <w:rsid w:val="006F73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7389"/>
    <w:pPr>
      <w:tabs>
        <w:tab w:val="clear" w:pos="3600"/>
        <w:tab w:val="clear" w:pos="3958"/>
      </w:tabs>
      <w:jc w:val="right"/>
    </w:pPr>
  </w:style>
  <w:style w:type="character" w:styleId="Emphasis">
    <w:name w:val="Emphasis"/>
    <w:basedOn w:val="DefaultParagraphFont"/>
    <w:qFormat/>
    <w:rsid w:val="006F7389"/>
    <w:rPr>
      <w:i/>
    </w:rPr>
  </w:style>
  <w:style w:type="paragraph" w:styleId="Caption">
    <w:name w:val="caption"/>
    <w:basedOn w:val="BodyText"/>
    <w:next w:val="Normal"/>
    <w:qFormat/>
    <w:rsid w:val="006F7389"/>
    <w:pPr>
      <w:framePr w:w="2268" w:hSpace="181" w:vSpace="181" w:wrap="around" w:vAnchor="text" w:hAnchor="page" w:x="1135" w:y="285" w:anchorLock="1"/>
    </w:pPr>
    <w:rPr>
      <w:i/>
    </w:rPr>
  </w:style>
  <w:style w:type="paragraph" w:customStyle="1" w:styleId="MiniTOCTitle">
    <w:name w:val="MiniTOCTitle"/>
    <w:basedOn w:val="Heading4"/>
    <w:rsid w:val="006F7389"/>
    <w:pPr>
      <w:spacing w:before="240"/>
      <w:outlineLvl w:val="9"/>
    </w:pPr>
    <w:rPr>
      <w:noProof/>
      <w:sz w:val="24"/>
    </w:rPr>
  </w:style>
  <w:style w:type="paragraph" w:customStyle="1" w:styleId="MiniTOCItem">
    <w:name w:val="MiniTOCItem"/>
    <w:basedOn w:val="ListBullet"/>
    <w:rsid w:val="006F7389"/>
    <w:pPr>
      <w:numPr>
        <w:numId w:val="0"/>
      </w:numPr>
      <w:tabs>
        <w:tab w:val="right" w:leader="dot" w:pos="6521"/>
      </w:tabs>
      <w:spacing w:before="0" w:after="0"/>
    </w:pPr>
  </w:style>
  <w:style w:type="paragraph" w:customStyle="1" w:styleId="TOFTitle">
    <w:name w:val="TOFTitle"/>
    <w:basedOn w:val="TOCTitle"/>
    <w:rsid w:val="006F7389"/>
  </w:style>
  <w:style w:type="paragraph" w:styleId="TableofFigures">
    <w:name w:val="table of figures"/>
    <w:basedOn w:val="Normal"/>
    <w:next w:val="Normal"/>
    <w:semiHidden/>
    <w:rsid w:val="006F7389"/>
    <w:pPr>
      <w:tabs>
        <w:tab w:val="right" w:leader="dot" w:pos="9072"/>
      </w:tabs>
      <w:ind w:left="970" w:hanging="403"/>
    </w:pPr>
    <w:rPr>
      <w:rFonts w:ascii="Times New Roman" w:hAnsi="Times New Roman"/>
      <w:b/>
    </w:rPr>
  </w:style>
  <w:style w:type="paragraph" w:styleId="ListNumber">
    <w:name w:val="List Number"/>
    <w:basedOn w:val="List"/>
    <w:rsid w:val="006F7389"/>
    <w:pPr>
      <w:numPr>
        <w:numId w:val="9"/>
      </w:numPr>
    </w:pPr>
  </w:style>
  <w:style w:type="character" w:customStyle="1" w:styleId="WingdingSymbols">
    <w:name w:val="Wingding Symbols"/>
    <w:rsid w:val="006F7389"/>
    <w:rPr>
      <w:rFonts w:ascii="Wingdings" w:hAnsi="Wingdings"/>
    </w:rPr>
  </w:style>
  <w:style w:type="paragraph" w:customStyle="1" w:styleId="TableHeading">
    <w:name w:val="Table Heading"/>
    <w:basedOn w:val="HeadingBase"/>
    <w:rsid w:val="006F7389"/>
    <w:pPr>
      <w:keepLines/>
      <w:pBdr>
        <w:bottom w:val="single" w:sz="6" w:space="1" w:color="918585"/>
      </w:pBdr>
      <w:spacing w:before="240"/>
    </w:pPr>
  </w:style>
  <w:style w:type="character" w:customStyle="1" w:styleId="HotSpot">
    <w:name w:val="HotSpot"/>
    <w:rsid w:val="006F7389"/>
    <w:rPr>
      <w:color w:val="0033CC"/>
      <w:u w:val="none"/>
    </w:rPr>
  </w:style>
  <w:style w:type="paragraph" w:customStyle="1" w:styleId="BodyTextRight">
    <w:name w:val="Body Text Right"/>
    <w:basedOn w:val="BodyText"/>
    <w:rsid w:val="006F7389"/>
    <w:pPr>
      <w:spacing w:before="0" w:after="0"/>
      <w:jc w:val="right"/>
    </w:pPr>
  </w:style>
  <w:style w:type="paragraph" w:styleId="Index3">
    <w:name w:val="index 3"/>
    <w:basedOn w:val="ListNumber2"/>
    <w:next w:val="Normal"/>
    <w:semiHidden/>
    <w:rsid w:val="006F7389"/>
    <w:pPr>
      <w:numPr>
        <w:numId w:val="0"/>
      </w:numPr>
      <w:tabs>
        <w:tab w:val="right" w:leader="dot" w:pos="4176"/>
      </w:tabs>
    </w:pPr>
  </w:style>
  <w:style w:type="paragraph" w:styleId="ListNumber2">
    <w:name w:val="List Number 2"/>
    <w:basedOn w:val="List2"/>
    <w:rsid w:val="006F7389"/>
    <w:pPr>
      <w:numPr>
        <w:numId w:val="8"/>
      </w:numPr>
      <w:tabs>
        <w:tab w:val="clear" w:pos="1060"/>
      </w:tabs>
    </w:pPr>
  </w:style>
  <w:style w:type="paragraph" w:customStyle="1" w:styleId="MarginNote">
    <w:name w:val="Margin Note"/>
    <w:basedOn w:val="BodyText"/>
    <w:rsid w:val="006F73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73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73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7389"/>
    <w:rPr>
      <w:sz w:val="32"/>
    </w:rPr>
  </w:style>
  <w:style w:type="paragraph" w:customStyle="1" w:styleId="HeadingProcedure">
    <w:name w:val="Heading Procedure"/>
    <w:basedOn w:val="HeadingBase"/>
    <w:next w:val="Normal"/>
    <w:rsid w:val="006F7389"/>
    <w:pPr>
      <w:tabs>
        <w:tab w:val="left" w:pos="0"/>
      </w:tabs>
      <w:spacing w:before="120" w:after="60"/>
    </w:pPr>
    <w:rPr>
      <w:i/>
      <w:color w:val="918585"/>
      <w:sz w:val="22"/>
    </w:rPr>
  </w:style>
  <w:style w:type="paragraph" w:customStyle="1" w:styleId="TableBodyText">
    <w:name w:val="Table Body Text"/>
    <w:basedOn w:val="BodyText"/>
    <w:rsid w:val="006F7389"/>
    <w:pPr>
      <w:spacing w:before="60" w:after="60"/>
    </w:pPr>
  </w:style>
  <w:style w:type="paragraph" w:styleId="ListContinue">
    <w:name w:val="List Continue"/>
    <w:basedOn w:val="List"/>
    <w:rsid w:val="006F7389"/>
    <w:pPr>
      <w:ind w:firstLine="0"/>
    </w:pPr>
  </w:style>
  <w:style w:type="paragraph" w:customStyle="1" w:styleId="ListNote">
    <w:name w:val="List Note"/>
    <w:basedOn w:val="List"/>
    <w:rsid w:val="006F7389"/>
    <w:pPr>
      <w:pBdr>
        <w:top w:val="single" w:sz="6" w:space="2" w:color="918585"/>
        <w:bottom w:val="single" w:sz="6" w:space="2" w:color="918585"/>
      </w:pBdr>
      <w:tabs>
        <w:tab w:val="left" w:pos="1021"/>
      </w:tabs>
      <w:ind w:firstLine="0"/>
    </w:pPr>
  </w:style>
  <w:style w:type="paragraph" w:customStyle="1" w:styleId="Warning">
    <w:name w:val="Warning"/>
    <w:basedOn w:val="BodyText"/>
    <w:rsid w:val="006F7389"/>
    <w:pPr>
      <w:shd w:val="clear" w:color="auto" w:fill="D9D9D9"/>
      <w:tabs>
        <w:tab w:val="left" w:pos="992"/>
      </w:tabs>
      <w:ind w:left="119" w:right="119"/>
    </w:pPr>
    <w:rPr>
      <w:sz w:val="20"/>
    </w:rPr>
  </w:style>
  <w:style w:type="paragraph" w:customStyle="1" w:styleId="MarginIcons">
    <w:name w:val="Margin Icons"/>
    <w:basedOn w:val="BodyText"/>
    <w:rsid w:val="006F73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7389"/>
    <w:rPr>
      <w:rFonts w:ascii="Courier New" w:hAnsi="Courier New"/>
    </w:rPr>
  </w:style>
  <w:style w:type="paragraph" w:customStyle="1" w:styleId="NoteBullet">
    <w:name w:val="Note Bullet"/>
    <w:basedOn w:val="Note"/>
    <w:rsid w:val="006F7389"/>
    <w:pPr>
      <w:tabs>
        <w:tab w:val="clear" w:pos="680"/>
      </w:tabs>
      <w:spacing w:before="60" w:after="60"/>
    </w:pPr>
  </w:style>
  <w:style w:type="paragraph" w:customStyle="1" w:styleId="SubHeading2">
    <w:name w:val="SubHeading2"/>
    <w:basedOn w:val="HeadingBase"/>
    <w:rsid w:val="006F7389"/>
    <w:pPr>
      <w:spacing w:before="240" w:after="60"/>
    </w:pPr>
    <w:rPr>
      <w:sz w:val="20"/>
    </w:rPr>
  </w:style>
  <w:style w:type="paragraph" w:customStyle="1" w:styleId="SubHeading1">
    <w:name w:val="SubHeading1"/>
    <w:basedOn w:val="HeadingBase"/>
    <w:rsid w:val="006F7389"/>
    <w:pPr>
      <w:spacing w:before="240" w:after="60"/>
    </w:pPr>
    <w:rPr>
      <w:color w:val="918585"/>
      <w:sz w:val="22"/>
    </w:rPr>
  </w:style>
  <w:style w:type="paragraph" w:customStyle="1" w:styleId="SideHeading">
    <w:name w:val="Side Heading"/>
    <w:basedOn w:val="HeadingBase"/>
    <w:rsid w:val="006F73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7389"/>
    <w:pPr>
      <w:numPr>
        <w:numId w:val="10"/>
      </w:numPr>
    </w:pPr>
  </w:style>
  <w:style w:type="paragraph" w:styleId="PlainText">
    <w:name w:val="Plain Text"/>
    <w:basedOn w:val="Normal"/>
    <w:link w:val="PlainTextChar"/>
    <w:rsid w:val="006F7389"/>
    <w:rPr>
      <w:sz w:val="20"/>
    </w:rPr>
  </w:style>
  <w:style w:type="character" w:customStyle="1" w:styleId="PlainTextChar">
    <w:name w:val="Plain Text Char"/>
    <w:basedOn w:val="DefaultParagraphFont"/>
    <w:link w:val="PlainText"/>
    <w:rsid w:val="006F73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7389"/>
    <w:rPr>
      <w:b/>
      <w:smallCaps/>
    </w:rPr>
  </w:style>
  <w:style w:type="paragraph" w:customStyle="1" w:styleId="TableListNumber">
    <w:name w:val="Table List Number"/>
    <w:basedOn w:val="ListNumber"/>
    <w:rsid w:val="006F7389"/>
    <w:pPr>
      <w:numPr>
        <w:numId w:val="0"/>
      </w:numPr>
    </w:pPr>
  </w:style>
  <w:style w:type="paragraph" w:styleId="TOC4">
    <w:name w:val="toc 4"/>
    <w:basedOn w:val="TOCBase"/>
    <w:next w:val="Normal"/>
    <w:semiHidden/>
    <w:rsid w:val="006F7389"/>
    <w:pPr>
      <w:tabs>
        <w:tab w:val="right" w:leader="dot" w:pos="9071"/>
      </w:tabs>
      <w:ind w:left="1701"/>
    </w:pPr>
  </w:style>
  <w:style w:type="paragraph" w:customStyle="1" w:styleId="ListAlpha">
    <w:name w:val="List Alpha"/>
    <w:basedOn w:val="List"/>
    <w:rsid w:val="006F7389"/>
    <w:pPr>
      <w:numPr>
        <w:numId w:val="7"/>
      </w:numPr>
    </w:pPr>
  </w:style>
  <w:style w:type="paragraph" w:customStyle="1" w:styleId="ListAlpha2">
    <w:name w:val="List Alpha 2"/>
    <w:basedOn w:val="List2"/>
    <w:rsid w:val="006F7389"/>
    <w:pPr>
      <w:numPr>
        <w:numId w:val="6"/>
      </w:numPr>
    </w:pPr>
  </w:style>
  <w:style w:type="paragraph" w:styleId="List2">
    <w:name w:val="List 2"/>
    <w:basedOn w:val="BodyText"/>
    <w:rsid w:val="006F7389"/>
    <w:pPr>
      <w:tabs>
        <w:tab w:val="left" w:pos="680"/>
      </w:tabs>
      <w:spacing w:before="60" w:after="60"/>
      <w:ind w:left="680" w:hanging="340"/>
    </w:pPr>
  </w:style>
  <w:style w:type="paragraph" w:styleId="List3">
    <w:name w:val="List 3"/>
    <w:basedOn w:val="BodyText"/>
    <w:rsid w:val="006F7389"/>
    <w:pPr>
      <w:tabs>
        <w:tab w:val="left" w:pos="1021"/>
      </w:tabs>
      <w:spacing w:before="60" w:after="60"/>
      <w:ind w:left="1020" w:hanging="340"/>
    </w:pPr>
  </w:style>
  <w:style w:type="paragraph" w:styleId="List4">
    <w:name w:val="List 4"/>
    <w:basedOn w:val="BodyText"/>
    <w:rsid w:val="006F7389"/>
    <w:pPr>
      <w:tabs>
        <w:tab w:val="left" w:pos="1361"/>
      </w:tabs>
      <w:spacing w:before="60" w:after="60"/>
      <w:ind w:left="1361" w:hanging="340"/>
    </w:pPr>
  </w:style>
  <w:style w:type="paragraph" w:styleId="List5">
    <w:name w:val="List 5"/>
    <w:basedOn w:val="BodyText"/>
    <w:rsid w:val="006F7389"/>
    <w:pPr>
      <w:tabs>
        <w:tab w:val="left" w:pos="1701"/>
      </w:tabs>
      <w:spacing w:before="60" w:after="60"/>
      <w:ind w:left="1701" w:hanging="340"/>
    </w:pPr>
  </w:style>
  <w:style w:type="paragraph" w:styleId="ListBullet3">
    <w:name w:val="List Bullet 3"/>
    <w:basedOn w:val="List3"/>
    <w:rsid w:val="006F7389"/>
    <w:pPr>
      <w:numPr>
        <w:numId w:val="13"/>
      </w:numPr>
      <w:tabs>
        <w:tab w:val="clear" w:pos="1021"/>
      </w:tabs>
      <w:ind w:left="1037" w:hanging="357"/>
    </w:pPr>
  </w:style>
  <w:style w:type="paragraph" w:styleId="ListBullet4">
    <w:name w:val="List Bullet 4"/>
    <w:basedOn w:val="List4"/>
    <w:rsid w:val="006F7389"/>
    <w:pPr>
      <w:numPr>
        <w:numId w:val="1"/>
      </w:numPr>
    </w:pPr>
  </w:style>
  <w:style w:type="paragraph" w:styleId="ListBullet5">
    <w:name w:val="List Bullet 5"/>
    <w:basedOn w:val="List5"/>
    <w:rsid w:val="006F7389"/>
    <w:pPr>
      <w:numPr>
        <w:numId w:val="2"/>
      </w:numPr>
    </w:pPr>
  </w:style>
  <w:style w:type="paragraph" w:styleId="ListContinue2">
    <w:name w:val="List Continue 2"/>
    <w:basedOn w:val="List2"/>
    <w:rsid w:val="006F7389"/>
    <w:pPr>
      <w:ind w:firstLine="0"/>
    </w:pPr>
  </w:style>
  <w:style w:type="paragraph" w:styleId="ListContinue3">
    <w:name w:val="List Continue 3"/>
    <w:basedOn w:val="List3"/>
    <w:rsid w:val="006F7389"/>
    <w:pPr>
      <w:ind w:left="1021" w:firstLine="0"/>
    </w:pPr>
  </w:style>
  <w:style w:type="paragraph" w:styleId="ListContinue4">
    <w:name w:val="List Continue 4"/>
    <w:basedOn w:val="List4"/>
    <w:rsid w:val="006F7389"/>
    <w:pPr>
      <w:ind w:firstLine="0"/>
    </w:pPr>
  </w:style>
  <w:style w:type="paragraph" w:styleId="ListContinue5">
    <w:name w:val="List Continue 5"/>
    <w:basedOn w:val="List5"/>
    <w:rsid w:val="006F7389"/>
    <w:pPr>
      <w:ind w:firstLine="0"/>
    </w:pPr>
  </w:style>
  <w:style w:type="paragraph" w:styleId="ListNumber3">
    <w:name w:val="List Number 3"/>
    <w:basedOn w:val="List3"/>
    <w:rsid w:val="006F7389"/>
    <w:pPr>
      <w:numPr>
        <w:numId w:val="3"/>
      </w:numPr>
    </w:pPr>
  </w:style>
  <w:style w:type="paragraph" w:styleId="ListNumber4">
    <w:name w:val="List Number 4"/>
    <w:basedOn w:val="List4"/>
    <w:rsid w:val="006F7389"/>
    <w:pPr>
      <w:numPr>
        <w:numId w:val="4"/>
      </w:numPr>
    </w:pPr>
  </w:style>
  <w:style w:type="paragraph" w:styleId="ListNumber5">
    <w:name w:val="List Number 5"/>
    <w:basedOn w:val="List5"/>
    <w:rsid w:val="006F7389"/>
    <w:pPr>
      <w:numPr>
        <w:numId w:val="5"/>
      </w:numPr>
    </w:pPr>
  </w:style>
  <w:style w:type="paragraph" w:styleId="BlockText">
    <w:name w:val="Block Text"/>
    <w:basedOn w:val="Normal"/>
    <w:rsid w:val="006F7389"/>
    <w:pPr>
      <w:spacing w:after="120"/>
      <w:ind w:left="1440" w:right="1440"/>
    </w:pPr>
  </w:style>
  <w:style w:type="character" w:customStyle="1" w:styleId="Subscript">
    <w:name w:val="Subscript"/>
    <w:basedOn w:val="DefaultParagraphFont"/>
    <w:rsid w:val="006F7389"/>
    <w:rPr>
      <w:sz w:val="16"/>
      <w:vertAlign w:val="subscript"/>
    </w:rPr>
  </w:style>
  <w:style w:type="character" w:customStyle="1" w:styleId="Superscript">
    <w:name w:val="Superscript"/>
    <w:basedOn w:val="DefaultParagraphFont"/>
    <w:rsid w:val="006F7389"/>
    <w:rPr>
      <w:sz w:val="16"/>
      <w:vertAlign w:val="superscript"/>
    </w:rPr>
  </w:style>
  <w:style w:type="character" w:customStyle="1" w:styleId="Symbols">
    <w:name w:val="Symbols"/>
    <w:basedOn w:val="DefaultParagraphFont"/>
    <w:rsid w:val="006F7389"/>
    <w:rPr>
      <w:rFonts w:ascii="Symbol" w:hAnsi="Symbol"/>
    </w:rPr>
  </w:style>
  <w:style w:type="character" w:customStyle="1" w:styleId="MenuOptions">
    <w:name w:val="Menu Options"/>
    <w:basedOn w:val="DefaultParagraphFont"/>
    <w:rsid w:val="006F7389"/>
    <w:rPr>
      <w:rFonts w:ascii="Arial Narrow" w:hAnsi="Arial Narrow"/>
      <w:smallCaps/>
    </w:rPr>
  </w:style>
  <w:style w:type="character" w:customStyle="1" w:styleId="Buttons">
    <w:name w:val="Buttons"/>
    <w:basedOn w:val="DefaultParagraphFont"/>
    <w:rsid w:val="006F7389"/>
    <w:rPr>
      <w:b/>
    </w:rPr>
  </w:style>
  <w:style w:type="character" w:customStyle="1" w:styleId="Underlined">
    <w:name w:val="Underlined"/>
    <w:basedOn w:val="DefaultParagraphFont"/>
    <w:rsid w:val="006F7389"/>
    <w:rPr>
      <w:u w:val="single"/>
    </w:rPr>
  </w:style>
  <w:style w:type="paragraph" w:customStyle="1" w:styleId="TableBodyTextRight">
    <w:name w:val="Table Body Text Right"/>
    <w:basedOn w:val="TableBodyText"/>
    <w:rsid w:val="006F7389"/>
    <w:pPr>
      <w:widowControl w:val="0"/>
      <w:autoSpaceDE w:val="0"/>
      <w:autoSpaceDN w:val="0"/>
      <w:adjustRightInd w:val="0"/>
      <w:jc w:val="right"/>
    </w:pPr>
    <w:rPr>
      <w:rFonts w:cs="Arial"/>
      <w:szCs w:val="18"/>
    </w:rPr>
  </w:style>
  <w:style w:type="paragraph" w:customStyle="1" w:styleId="CopyrightText">
    <w:name w:val="Copyright Text"/>
    <w:basedOn w:val="BodyText"/>
    <w:rsid w:val="006F7389"/>
    <w:rPr>
      <w:sz w:val="18"/>
    </w:rPr>
  </w:style>
  <w:style w:type="paragraph" w:customStyle="1" w:styleId="BodySmallRight">
    <w:name w:val="Body Small Right"/>
    <w:basedOn w:val="BodyTextRight"/>
    <w:rsid w:val="006F7389"/>
    <w:rPr>
      <w:sz w:val="18"/>
      <w:szCs w:val="18"/>
    </w:rPr>
  </w:style>
  <w:style w:type="paragraph" w:customStyle="1" w:styleId="MarginEdition">
    <w:name w:val="Margin Edition"/>
    <w:basedOn w:val="MarginNote"/>
    <w:rsid w:val="006F7389"/>
    <w:pPr>
      <w:spacing w:before="0" w:after="0"/>
    </w:pPr>
    <w:rPr>
      <w:rFonts w:ascii="Times New Roman" w:hAnsi="Times New Roman"/>
      <w:color w:val="999999"/>
    </w:rPr>
  </w:style>
  <w:style w:type="paragraph" w:customStyle="1" w:styleId="Spacer">
    <w:name w:val="Spacer"/>
    <w:basedOn w:val="Normal"/>
    <w:rsid w:val="006F7389"/>
    <w:rPr>
      <w:sz w:val="2"/>
      <w:szCs w:val="2"/>
    </w:rPr>
  </w:style>
  <w:style w:type="character" w:customStyle="1" w:styleId="Small">
    <w:name w:val="Small"/>
    <w:basedOn w:val="DefaultParagraphFont"/>
    <w:rsid w:val="006F7389"/>
    <w:rPr>
      <w:sz w:val="16"/>
    </w:rPr>
  </w:style>
  <w:style w:type="paragraph" w:customStyle="1" w:styleId="WideTable">
    <w:name w:val="Wide Table"/>
    <w:basedOn w:val="Normal"/>
    <w:rsid w:val="006F7389"/>
    <w:pPr>
      <w:ind w:left="-1418"/>
    </w:pPr>
    <w:rPr>
      <w:sz w:val="2"/>
      <w:szCs w:val="2"/>
    </w:rPr>
  </w:style>
  <w:style w:type="character" w:styleId="PageNumber">
    <w:name w:val="page number"/>
    <w:basedOn w:val="DefaultParagraphFont"/>
    <w:rsid w:val="006F7389"/>
  </w:style>
  <w:style w:type="paragraph" w:styleId="Quote">
    <w:name w:val="Quote"/>
    <w:basedOn w:val="Heading1"/>
    <w:link w:val="QuoteChar"/>
    <w:qFormat/>
    <w:rsid w:val="006F7389"/>
    <w:rPr>
      <w:b w:val="0"/>
      <w:sz w:val="72"/>
      <w:szCs w:val="72"/>
      <w:lang w:val="en-NZ"/>
    </w:rPr>
  </w:style>
  <w:style w:type="character" w:customStyle="1" w:styleId="QuoteChar">
    <w:name w:val="Quote Char"/>
    <w:basedOn w:val="DefaultParagraphFont"/>
    <w:link w:val="Quote"/>
    <w:rsid w:val="006F73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7389"/>
    <w:pPr>
      <w:pageBreakBefore/>
    </w:pPr>
  </w:style>
  <w:style w:type="paragraph" w:customStyle="1" w:styleId="Border">
    <w:name w:val="Border"/>
    <w:basedOn w:val="Normal"/>
    <w:qFormat/>
    <w:rsid w:val="006F73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7389"/>
    <w:rPr>
      <w:b/>
      <w:bCs/>
      <w:i/>
      <w:iCs/>
      <w:color w:val="auto"/>
    </w:rPr>
  </w:style>
  <w:style w:type="paragraph" w:styleId="IntenseQuote">
    <w:name w:val="Intense Quote"/>
    <w:basedOn w:val="Normal"/>
    <w:next w:val="Normal"/>
    <w:link w:val="IntenseQuoteChar"/>
    <w:uiPriority w:val="30"/>
    <w:qFormat/>
    <w:rsid w:val="006F73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73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7389"/>
    <w:rPr>
      <w:smallCaps/>
      <w:color w:val="auto"/>
      <w:u w:val="single"/>
    </w:rPr>
  </w:style>
  <w:style w:type="character" w:styleId="IntenseReference">
    <w:name w:val="Intense Reference"/>
    <w:basedOn w:val="DefaultParagraphFont"/>
    <w:uiPriority w:val="32"/>
    <w:qFormat/>
    <w:rsid w:val="006F7389"/>
    <w:rPr>
      <w:b/>
      <w:bCs/>
      <w:smallCaps/>
      <w:color w:val="auto"/>
      <w:spacing w:val="5"/>
      <w:u w:val="single"/>
    </w:rPr>
  </w:style>
  <w:style w:type="paragraph" w:customStyle="1" w:styleId="2ColumnHeading">
    <w:name w:val="2Column Heading"/>
    <w:basedOn w:val="BodyText"/>
    <w:qFormat/>
    <w:rsid w:val="006F7389"/>
    <w:pPr>
      <w:spacing w:after="60"/>
      <w:ind w:left="-2268"/>
    </w:pPr>
    <w:rPr>
      <w:b/>
    </w:rPr>
  </w:style>
  <w:style w:type="paragraph" w:customStyle="1" w:styleId="Heading1TOC">
    <w:name w:val="Heading1 TOC"/>
    <w:basedOn w:val="Normal"/>
    <w:qFormat/>
    <w:rsid w:val="006F7389"/>
    <w:pPr>
      <w:spacing w:before="240" w:after="120"/>
    </w:pPr>
    <w:rPr>
      <w:rFonts w:ascii="Times New Roman" w:hAnsi="Times New Roman"/>
      <w:b/>
      <w:sz w:val="32"/>
    </w:rPr>
  </w:style>
  <w:style w:type="paragraph" w:customStyle="1" w:styleId="Heading2TOC">
    <w:name w:val="Heading2 TOC"/>
    <w:basedOn w:val="Normal"/>
    <w:qFormat/>
    <w:rsid w:val="006F7389"/>
    <w:pPr>
      <w:spacing w:before="240" w:after="60"/>
    </w:pPr>
    <w:rPr>
      <w:rFonts w:ascii="Times New Roman" w:hAnsi="Times New Roman"/>
      <w:b/>
      <w:sz w:val="28"/>
    </w:rPr>
  </w:style>
  <w:style w:type="character" w:customStyle="1" w:styleId="Underline">
    <w:name w:val="Underline"/>
    <w:basedOn w:val="DefaultParagraphFont"/>
    <w:qFormat/>
    <w:rsid w:val="006F7389"/>
    <w:rPr>
      <w:u w:val="single"/>
    </w:rPr>
  </w:style>
  <w:style w:type="character" w:customStyle="1" w:styleId="BoldandItalics">
    <w:name w:val="Bold and Italics"/>
    <w:qFormat/>
    <w:rsid w:val="006F7389"/>
    <w:rPr>
      <w:b/>
      <w:i/>
      <w:u w:val="none"/>
    </w:rPr>
  </w:style>
  <w:style w:type="paragraph" w:styleId="BalloonText">
    <w:name w:val="Balloon Text"/>
    <w:basedOn w:val="Normal"/>
    <w:link w:val="BalloonTextChar"/>
    <w:rsid w:val="006F7389"/>
    <w:rPr>
      <w:rFonts w:ascii="Tahoma" w:hAnsi="Tahoma" w:cs="Tahoma"/>
      <w:sz w:val="16"/>
      <w:szCs w:val="16"/>
    </w:rPr>
  </w:style>
  <w:style w:type="character" w:customStyle="1" w:styleId="BalloonTextChar">
    <w:name w:val="Balloon Text Char"/>
    <w:basedOn w:val="DefaultParagraphFont"/>
    <w:link w:val="BalloonText"/>
    <w:rsid w:val="006F73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73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73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1295</Words>
  <Characters>8320</Characters>
  <Application>Microsoft Office Word</Application>
  <DocSecurity>0</DocSecurity>
  <Lines>292</Lines>
  <Paragraphs>178</Paragraphs>
  <ScaleCrop>false</ScaleCrop>
  <Company>Author-it Software Corporation Ltd.</Company>
  <LinksUpToDate>false</LinksUpToDate>
  <CharactersWithSpaces>9485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FNSACCT502B Prepare income tax returns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2012-05-26T06:58:00Z</dcterms:created>
  <dcterms:modified xsi:type="dcterms:W3CDTF">2012-05-26T06:58:00Z</dcterms:modified>
</cp:coreProperties>
</file>