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4D81" w:rsidP="00DF4D81">
      <w:pPr>
        <w:pStyle w:val="Title"/>
      </w:pPr>
      <w:r>
        <w:fldChar w:fldCharType="begin"/>
      </w:r>
      <w:r>
        <w:instrText xml:space="preserve"> TITLE   \* MERGEFORMAT </w:instrText>
      </w:r>
      <w:r>
        <w:fldChar w:fldCharType="separate"/>
      </w:r>
      <w:r>
        <w:t>FNSACCT407B Set up and operate a computerised accounting system</w:t>
      </w:r>
      <w:r>
        <w:fldChar w:fldCharType="end"/>
      </w:r>
    </w:p>
    <w:p w:rsidR="00DF4D81" w:rsidP="00DF4D81">
      <w:pPr>
        <w:pStyle w:val="Version"/>
        <w:sectPr w:rsidSect="00F61E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1EBB" w:rsidP="00F61EBB">
      <w:pPr>
        <w:pStyle w:val="SuperHeading"/>
      </w:pPr>
      <w:r w:rsidRPr="00F61EBB">
        <w:t>FNSACCT407B Set up and operate a computerised accounting system</w:t>
      </w:r>
    </w:p>
    <w:p w:rsidR="00000000" w:rsidRPr="00F61EBB" w:rsidP="00F61EBB">
      <w:pPr>
        <w:pStyle w:val="Heading1"/>
      </w:pPr>
      <w:bookmarkStart w:id="1" w:name="O_318460"/>
      <w:bookmarkEnd w:id="1"/>
      <w:r w:rsidRPr="00F61EBB">
        <w:t>Modification History</w:t>
      </w:r>
    </w:p>
    <w:p w:rsidR="00000000" w:rsidRPr="00F61EBB" w:rsidP="00F61EBB">
      <w:pPr>
        <w:pStyle w:val="BodyText"/>
      </w:pPr>
      <w:r w:rsidRPr="00F61EBB">
        <w:t>Not applicable.</w:t>
      </w:r>
    </w:p>
    <w:p w:rsidR="00000000" w:rsidRPr="00F61EBB" w:rsidP="00F61EBB">
      <w:pPr>
        <w:pStyle w:val="AllowPageBreak"/>
      </w:pPr>
    </w:p>
    <w:p w:rsidR="00000000" w:rsidRPr="00F61EBB" w:rsidP="00F61EBB">
      <w:pPr>
        <w:pStyle w:val="Heading1"/>
      </w:pPr>
      <w:bookmarkStart w:id="2" w:name="O_318459"/>
      <w:bookmarkEnd w:id="2"/>
      <w:r w:rsidRPr="00F61EBB">
        <w:t>Unit Descriptor</w:t>
      </w:r>
    </w:p>
    <w:p w:rsidR="00000000" w:rsidRPr="00F61EBB" w:rsidP="00F61EBB">
      <w:pPr>
        <w:pStyle w:val="BodyText"/>
      </w:pPr>
      <w:r w:rsidRPr="00F61EBB">
        <w:t>This unit covers the competency to establish and operate under supervision, a computerised accounting s</w:t>
      </w:r>
      <w:r w:rsidRPr="00F61EBB">
        <w:t>ystem.</w:t>
      </w:r>
    </w:p>
    <w:p w:rsidR="00000000" w:rsidRPr="00F61EBB" w:rsidP="00F61EBB">
      <w:pPr>
        <w:pStyle w:val="BodyText"/>
      </w:pPr>
      <w:r w:rsidRPr="00F61EBB">
        <w:t>This unit covers the competency to establish and operate under supervision, a computerised accounting system.</w:t>
      </w:r>
    </w:p>
    <w:p w:rsidR="00000000" w:rsidRPr="00F61EBB" w:rsidP="00F61EBB">
      <w:pPr>
        <w:pStyle w:val="AllowPageBreak"/>
      </w:pPr>
    </w:p>
    <w:p w:rsidR="00000000" w:rsidRPr="00F61EBB" w:rsidP="00F61EBB">
      <w:pPr>
        <w:pStyle w:val="Heading1"/>
      </w:pPr>
      <w:bookmarkStart w:id="3" w:name="O_318458"/>
      <w:bookmarkEnd w:id="3"/>
      <w:r w:rsidRPr="00F61EBB">
        <w:t>Application of the Unit</w:t>
      </w:r>
    </w:p>
    <w:p w:rsidR="00000000" w:rsidRPr="00F61EBB" w:rsidP="00F61EBB">
      <w:pPr>
        <w:pStyle w:val="BodyText"/>
      </w:pPr>
      <w:r w:rsidRPr="00F61EBB">
        <w:t>This unit requires the application of skills and knowledge required to set up and operate a comput</w:t>
      </w:r>
      <w:r w:rsidRPr="00F61EBB">
        <w:t xml:space="preserve">erised accounting system. </w:t>
      </w:r>
    </w:p>
    <w:p w:rsidR="00000000" w:rsidRPr="00F61EBB" w:rsidP="00F61EBB">
      <w:pPr>
        <w:pStyle w:val="BodyText"/>
      </w:pPr>
      <w:r w:rsidRPr="00F61EBB">
        <w:t xml:space="preserve">The unit encompasses implementing an integrated accounting system, processing transactions within the system, maintaining the system, producing reports and ensuring system integrity. </w:t>
      </w:r>
    </w:p>
    <w:p w:rsidR="00000000" w:rsidRPr="00F61EBB" w:rsidP="00F61EBB">
      <w:pPr>
        <w:pStyle w:val="BodyText"/>
      </w:pPr>
      <w:r w:rsidRPr="00F61EBB">
        <w:t>The unit has application across all sectors o</w:t>
      </w:r>
      <w:r w:rsidRPr="00F61EBB">
        <w:t xml:space="preserve">f the financial services sector and has application to job functions such as accounts receivable and payable clerks. </w:t>
      </w:r>
    </w:p>
    <w:p w:rsidR="00000000" w:rsidRPr="00F61EBB" w:rsidP="00F61EBB">
      <w:pPr>
        <w:pStyle w:val="BodyText"/>
      </w:pPr>
      <w:r w:rsidRPr="00F61EBB">
        <w:t xml:space="preserve">This unit requires the application of skills and knowledge required to set up and operate a computerised accounting system. </w:t>
      </w:r>
    </w:p>
    <w:p w:rsidR="00000000" w:rsidRPr="00F61EBB" w:rsidP="00F61EBB">
      <w:pPr>
        <w:pStyle w:val="BodyText"/>
      </w:pPr>
      <w:r w:rsidRPr="00F61EBB">
        <w:t xml:space="preserve">The unit encompasses implementing an integrated accounting system, processing transactions within the system, maintaining the system, producing reports and ensuring system integrity. </w:t>
      </w:r>
    </w:p>
    <w:p w:rsidR="00000000" w:rsidRPr="00F61EBB" w:rsidP="00F61EBB">
      <w:pPr>
        <w:pStyle w:val="BodyText"/>
      </w:pPr>
      <w:r w:rsidRPr="00F61EBB">
        <w:t>The unit has application across all sectors of the financial services se</w:t>
      </w:r>
      <w:r w:rsidRPr="00F61EBB">
        <w:t xml:space="preserve">ctor and has application to job functions such as accounts receivable and payable clerks. </w:t>
      </w:r>
    </w:p>
    <w:p w:rsidR="00000000" w:rsidRPr="00F61EBB" w:rsidP="00F61EBB">
      <w:pPr>
        <w:pStyle w:val="AllowPageBreak"/>
      </w:pPr>
    </w:p>
    <w:p w:rsidR="00000000" w:rsidRPr="00F61EBB" w:rsidP="00F61EBB">
      <w:pPr>
        <w:pStyle w:val="Heading1"/>
      </w:pPr>
      <w:bookmarkStart w:id="4" w:name="O_318457"/>
      <w:bookmarkEnd w:id="4"/>
      <w:r w:rsidRPr="00F61EBB">
        <w:t>Licensing/Regulatory Information</w:t>
      </w:r>
    </w:p>
    <w:p w:rsidR="00000000" w:rsidRPr="00F61EBB" w:rsidP="00F61EBB">
      <w:pPr>
        <w:pStyle w:val="BodyText"/>
      </w:pPr>
      <w:r w:rsidRPr="00F61EBB">
        <w:t>Not applicable.</w:t>
      </w:r>
    </w:p>
    <w:p w:rsidR="00000000" w:rsidRPr="00F61EBB" w:rsidP="00F61EBB">
      <w:pPr>
        <w:pStyle w:val="AllowPageBreak"/>
      </w:pPr>
    </w:p>
    <w:p w:rsidR="00000000" w:rsidRPr="00F61EBB" w:rsidP="00F61EBB">
      <w:pPr>
        <w:pStyle w:val="Heading1"/>
      </w:pPr>
      <w:bookmarkStart w:id="5" w:name="O_318456"/>
      <w:bookmarkEnd w:id="5"/>
      <w:r w:rsidRPr="00F61EBB">
        <w:t>Pre-Requisites</w:t>
      </w:r>
    </w:p>
    <w:p w:rsidR="00000000" w:rsidRPr="00F61EBB" w:rsidP="00F61EBB">
      <w:pPr>
        <w:pStyle w:val="BodyText"/>
      </w:pPr>
      <w:r w:rsidRPr="00F61EBB">
        <w:t>Not applicable.</w:t>
      </w:r>
    </w:p>
    <w:p w:rsidR="00000000" w:rsidRPr="00F61EBB" w:rsidP="00F61EBB">
      <w:pPr>
        <w:pStyle w:val="AllowPageBreak"/>
      </w:pPr>
    </w:p>
    <w:p w:rsidR="00000000" w:rsidRPr="00F61EBB" w:rsidP="00F61EBB">
      <w:pPr>
        <w:pStyle w:val="Heading1"/>
      </w:pPr>
      <w:bookmarkStart w:id="6" w:name="O_318455"/>
      <w:bookmarkEnd w:id="6"/>
      <w:r w:rsidRPr="00F61EBB">
        <w:t>Employability Skills Information</w:t>
      </w:r>
    </w:p>
    <w:p w:rsidR="00000000" w:rsidRPr="00F61EBB" w:rsidP="00F61EBB">
      <w:pPr>
        <w:pStyle w:val="BodyText"/>
      </w:pPr>
      <w:r w:rsidRPr="00F61EBB">
        <w:t>T</w:t>
      </w:r>
      <w:r w:rsidRPr="00F61EBB">
        <w:t>he required outcomes described in this unit of competency contain applicable facets of employability skills. The Employability Skills Summary for the qualification in which this unit of competency is packaged, will assist in identifying employability skill</w:t>
      </w:r>
      <w:r w:rsidRPr="00F61EBB">
        <w:t>s requirements.</w:t>
      </w:r>
    </w:p>
    <w:p w:rsidR="00000000" w:rsidRPr="00F61EBB" w:rsidP="00F61EBB">
      <w:pPr>
        <w:pStyle w:val="BodyText"/>
      </w:pPr>
      <w:r w:rsidRPr="00F61EBB">
        <w:t>The required outcomes described in this unit of competency contain applicable facets of employability skills. The Employability Skills Summary for the qualification in which this unit of competency is packaged, will assist in identifying em</w:t>
      </w:r>
      <w:r w:rsidRPr="00F61EBB">
        <w:t>ployability skills requirements.</w:t>
      </w:r>
    </w:p>
    <w:p w:rsidR="00000000" w:rsidRPr="00F61EBB" w:rsidP="00F61EBB">
      <w:pPr>
        <w:pStyle w:val="AllowPageBreak"/>
      </w:pPr>
    </w:p>
    <w:p w:rsidR="00000000" w:rsidRPr="00F61EBB" w:rsidP="00F61EBB">
      <w:pPr>
        <w:pStyle w:val="Heading1"/>
      </w:pPr>
      <w:bookmarkStart w:id="7" w:name="O_318454"/>
      <w:bookmarkEnd w:id="7"/>
      <w:r w:rsidRPr="00F61EBB">
        <w:t>Elements and Performance Criteria Pre-Content</w:t>
      </w:r>
    </w:p>
    <w:p w:rsidR="00000000" w:rsidRPr="00F61EBB" w:rsidP="00F61EBB">
      <w:pPr>
        <w:pStyle w:val="BodyText"/>
      </w:pPr>
      <w:r w:rsidRPr="00F61EBB">
        <w:t>Elements define the essential outcomes of a unit of competency.</w:t>
      </w:r>
    </w:p>
    <w:p w:rsidR="00000000" w:rsidRPr="00F61EBB" w:rsidP="00F61EBB">
      <w:pPr>
        <w:pStyle w:val="BodyText"/>
      </w:pPr>
      <w:r w:rsidRPr="00F61EBB">
        <w:t xml:space="preserve">Performance Criteria describe the required performance needed to demonstrate achievement of the Element. </w:t>
      </w:r>
      <w:r w:rsidRPr="00F61EBB">
        <w:rPr>
          <w:rStyle w:val="SpecialBold"/>
        </w:rPr>
        <w:t xml:space="preserve">Bold, italicised </w:t>
      </w:r>
      <w:r w:rsidRPr="00F61EBB">
        <w:t>terms are elaborated in the Range Statement. Assessment of performance is to be consistent with the Evidence Guide.</w:t>
      </w:r>
    </w:p>
    <w:p w:rsidR="00000000" w:rsidRPr="00F61EBB" w:rsidP="00F61EBB">
      <w:pPr>
        <w:pStyle w:val="BodyText"/>
      </w:pPr>
      <w:r w:rsidRPr="00F61EBB">
        <w:t>Elements define th</w:t>
      </w:r>
      <w:r w:rsidRPr="00F61EBB">
        <w:t>e essential outcomes of a unit of competency.</w:t>
      </w:r>
    </w:p>
    <w:p w:rsidR="00000000" w:rsidRPr="00F61EBB" w:rsidP="00F61EBB">
      <w:pPr>
        <w:pStyle w:val="BodyText"/>
      </w:pPr>
      <w:r w:rsidRPr="00F61EBB">
        <w:t xml:space="preserve">Performance Criteria describe the required performance needed to demonstrate achievement of the Element. </w:t>
      </w:r>
      <w:r w:rsidRPr="00F61EBB">
        <w:rPr>
          <w:rStyle w:val="SpecialBold"/>
        </w:rPr>
        <w:t xml:space="preserve">Bold, italicised </w:t>
      </w:r>
      <w:r w:rsidRPr="00F61EBB">
        <w:t>terms are elaborated in the Range Statement. Assessment of performance is to be consiste</w:t>
      </w:r>
      <w:r w:rsidRPr="00F61EBB">
        <w:t>nt with the Evidence Guide.</w:t>
      </w:r>
    </w:p>
    <w:p w:rsidR="00000000" w:rsidRPr="00F61EBB" w:rsidP="00F61EBB">
      <w:pPr>
        <w:pStyle w:val="AllowPageBreak"/>
      </w:pPr>
    </w:p>
    <w:p w:rsidR="00000000" w:rsidRPr="00F61EBB" w:rsidP="00F61EBB">
      <w:pPr>
        <w:pStyle w:val="Heading1"/>
      </w:pPr>
      <w:bookmarkStart w:id="8" w:name="O_318453"/>
      <w:bookmarkEnd w:id="8"/>
      <w:r w:rsidRPr="00F61EB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DF4D8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rPr>
                <w:rStyle w:val="SpecialBold"/>
              </w:rPr>
              <w:t>Elements and Performance Criteria</w:t>
            </w:r>
          </w:p>
        </w:tc>
      </w:tr>
      <w:tr w:rsidTr="00DF4D8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61EBB" w:rsidP="00F61EBB">
            <w:pPr>
              <w:pStyle w:val="BodyText"/>
            </w:pPr>
            <w:r w:rsidRPr="00F61EB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rPr>
                <w:rStyle w:val="SpecialBold"/>
              </w:rPr>
              <w:t>Performance Criteria</w:t>
            </w:r>
          </w:p>
        </w:tc>
      </w:tr>
      <w:tr w:rsidTr="00DF4D8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1</w:t>
            </w:r>
          </w:p>
        </w:tc>
        <w:tc>
          <w:tcPr>
            <w:tcW w:w="3000" w:type="dxa"/>
            <w:vMerge w:val="restart"/>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Implement an integrated accounting system</w:t>
            </w:r>
          </w:p>
        </w:tc>
        <w:tc>
          <w:tcPr>
            <w:tcW w:w="5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1.1</w:t>
            </w:r>
          </w:p>
        </w:tc>
        <w:tc>
          <w:tcPr>
            <w:tcW w:w="51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 xml:space="preserve">The general ledger and </w:t>
            </w:r>
            <w:r w:rsidRPr="00F61EBB">
              <w:rPr>
                <w:rStyle w:val="SpecialBold"/>
              </w:rPr>
              <w:t xml:space="preserve">chart of accounts </w:t>
            </w:r>
            <w:r w:rsidRPr="00F61EBB">
              <w:t>are implemented in accordance with organisational requirements</w:t>
            </w:r>
          </w:p>
        </w:tc>
      </w:tr>
      <w:tr w:rsidTr="00DF4D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1.2</w:t>
            </w:r>
          </w:p>
        </w:tc>
        <w:tc>
          <w:tcPr>
            <w:tcW w:w="51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 xml:space="preserve">Customers, suppliers and inventory items are set up in accordance with </w:t>
            </w:r>
            <w:r w:rsidRPr="00F61EBB">
              <w:rPr>
                <w:rStyle w:val="SpecialBold"/>
              </w:rPr>
              <w:t>organisational requirements</w:t>
            </w:r>
          </w:p>
        </w:tc>
      </w:tr>
      <w:tr w:rsidTr="00DF4D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1.3</w:t>
            </w:r>
          </w:p>
        </w:tc>
        <w:tc>
          <w:tcPr>
            <w:tcW w:w="51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A system is set up to meet the reporting requirements of Goods and Services Tax (GST)</w:t>
            </w:r>
          </w:p>
        </w:tc>
      </w:tr>
      <w:tr w:rsidTr="00DF4D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61EBB" w:rsidP="00F61EBB">
            <w:pPr>
              <w:pStyle w:val="BodyText"/>
            </w:pPr>
            <w:r w:rsidRPr="00F61EBB">
              <w:t>1.4</w:t>
            </w:r>
          </w:p>
        </w:tc>
        <w:tc>
          <w:tcPr>
            <w:tcW w:w="51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rPr>
                <w:rStyle w:val="SpecialBold"/>
              </w:rPr>
              <w:t xml:space="preserve">Appropriate technical help </w:t>
            </w:r>
            <w:r w:rsidRPr="00F61EBB">
              <w:t>is used to solve any operational problems</w:t>
            </w:r>
          </w:p>
        </w:tc>
      </w:tr>
      <w:tr w:rsidTr="00DF4D8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2</w:t>
            </w:r>
          </w:p>
        </w:tc>
        <w:tc>
          <w:tcPr>
            <w:tcW w:w="3000" w:type="dxa"/>
            <w:vMerge w:val="restart"/>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Process transactions within the system</w:t>
            </w:r>
          </w:p>
        </w:tc>
        <w:tc>
          <w:tcPr>
            <w:tcW w:w="5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2.1</w:t>
            </w:r>
          </w:p>
        </w:tc>
        <w:tc>
          <w:tcPr>
            <w:tcW w:w="51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Input data is collated, coded and classified before processing</w:t>
            </w:r>
          </w:p>
        </w:tc>
      </w:tr>
      <w:tr w:rsidTr="00DF4D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2.2</w:t>
            </w:r>
          </w:p>
        </w:tc>
        <w:tc>
          <w:tcPr>
            <w:tcW w:w="51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 xml:space="preserve">A wide range of cash and credit </w:t>
            </w:r>
            <w:r w:rsidRPr="00F61EBB">
              <w:rPr>
                <w:rStyle w:val="SpecialBold"/>
              </w:rPr>
              <w:t xml:space="preserve">transactions </w:t>
            </w:r>
            <w:r w:rsidRPr="00F61EBB">
              <w:t>are processed in both a service and trading environment</w:t>
            </w:r>
          </w:p>
        </w:tc>
      </w:tr>
      <w:tr w:rsidTr="00DF4D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2.3</w:t>
            </w:r>
          </w:p>
        </w:tc>
        <w:tc>
          <w:tcPr>
            <w:tcW w:w="51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 xml:space="preserve">The general journal is used to make any </w:t>
            </w:r>
            <w:r w:rsidRPr="00F61EBB">
              <w:rPr>
                <w:rStyle w:val="SpecialBold"/>
              </w:rPr>
              <w:t xml:space="preserve">balance day adjustments </w:t>
            </w:r>
            <w:r w:rsidRPr="00F61EBB">
              <w:t>for prepayments and accruals</w:t>
            </w:r>
          </w:p>
        </w:tc>
      </w:tr>
      <w:tr w:rsidTr="00DF4D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2.4</w:t>
            </w:r>
          </w:p>
        </w:tc>
        <w:tc>
          <w:tcPr>
            <w:tcW w:w="51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The system outputs is reviewed to verify the accuracy of data input</w:t>
            </w:r>
          </w:p>
        </w:tc>
      </w:tr>
      <w:tr w:rsidTr="00DF4D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2.5</w:t>
            </w:r>
          </w:p>
        </w:tc>
        <w:tc>
          <w:tcPr>
            <w:tcW w:w="51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Adjustments are made for any detected processing errors</w:t>
            </w:r>
          </w:p>
        </w:tc>
      </w:tr>
      <w:tr w:rsidTr="00DF4D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2.6</w:t>
            </w:r>
          </w:p>
        </w:tc>
        <w:tc>
          <w:tcPr>
            <w:tcW w:w="51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An end of financial year rollover is performed</w:t>
            </w:r>
          </w:p>
        </w:tc>
      </w:tr>
      <w:tr w:rsidTr="00DF4D8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3</w:t>
            </w:r>
          </w:p>
        </w:tc>
        <w:tc>
          <w:tcPr>
            <w:tcW w:w="3000" w:type="dxa"/>
            <w:vMerge w:val="restart"/>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Maintain the system</w:t>
            </w:r>
          </w:p>
        </w:tc>
        <w:tc>
          <w:tcPr>
            <w:tcW w:w="5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3.1</w:t>
            </w:r>
          </w:p>
        </w:tc>
        <w:tc>
          <w:tcPr>
            <w:tcW w:w="51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 xml:space="preserve">Any new </w:t>
            </w:r>
            <w:r w:rsidRPr="00F61EBB">
              <w:t>general ledger accounts, customer, supplier, inventory and fixed asset records are added as required</w:t>
            </w:r>
          </w:p>
        </w:tc>
      </w:tr>
      <w:tr w:rsidTr="00DF4D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3.2</w:t>
            </w:r>
          </w:p>
        </w:tc>
        <w:tc>
          <w:tcPr>
            <w:tcW w:w="51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Any existing chart of accounts, customer, supplier, inventory and fixed asset records are maintained and updated</w:t>
            </w:r>
          </w:p>
        </w:tc>
      </w:tr>
      <w:tr w:rsidTr="00DF4D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3.3</w:t>
            </w:r>
          </w:p>
        </w:tc>
        <w:tc>
          <w:tcPr>
            <w:tcW w:w="51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The chart of accounts is customised to meet the reporting requirements of the organisation</w:t>
            </w:r>
          </w:p>
        </w:tc>
      </w:tr>
      <w:tr w:rsidTr="00DF4D8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4</w:t>
            </w:r>
          </w:p>
        </w:tc>
        <w:tc>
          <w:tcPr>
            <w:tcW w:w="3000" w:type="dxa"/>
            <w:vMerge w:val="restart"/>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Produce reports</w:t>
            </w:r>
          </w:p>
        </w:tc>
        <w:tc>
          <w:tcPr>
            <w:tcW w:w="500" w:type="dxa"/>
            <w:tcBorders>
              <w:top w:val="nil"/>
              <w:left w:val="nil"/>
              <w:bottom w:val="nil"/>
              <w:right w:val="nil"/>
            </w:tcBorders>
            <w:tcMar>
              <w:top w:w="0" w:type="dxa"/>
              <w:left w:w="62" w:type="dxa"/>
              <w:bottom w:w="0" w:type="dxa"/>
              <w:right w:w="62" w:type="dxa"/>
            </w:tcMar>
          </w:tcPr>
          <w:p w:rsidR="00000000" w:rsidRPr="00F61EBB" w:rsidP="00F61EBB">
            <w:pPr>
              <w:pStyle w:val="BodyText"/>
            </w:pPr>
            <w:r w:rsidRPr="00F61EBB">
              <w:t>4.1</w:t>
            </w:r>
          </w:p>
        </w:tc>
        <w:tc>
          <w:tcPr>
            <w:tcW w:w="51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rPr>
                <w:rStyle w:val="SpecialBold"/>
              </w:rPr>
              <w:t xml:space="preserve">Reports </w:t>
            </w:r>
            <w:r w:rsidRPr="00F61EBB">
              <w:t>to indicate the financial performance and financial position of the organisation are generated</w:t>
            </w:r>
          </w:p>
        </w:tc>
      </w:tr>
      <w:tr w:rsidTr="00DF4D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4.2</w:t>
            </w:r>
          </w:p>
        </w:tc>
        <w:tc>
          <w:tcPr>
            <w:tcW w:w="51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Reports to meet the GST reporting requirements of the organisation are generated</w:t>
            </w:r>
          </w:p>
        </w:tc>
      </w:tr>
      <w:tr w:rsidTr="00DF4D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4.3</w:t>
            </w:r>
          </w:p>
        </w:tc>
        <w:tc>
          <w:tcPr>
            <w:tcW w:w="51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 xml:space="preserve">Reports to ensure that </w:t>
            </w:r>
            <w:r w:rsidRPr="00F61EBB">
              <w:rPr>
                <w:rStyle w:val="SpecialBold"/>
              </w:rPr>
              <w:t>subsidiary ledgers</w:t>
            </w:r>
            <w:r w:rsidRPr="00F61EBB">
              <w:t>/accounts reconcile with the general ledger are generated</w:t>
            </w:r>
          </w:p>
        </w:tc>
      </w:tr>
      <w:tr w:rsidTr="00DF4D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4.4</w:t>
            </w:r>
          </w:p>
        </w:tc>
        <w:tc>
          <w:tcPr>
            <w:tcW w:w="51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Reports, which ensure that the bank account reconciles with the bank statement, over at least two reporting periods are generated</w:t>
            </w:r>
          </w:p>
        </w:tc>
      </w:tr>
      <w:tr w:rsidTr="00DF4D8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5</w:t>
            </w:r>
          </w:p>
        </w:tc>
        <w:tc>
          <w:tcPr>
            <w:tcW w:w="3000" w:type="dxa"/>
            <w:vMerge w:val="restart"/>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Ensure system integrity</w:t>
            </w:r>
          </w:p>
        </w:tc>
        <w:tc>
          <w:tcPr>
            <w:tcW w:w="5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5.1</w:t>
            </w:r>
          </w:p>
        </w:tc>
        <w:tc>
          <w:tcPr>
            <w:tcW w:w="51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Regular back-ups of the system are made to ensure against loss or corruption of data</w:t>
            </w:r>
          </w:p>
        </w:tc>
      </w:tr>
      <w:tr w:rsidTr="00DF4D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5.2</w:t>
            </w:r>
          </w:p>
        </w:tc>
        <w:tc>
          <w:tcPr>
            <w:tcW w:w="51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Dat</w:t>
            </w:r>
            <w:r w:rsidRPr="00F61EBB">
              <w:t>a back-ups are restored in the event of loss or corruption of data</w:t>
            </w:r>
          </w:p>
        </w:tc>
      </w:tr>
      <w:tr w:rsidTr="00DF4D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5.3</w:t>
            </w:r>
          </w:p>
        </w:tc>
        <w:tc>
          <w:tcPr>
            <w:tcW w:w="5100" w:type="dxa"/>
            <w:tcBorders>
              <w:top w:val="nil"/>
              <w:left w:val="nil"/>
              <w:bottom w:val="nil"/>
              <w:right w:val="nil"/>
            </w:tcBorders>
            <w:tcMar>
              <w:top w:w="0" w:type="dxa"/>
              <w:left w:w="62" w:type="dxa"/>
              <w:bottom w:w="0" w:type="dxa"/>
              <w:right w:w="62" w:type="dxa"/>
            </w:tcMar>
          </w:tcPr>
          <w:p w:rsidR="00000000" w:rsidRPr="00F61EBB" w:rsidP="00F61EBB">
            <w:pPr>
              <w:pStyle w:val="BodyText"/>
            </w:pPr>
            <w:r w:rsidRPr="00F61EBB">
              <w:t>A secure record of all processed transactions is maintained for audit purposes</w:t>
            </w:r>
          </w:p>
        </w:tc>
      </w:tr>
    </w:tbl>
    <w:p w:rsidR="00000000" w:rsidRPr="00F61EBB" w:rsidP="00F61EBB">
      <w:pPr>
        <w:pStyle w:val="BodyText"/>
      </w:pPr>
    </w:p>
    <w:p w:rsidR="00000000" w:rsidRPr="00F61EBB" w:rsidP="00F61EBB">
      <w:pPr>
        <w:pStyle w:val="AllowPageBreak"/>
      </w:pPr>
    </w:p>
    <w:p w:rsidR="00000000" w:rsidRPr="00F61EBB" w:rsidP="00F61EBB">
      <w:pPr>
        <w:pStyle w:val="Heading1"/>
      </w:pPr>
      <w:bookmarkStart w:id="9" w:name="O_318449"/>
      <w:bookmarkEnd w:id="9"/>
      <w:r w:rsidRPr="00F61EBB">
        <w:t>Required Skills and Knowledge</w:t>
      </w:r>
    </w:p>
    <w:tbl>
      <w:tblPr>
        <w:tblW w:w="0" w:type="auto"/>
        <w:tblLayout w:type="fixed"/>
        <w:tblCellMar>
          <w:left w:w="62" w:type="dxa"/>
          <w:right w:w="62" w:type="dxa"/>
        </w:tblCellMar>
        <w:tblLook w:val="0000"/>
      </w:tblPr>
      <w:tblGrid>
        <w:gridCol w:w="9000"/>
      </w:tblGrid>
      <w:tr w:rsidTr="00DF4D8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rPr>
                <w:rStyle w:val="SpecialBold"/>
              </w:rPr>
              <w:t>REQUIRED KNOWLEDGE</w:t>
            </w:r>
            <w:r w:rsidRPr="00F61EBB">
              <w:t>&amp;</w:t>
            </w:r>
            <w:r w:rsidRPr="00F61EBB">
              <w:rPr>
                <w:rStyle w:val="SpecialBold"/>
              </w:rPr>
              <w:t>SKILLS</w:t>
            </w:r>
          </w:p>
        </w:tc>
      </w:tr>
      <w:tr w:rsidTr="00DF4D8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61EBB" w:rsidP="00F61EBB">
            <w:pPr>
              <w:pStyle w:val="BodyText"/>
            </w:pPr>
            <w:r w:rsidRPr="00F61EBB">
              <w:rPr>
                <w:rStyle w:val="SpecialBold"/>
              </w:rPr>
              <w:t>Knowledge requirements include</w:t>
            </w:r>
            <w:r w:rsidRPr="00F61EBB">
              <w:t xml:space="preserve">: </w:t>
            </w:r>
          </w:p>
          <w:p w:rsidR="00000000" w:rsidRPr="00F61EBB" w:rsidP="00F61EBB">
            <w:pPr>
              <w:pStyle w:val="BodyText"/>
            </w:pPr>
            <w:r w:rsidRPr="00F61EBB">
              <w:t>current relevant legislation and statutory requirements including those relating to occupational health and safety (OH&amp;S)</w:t>
            </w:r>
          </w:p>
          <w:p w:rsidR="00000000" w:rsidRPr="00F61EBB" w:rsidP="00F61EBB">
            <w:pPr>
              <w:pStyle w:val="BodyText"/>
            </w:pPr>
            <w:r w:rsidRPr="00F61EBB">
              <w:t>relevant source documents and information contained within source documents</w:t>
            </w:r>
          </w:p>
          <w:p w:rsidR="00000000" w:rsidRPr="00F61EBB" w:rsidP="00F61EBB">
            <w:pPr>
              <w:pStyle w:val="BodyText"/>
            </w:pPr>
            <w:r w:rsidRPr="00F61EBB">
              <w:t>principles of double entr</w:t>
            </w:r>
            <w:r w:rsidRPr="00F61EBB">
              <w:t>y accounting</w:t>
            </w:r>
          </w:p>
          <w:p w:rsidR="00000000" w:rsidRPr="00F61EBB" w:rsidP="00F61EBB">
            <w:pPr>
              <w:pStyle w:val="BodyText"/>
            </w:pPr>
            <w:r w:rsidRPr="00F61EBB">
              <w:t>principles and practices of accrual accounting</w:t>
            </w:r>
          </w:p>
          <w:p w:rsidR="00000000" w:rsidRPr="00F61EBB" w:rsidP="00F61EBB">
            <w:pPr>
              <w:pStyle w:val="BodyText"/>
            </w:pPr>
            <w:r w:rsidRPr="00F61EBB">
              <w:t>organisational procedures and policies relating to maintaining financial records</w:t>
            </w:r>
          </w:p>
          <w:p w:rsidR="00000000" w:rsidP="00F61EBB">
            <w:pPr>
              <w:pStyle w:val="BodyText"/>
              <w:rPr>
                <w:lang w:val="en-NZ"/>
              </w:rPr>
            </w:pPr>
            <w:r w:rsidRPr="00F61EBB">
              <w:t xml:space="preserve">current financial legislation </w:t>
            </w:r>
          </w:p>
        </w:tc>
      </w:tr>
      <w:tr w:rsidTr="00DF4D8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61EBB" w:rsidP="00F61EBB">
            <w:pPr>
              <w:pStyle w:val="BodyText"/>
            </w:pPr>
            <w:r w:rsidRPr="00F61EBB">
              <w:rPr>
                <w:rStyle w:val="SpecialBold"/>
              </w:rPr>
              <w:t>Skills requirements include</w:t>
            </w:r>
            <w:r w:rsidRPr="00F61EBB">
              <w:t xml:space="preserve">: </w:t>
            </w:r>
          </w:p>
          <w:p w:rsidR="00000000" w:rsidRPr="00F61EBB" w:rsidP="00F61EBB">
            <w:pPr>
              <w:pStyle w:val="BodyText"/>
            </w:pPr>
            <w:r w:rsidRPr="00F61EBB">
              <w:t>keyboard skills</w:t>
            </w:r>
          </w:p>
          <w:p w:rsidR="00000000" w:rsidRPr="00F61EBB" w:rsidP="00F61EBB">
            <w:pPr>
              <w:pStyle w:val="BodyText"/>
            </w:pPr>
            <w:r w:rsidRPr="00F61EBB">
              <w:t xml:space="preserve">computer literacy </w:t>
            </w:r>
          </w:p>
          <w:p w:rsidR="00000000" w:rsidRPr="00F61EBB" w:rsidP="00F61EBB">
            <w:pPr>
              <w:pStyle w:val="BodyText"/>
            </w:pPr>
            <w:r w:rsidRPr="00F61EBB">
              <w:t>numeracy for financial calculations and analysis</w:t>
            </w:r>
          </w:p>
          <w:p w:rsidR="00000000" w:rsidRPr="00F61EBB" w:rsidP="00F61EBB">
            <w:pPr>
              <w:pStyle w:val="BodyText"/>
            </w:pPr>
            <w:r w:rsidRPr="00F61EBB">
              <w:t>proofreading to check details/calculations</w:t>
            </w:r>
          </w:p>
          <w:p w:rsidR="00000000" w:rsidRPr="00F61EBB" w:rsidP="00F61EBB">
            <w:pPr>
              <w:pStyle w:val="BodyText"/>
            </w:pPr>
            <w:r w:rsidRPr="00F61EBB">
              <w:t xml:space="preserve">reading, interpreting financial statements and reports </w:t>
            </w:r>
          </w:p>
          <w:p w:rsidR="00000000" w:rsidRPr="00F61EBB" w:rsidP="00F61EBB">
            <w:pPr>
              <w:pStyle w:val="BodyText"/>
            </w:pPr>
            <w:r w:rsidRPr="00F61EBB">
              <w:t>problem solving skills for providing discrepancy solutions</w:t>
            </w:r>
          </w:p>
          <w:p w:rsidR="00000000" w:rsidRPr="00F61EBB" w:rsidP="00F61EBB">
            <w:pPr>
              <w:pStyle w:val="BodyText"/>
            </w:pPr>
            <w:r w:rsidRPr="00F61EBB">
              <w:t>recording, gathering and classifying financial in</w:t>
            </w:r>
            <w:r w:rsidRPr="00F61EBB">
              <w:t xml:space="preserve">formation </w:t>
            </w:r>
          </w:p>
        </w:tc>
      </w:tr>
    </w:tbl>
    <w:p w:rsidR="00000000" w:rsidRPr="00F61EBB" w:rsidP="00F61EBB">
      <w:pPr>
        <w:pStyle w:val="BodyText"/>
      </w:pPr>
    </w:p>
    <w:p w:rsidR="00000000" w:rsidRPr="00F61EBB" w:rsidP="00F61EBB">
      <w:pPr>
        <w:pStyle w:val="AllowPageBreak"/>
      </w:pPr>
    </w:p>
    <w:p w:rsidR="00000000" w:rsidRPr="00F61EBB" w:rsidP="00F61EBB">
      <w:pPr>
        <w:pStyle w:val="Heading1"/>
      </w:pPr>
      <w:bookmarkStart w:id="10" w:name="O_318452"/>
      <w:bookmarkEnd w:id="10"/>
      <w:r w:rsidRPr="00F61EBB">
        <w:t>Evidence Guide</w:t>
      </w:r>
    </w:p>
    <w:tbl>
      <w:tblPr>
        <w:tblW w:w="0" w:type="auto"/>
        <w:tblLayout w:type="fixed"/>
        <w:tblCellMar>
          <w:left w:w="62" w:type="dxa"/>
          <w:right w:w="62" w:type="dxa"/>
        </w:tblCellMar>
        <w:tblLook w:val="0000"/>
      </w:tblPr>
      <w:tblGrid>
        <w:gridCol w:w="4500"/>
        <w:gridCol w:w="4500"/>
      </w:tblGrid>
      <w:tr w:rsidTr="00DF4D8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rPr>
                <w:rStyle w:val="SpecialBold"/>
              </w:rPr>
              <w:t xml:space="preserve"> EVIDENCE GUIDE</w:t>
            </w:r>
          </w:p>
        </w:tc>
      </w:tr>
      <w:tr w:rsidTr="00DF4D8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 xml:space="preserve">Assessment of performance requirements in the unit should be undertaken in an industry context. The Evidence Guide identifies the critical </w:t>
            </w:r>
            <w:r w:rsidRPr="00F61EBB">
              <w:t xml:space="preserve">aspects, knowledge and skills to be demonstrated to confirm competency for the unit. Competency is demonstrated by performance of all stated criteria including the Range Statement applicable to the workplace. </w:t>
            </w:r>
          </w:p>
        </w:tc>
      </w:tr>
      <w:tr w:rsidTr="00DF4D8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rPr>
                <w:rStyle w:val="SpecialBold"/>
              </w:rPr>
              <w:t>Overview of assessment requirements</w:t>
            </w:r>
          </w:p>
        </w:tc>
      </w:tr>
      <w:tr w:rsidTr="00DF4D8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61EBB" w:rsidP="00F61EBB">
            <w:pPr>
              <w:pStyle w:val="BodyText"/>
            </w:pPr>
            <w:r w:rsidRPr="00F61EBB">
              <w:t>To ach</w:t>
            </w:r>
            <w:r w:rsidRPr="00F61EBB">
              <w:t xml:space="preserve">ieve competency in this unit, a person must be able to demonstrate: </w:t>
            </w:r>
          </w:p>
          <w:p w:rsidR="00000000" w:rsidRPr="00F61EBB" w:rsidP="00F61EBB">
            <w:pPr>
              <w:pStyle w:val="BodyText"/>
            </w:pPr>
            <w:r w:rsidRPr="00F61EBB">
              <w:t xml:space="preserve">knowledge of organisations chart of accounts </w:t>
            </w:r>
          </w:p>
          <w:p w:rsidR="00000000" w:rsidRPr="00F61EBB" w:rsidP="00F61EBB">
            <w:pPr>
              <w:pStyle w:val="BodyText"/>
            </w:pPr>
            <w:r w:rsidRPr="00F61EBB">
              <w:t xml:space="preserve">knowledge of organisational polices and procedures </w:t>
            </w:r>
          </w:p>
          <w:p w:rsidR="00000000" w:rsidRPr="00F61EBB" w:rsidP="00F61EBB">
            <w:pPr>
              <w:pStyle w:val="BodyText"/>
            </w:pPr>
            <w:r w:rsidRPr="00F61EBB">
              <w:t>ability to implement an integrated accounting system</w:t>
            </w:r>
          </w:p>
          <w:p w:rsidR="00000000" w:rsidRPr="00F61EBB" w:rsidP="00F61EBB">
            <w:pPr>
              <w:pStyle w:val="BodyText"/>
            </w:pPr>
            <w:r w:rsidRPr="00F61EBB">
              <w:t>ability to process transactions with</w:t>
            </w:r>
            <w:r w:rsidRPr="00F61EBB">
              <w:t>in the system</w:t>
            </w:r>
          </w:p>
          <w:p w:rsidR="00000000" w:rsidRPr="00F61EBB" w:rsidP="00F61EBB">
            <w:pPr>
              <w:pStyle w:val="BodyText"/>
            </w:pPr>
            <w:r w:rsidRPr="00F61EBB">
              <w:t xml:space="preserve">ability to maintain the system </w:t>
            </w:r>
          </w:p>
          <w:p w:rsidR="00000000" w:rsidRPr="00F61EBB" w:rsidP="00F61EBB">
            <w:pPr>
              <w:pStyle w:val="BodyText"/>
            </w:pPr>
            <w:r w:rsidRPr="00F61EBB">
              <w:t xml:space="preserve">ability to produce reports </w:t>
            </w:r>
          </w:p>
          <w:p w:rsidR="00000000" w:rsidP="00F61EBB">
            <w:pPr>
              <w:pStyle w:val="BodyText"/>
              <w:rPr>
                <w:lang w:val="en-NZ"/>
              </w:rPr>
            </w:pPr>
            <w:r w:rsidRPr="00F61EBB">
              <w:t xml:space="preserve">ability to ensure system integrity   </w:t>
            </w:r>
          </w:p>
        </w:tc>
      </w:tr>
      <w:tr w:rsidTr="00DF4D8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rPr>
                <w:rStyle w:val="SpecialBold"/>
              </w:rPr>
              <w:t>Critical aspects of evidence</w:t>
            </w:r>
          </w:p>
        </w:tc>
      </w:tr>
      <w:tr w:rsidTr="00DF4D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rPr>
                <w:rStyle w:val="SpecialBold"/>
              </w:rPr>
              <w:t>Evidence required for demonstration of consistent performance</w:t>
            </w:r>
            <w:r w:rsidRPr="00F61EBB">
              <w:t xml:space="preserve">: </w:t>
            </w:r>
          </w:p>
        </w:tc>
        <w:tc>
          <w:tcPr>
            <w:tcW w:w="45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t>Competence in this unit must be assessed over a</w:t>
            </w:r>
            <w:r w:rsidRPr="00F61EBB">
              <w:t xml:space="preserve"> period of time in order to ensure consistency of performance over the Range Statement and contexts applicable to the work environment. </w:t>
            </w:r>
          </w:p>
        </w:tc>
      </w:tr>
      <w:tr w:rsidTr="00DF4D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rPr>
                <w:rStyle w:val="SpecialBold"/>
              </w:rPr>
              <w:t>Delivery</w:t>
            </w:r>
            <w:r w:rsidRPr="00F61EBB">
              <w:t>/</w:t>
            </w:r>
            <w:r w:rsidRPr="00F61EBB">
              <w:rPr>
                <w:rStyle w:val="SpecialBold"/>
              </w:rPr>
              <w:t>assessment relationship to other units</w:t>
            </w:r>
            <w:r w:rsidRPr="00F61EBB">
              <w:t xml:space="preserve">: </w:t>
            </w:r>
          </w:p>
        </w:tc>
        <w:tc>
          <w:tcPr>
            <w:tcW w:w="4500" w:type="dxa"/>
            <w:tcBorders>
              <w:top w:val="nil"/>
              <w:left w:val="nil"/>
              <w:bottom w:val="nil"/>
              <w:right w:val="nil"/>
            </w:tcBorders>
            <w:tcMar>
              <w:top w:w="0" w:type="dxa"/>
              <w:left w:w="62" w:type="dxa"/>
              <w:bottom w:w="0" w:type="dxa"/>
              <w:right w:w="62" w:type="dxa"/>
            </w:tcMar>
          </w:tcPr>
          <w:p w:rsidR="00000000" w:rsidRPr="00F61EBB" w:rsidP="00F61EBB">
            <w:pPr>
              <w:pStyle w:val="BodyText"/>
            </w:pPr>
            <w:r w:rsidRPr="00F61EBB">
              <w:t xml:space="preserve">Prerequisite units:    </w:t>
            </w:r>
          </w:p>
          <w:p w:rsidR="00000000" w:rsidP="00F61EBB">
            <w:pPr>
              <w:pStyle w:val="BodyText"/>
              <w:rPr>
                <w:lang w:val="en-NZ"/>
              </w:rPr>
            </w:pPr>
            <w:r w:rsidRPr="00F61EBB">
              <w:t xml:space="preserve">BSBCMN308A Maintain financial records </w:t>
            </w:r>
          </w:p>
        </w:tc>
      </w:tr>
      <w:tr w:rsidTr="00DF4D8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rPr>
                <w:rStyle w:val="SpecialBold"/>
              </w:rPr>
              <w:t>Assessment requirements</w:t>
            </w:r>
          </w:p>
        </w:tc>
      </w:tr>
      <w:tr w:rsidTr="00DF4D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rPr>
                <w:rStyle w:val="SpecialBold"/>
              </w:rPr>
              <w:t>Method of assessment</w:t>
            </w:r>
            <w:r w:rsidRPr="00F61EBB">
              <w:t xml:space="preserve">: </w:t>
            </w:r>
          </w:p>
        </w:tc>
        <w:tc>
          <w:tcPr>
            <w:tcW w:w="4500" w:type="dxa"/>
            <w:tcBorders>
              <w:top w:val="nil"/>
              <w:left w:val="nil"/>
              <w:bottom w:val="nil"/>
              <w:right w:val="nil"/>
            </w:tcBorders>
            <w:tcMar>
              <w:top w:w="0" w:type="dxa"/>
              <w:left w:w="62" w:type="dxa"/>
              <w:bottom w:w="0" w:type="dxa"/>
              <w:right w:w="62" w:type="dxa"/>
            </w:tcMar>
          </w:tcPr>
          <w:p w:rsidR="00000000" w:rsidRPr="00F61EBB" w:rsidP="00F61EBB">
            <w:pPr>
              <w:pStyle w:val="BodyText"/>
            </w:pPr>
            <w:r w:rsidRPr="00F61EBB">
              <w:t>For valid and reliable assessment of this unit, evidence should be gathered through a range of methods to indicate consistent performance.</w:t>
            </w:r>
          </w:p>
          <w:p w:rsidR="00000000" w:rsidP="00F61EBB">
            <w:pPr>
              <w:pStyle w:val="BodyText"/>
              <w:rPr>
                <w:lang w:val="en-NZ"/>
              </w:rPr>
            </w:pPr>
            <w:r w:rsidRPr="00F61EBB">
              <w:t>Assessment of this unit of competence will usually include observati</w:t>
            </w:r>
            <w:r w:rsidRPr="00F61EBB">
              <w:t xml:space="preserve">on of processes and procedures, oral and/or written questioning on underpinning knowledge and skills and other methods as required. </w:t>
            </w:r>
          </w:p>
        </w:tc>
      </w:tr>
      <w:tr w:rsidTr="00DF4D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rPr>
                <w:rStyle w:val="SpecialBold"/>
              </w:rPr>
              <w:t>Context of assessment</w:t>
            </w:r>
            <w:r w:rsidRPr="00F61EBB">
              <w:t xml:space="preserve">: </w:t>
            </w:r>
          </w:p>
        </w:tc>
        <w:tc>
          <w:tcPr>
            <w:tcW w:w="4500" w:type="dxa"/>
            <w:tcBorders>
              <w:top w:val="nil"/>
              <w:left w:val="nil"/>
              <w:bottom w:val="nil"/>
              <w:right w:val="nil"/>
            </w:tcBorders>
            <w:tcMar>
              <w:top w:w="0" w:type="dxa"/>
              <w:left w:w="62" w:type="dxa"/>
              <w:bottom w:w="0" w:type="dxa"/>
              <w:right w:w="62" w:type="dxa"/>
            </w:tcMar>
          </w:tcPr>
          <w:p w:rsidR="00000000" w:rsidRPr="00F61EBB" w:rsidP="00F61EBB">
            <w:pPr>
              <w:pStyle w:val="BodyText"/>
            </w:pPr>
            <w:r w:rsidRPr="00F61EBB">
              <w:t>Assessment of performance requirements in this unit should be undertaken within the financial serv</w:t>
            </w:r>
            <w:r w:rsidRPr="00F61EBB">
              <w:t xml:space="preserve">ices industry context and should cover aspects of personal/financial responsibility and accountability. </w:t>
            </w:r>
          </w:p>
          <w:p w:rsidR="00000000" w:rsidP="00F61EBB">
            <w:pPr>
              <w:pStyle w:val="BodyText"/>
              <w:rPr>
                <w:lang w:val="en-NZ"/>
              </w:rPr>
            </w:pPr>
            <w:r w:rsidRPr="00F61EBB">
              <w:t>Aspects of competency, including the attainment of relevant knowledge and skills, may be assessed in a relevant workplace, a closely simulated work env</w:t>
            </w:r>
            <w:r w:rsidRPr="00F61EBB">
              <w:t xml:space="preserve">ironment, or other appropriate means that clearly meet industry competency requirements. </w:t>
            </w:r>
          </w:p>
        </w:tc>
      </w:tr>
      <w:tr w:rsidTr="00DF4D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rPr>
                <w:rStyle w:val="SpecialBold"/>
              </w:rPr>
              <w:t>Resources required for assessment</w:t>
            </w:r>
            <w:r w:rsidRPr="00F61EBB">
              <w:t xml:space="preserve">: </w:t>
            </w:r>
          </w:p>
        </w:tc>
        <w:tc>
          <w:tcPr>
            <w:tcW w:w="4500" w:type="dxa"/>
            <w:tcBorders>
              <w:top w:val="nil"/>
              <w:left w:val="nil"/>
              <w:bottom w:val="nil"/>
              <w:right w:val="nil"/>
            </w:tcBorders>
            <w:tcMar>
              <w:top w:w="0" w:type="dxa"/>
              <w:left w:w="62" w:type="dxa"/>
              <w:bottom w:w="0" w:type="dxa"/>
              <w:right w:w="62" w:type="dxa"/>
            </w:tcMar>
          </w:tcPr>
          <w:p w:rsidR="00000000" w:rsidRPr="00F61EBB" w:rsidP="00F61EBB">
            <w:pPr>
              <w:pStyle w:val="BodyText"/>
            </w:pPr>
            <w:r w:rsidRPr="00F61EBB">
              <w:t>Assessment of this unit of competence requires access to suitable resources to demonstrate competence.</w:t>
            </w:r>
          </w:p>
          <w:p w:rsidR="00000000" w:rsidRPr="00F61EBB" w:rsidP="00F61EBB">
            <w:pPr>
              <w:pStyle w:val="BodyText"/>
            </w:pPr>
            <w:r w:rsidRPr="00F61EBB">
              <w:t>Assessment instruments, including personal planner and assessment record book.</w:t>
            </w:r>
          </w:p>
          <w:p w:rsidR="00000000" w:rsidRPr="00F61EBB" w:rsidP="00F61EBB">
            <w:pPr>
              <w:pStyle w:val="BodyText"/>
            </w:pPr>
            <w:r w:rsidRPr="00F61EBB">
              <w:t xml:space="preserve">Access to registered provider of assessment services. </w:t>
            </w:r>
          </w:p>
        </w:tc>
      </w:tr>
    </w:tbl>
    <w:p w:rsidR="00000000" w:rsidRPr="00F61EBB" w:rsidP="00F61EBB">
      <w:pPr>
        <w:pStyle w:val="BodyText"/>
      </w:pPr>
    </w:p>
    <w:p w:rsidR="00000000" w:rsidRPr="00F61EBB" w:rsidP="00F61EBB">
      <w:pPr>
        <w:pStyle w:val="AllowPageBreak"/>
      </w:pPr>
    </w:p>
    <w:p w:rsidR="00000000" w:rsidRPr="00F61EBB" w:rsidP="00F61EBB">
      <w:pPr>
        <w:pStyle w:val="Heading1"/>
      </w:pPr>
      <w:bookmarkStart w:id="11" w:name="O_318461"/>
      <w:bookmarkEnd w:id="11"/>
      <w:r w:rsidRPr="00F61EBB">
        <w:t>Range Statement</w:t>
      </w:r>
    </w:p>
    <w:tbl>
      <w:tblPr>
        <w:tblW w:w="0" w:type="auto"/>
        <w:tblLayout w:type="fixed"/>
        <w:tblCellMar>
          <w:left w:w="62" w:type="dxa"/>
          <w:right w:w="62" w:type="dxa"/>
        </w:tblCellMar>
        <w:tblLook w:val="0000"/>
      </w:tblPr>
      <w:tblGrid>
        <w:gridCol w:w="4500"/>
        <w:gridCol w:w="4500"/>
      </w:tblGrid>
      <w:tr w:rsidTr="00DF4D8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61EBB">
            <w:pPr>
              <w:pStyle w:val="BodyText"/>
              <w:rPr>
                <w:lang w:val="en-NZ"/>
              </w:rPr>
            </w:pPr>
          </w:p>
        </w:tc>
      </w:tr>
      <w:tr w:rsidTr="00DF4D8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61EBB" w:rsidP="00F61EBB">
            <w:pPr>
              <w:pStyle w:val="BodyText"/>
            </w:pPr>
            <w:r w:rsidRPr="00F61EBB">
              <w:t>The Range Statement relates to the unit of competency as a whole. It allows for diff</w:t>
            </w:r>
            <w:r w:rsidRPr="00F61EBB">
              <w:t>erent work environments and situations that will affect performance.</w:t>
            </w:r>
          </w:p>
          <w:p w:rsidR="00000000" w:rsidP="00F61EBB">
            <w:pPr>
              <w:pStyle w:val="BodyText"/>
              <w:rPr>
                <w:lang w:val="en-NZ"/>
              </w:rPr>
            </w:pPr>
            <w:r w:rsidRPr="00F61EBB">
              <w:t>The following variables may be present with training and assessment depending on the work situation, needs of the candidate, accessibility of the item, and local industry and regional con</w:t>
            </w:r>
            <w:r w:rsidRPr="00F61EBB">
              <w:t xml:space="preserve">texts. If </w:t>
            </w:r>
            <w:r w:rsidRPr="00F61EBB">
              <w:rPr>
                <w:rStyle w:val="SpecialBold"/>
              </w:rPr>
              <w:t>bold italicised</w:t>
            </w:r>
            <w:r w:rsidRPr="00F61EBB">
              <w:t xml:space="preserve"> text is shown in Performance Criteria, details of the text are provided in the Range Statement. </w:t>
            </w:r>
          </w:p>
        </w:tc>
      </w:tr>
      <w:tr w:rsidTr="00DF4D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rPr>
                <w:rStyle w:val="SpecialBold"/>
              </w:rPr>
              <w:t>Chart of accounts</w:t>
            </w:r>
            <w:r w:rsidRPr="00F61EBB">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F61EBB" w:rsidP="00F61EBB">
            <w:pPr>
              <w:pStyle w:val="BodyText"/>
            </w:pPr>
            <w:r w:rsidRPr="00F61EBB">
              <w:t>current assets</w:t>
            </w:r>
          </w:p>
          <w:p w:rsidR="00000000" w:rsidRPr="00F61EBB" w:rsidP="00F61EBB">
            <w:pPr>
              <w:pStyle w:val="BodyText"/>
            </w:pPr>
            <w:r w:rsidRPr="00F61EBB">
              <w:t>non-current assets</w:t>
            </w:r>
          </w:p>
          <w:p w:rsidR="00000000" w:rsidRPr="00F61EBB" w:rsidP="00F61EBB">
            <w:pPr>
              <w:pStyle w:val="BodyText"/>
            </w:pPr>
            <w:r w:rsidRPr="00F61EBB">
              <w:t>current liabilities</w:t>
            </w:r>
          </w:p>
          <w:p w:rsidR="00000000" w:rsidRPr="00F61EBB" w:rsidP="00F61EBB">
            <w:pPr>
              <w:pStyle w:val="BodyText"/>
            </w:pPr>
            <w:r w:rsidRPr="00F61EBB">
              <w:t>non-current liabilities</w:t>
            </w:r>
          </w:p>
          <w:p w:rsidR="00000000" w:rsidRPr="00F61EBB" w:rsidP="00F61EBB">
            <w:pPr>
              <w:pStyle w:val="BodyText"/>
            </w:pPr>
            <w:r w:rsidRPr="00F61EBB">
              <w:t xml:space="preserve">income </w:t>
            </w:r>
          </w:p>
          <w:p w:rsidR="00000000" w:rsidRPr="00F61EBB" w:rsidP="00F61EBB">
            <w:pPr>
              <w:pStyle w:val="BodyText"/>
            </w:pPr>
            <w:r w:rsidRPr="00F61EBB">
              <w:t>classified expenses by type</w:t>
            </w:r>
          </w:p>
          <w:p w:rsidR="00000000" w:rsidP="00F61EBB">
            <w:pPr>
              <w:pStyle w:val="BodyText"/>
              <w:rPr>
                <w:lang w:val="en-NZ"/>
              </w:rPr>
            </w:pPr>
            <w:r w:rsidRPr="00F61EBB">
              <w:t xml:space="preserve">equity </w:t>
            </w:r>
          </w:p>
        </w:tc>
      </w:tr>
      <w:tr w:rsidTr="00DF4D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rPr>
                <w:rStyle w:val="SpecialBold"/>
              </w:rPr>
              <w:t>Organisational requirements</w:t>
            </w:r>
            <w:r w:rsidRPr="00F61EBB">
              <w:t xml:space="preserve">, </w:t>
            </w:r>
            <w:r w:rsidRPr="00F61EBB">
              <w:rPr>
                <w:rStyle w:val="SpecialBold"/>
              </w:rPr>
              <w:t>procedures and policiesmay include</w:t>
            </w:r>
            <w:r w:rsidRPr="00F61EBB">
              <w:t xml:space="preserve">: </w:t>
            </w:r>
          </w:p>
        </w:tc>
        <w:tc>
          <w:tcPr>
            <w:tcW w:w="4500" w:type="dxa"/>
            <w:tcBorders>
              <w:top w:val="nil"/>
              <w:left w:val="nil"/>
              <w:bottom w:val="nil"/>
              <w:right w:val="nil"/>
            </w:tcBorders>
            <w:tcMar>
              <w:top w:w="0" w:type="dxa"/>
              <w:left w:w="62" w:type="dxa"/>
              <w:bottom w:w="0" w:type="dxa"/>
              <w:right w:w="62" w:type="dxa"/>
            </w:tcMar>
          </w:tcPr>
          <w:p w:rsidR="00000000" w:rsidRPr="00F61EBB" w:rsidP="00F61EBB">
            <w:pPr>
              <w:pStyle w:val="BodyText"/>
            </w:pPr>
            <w:r w:rsidRPr="00F61EBB">
              <w:t>Australian Accounting Standards</w:t>
            </w:r>
          </w:p>
          <w:p w:rsidR="00000000" w:rsidRPr="00F61EBB" w:rsidP="00F61EBB">
            <w:pPr>
              <w:pStyle w:val="BodyText"/>
            </w:pPr>
            <w:r w:rsidRPr="00F61EBB">
              <w:t>log on procedures</w:t>
            </w:r>
          </w:p>
          <w:p w:rsidR="00000000" w:rsidRPr="00F61EBB" w:rsidP="00F61EBB">
            <w:pPr>
              <w:pStyle w:val="BodyText"/>
            </w:pPr>
            <w:r w:rsidRPr="00F61EBB">
              <w:t>correctly identifying and opening files</w:t>
            </w:r>
          </w:p>
          <w:p w:rsidR="00000000" w:rsidRPr="00F61EBB" w:rsidP="00F61EBB">
            <w:pPr>
              <w:pStyle w:val="BodyText"/>
            </w:pPr>
            <w:r w:rsidRPr="00F61EBB">
              <w:t>locating data</w:t>
            </w:r>
          </w:p>
          <w:p w:rsidR="00000000" w:rsidRPr="00F61EBB" w:rsidP="00F61EBB">
            <w:pPr>
              <w:pStyle w:val="BodyText"/>
            </w:pPr>
            <w:r w:rsidRPr="00F61EBB">
              <w:t>storing data</w:t>
            </w:r>
          </w:p>
          <w:p w:rsidR="00000000" w:rsidRPr="00F61EBB" w:rsidP="00F61EBB">
            <w:pPr>
              <w:pStyle w:val="BodyText"/>
            </w:pPr>
            <w:r w:rsidRPr="00F61EBB">
              <w:t>OH&amp;S policies, procedures and progra</w:t>
            </w:r>
            <w:r w:rsidRPr="00F61EBB">
              <w:t>ms</w:t>
            </w:r>
          </w:p>
          <w:p w:rsidR="00000000" w:rsidRPr="00F61EBB" w:rsidP="00F61EBB">
            <w:pPr>
              <w:pStyle w:val="BodyText"/>
            </w:pPr>
            <w:r w:rsidRPr="00F61EBB">
              <w:t>security</w:t>
            </w:r>
          </w:p>
          <w:p w:rsidR="00000000" w:rsidRPr="00F61EBB" w:rsidP="00F61EBB">
            <w:pPr>
              <w:pStyle w:val="BodyText"/>
            </w:pPr>
            <w:r w:rsidRPr="00F61EBB">
              <w:t>electronic and paper based recording</w:t>
            </w:r>
          </w:p>
          <w:p w:rsidR="00000000" w:rsidP="00F61EBB">
            <w:pPr>
              <w:pStyle w:val="BodyText"/>
              <w:rPr>
                <w:lang w:val="en-NZ"/>
              </w:rPr>
            </w:pPr>
            <w:r w:rsidRPr="00F61EBB">
              <w:t xml:space="preserve">corporate governance </w:t>
            </w:r>
          </w:p>
        </w:tc>
      </w:tr>
      <w:tr w:rsidTr="00DF4D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rPr>
                <w:rStyle w:val="SpecialBold"/>
              </w:rPr>
              <w:t>Appropriate technical help</w:t>
            </w:r>
            <w:r w:rsidRPr="00F61EB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F61EBB" w:rsidP="00F61EBB">
            <w:pPr>
              <w:pStyle w:val="BodyText"/>
            </w:pPr>
            <w:r w:rsidRPr="00F61EBB">
              <w:t>on screen help</w:t>
            </w:r>
          </w:p>
          <w:p w:rsidR="00000000" w:rsidRPr="00F61EBB" w:rsidP="00F61EBB">
            <w:pPr>
              <w:pStyle w:val="BodyText"/>
            </w:pPr>
            <w:r w:rsidRPr="00F61EBB">
              <w:t>online help</w:t>
            </w:r>
          </w:p>
          <w:p w:rsidR="00000000" w:rsidRPr="00F61EBB" w:rsidP="00F61EBB">
            <w:pPr>
              <w:pStyle w:val="BodyText"/>
            </w:pPr>
            <w:r w:rsidRPr="00F61EBB">
              <w:t>software manuals</w:t>
            </w:r>
          </w:p>
          <w:p w:rsidR="00000000" w:rsidRPr="00F61EBB" w:rsidP="00F61EBB">
            <w:pPr>
              <w:pStyle w:val="BodyText"/>
            </w:pPr>
            <w:r w:rsidRPr="00F61EBB">
              <w:t>computer help desk personnel</w:t>
            </w:r>
          </w:p>
          <w:p w:rsidR="00000000" w:rsidRPr="00F61EBB" w:rsidP="00F61EBB">
            <w:pPr>
              <w:pStyle w:val="BodyText"/>
            </w:pPr>
            <w:r w:rsidRPr="00F61EBB">
              <w:t>managers and supervisors</w:t>
            </w:r>
          </w:p>
          <w:p w:rsidR="00000000" w:rsidRPr="00F61EBB" w:rsidP="00F61EBB">
            <w:pPr>
              <w:pStyle w:val="BodyText"/>
            </w:pPr>
            <w:r w:rsidRPr="00F61EBB">
              <w:t>designated technology assistance staff</w:t>
            </w:r>
          </w:p>
          <w:p w:rsidR="00000000" w:rsidP="00F61EBB">
            <w:pPr>
              <w:pStyle w:val="BodyText"/>
              <w:rPr>
                <w:lang w:val="en-NZ"/>
              </w:rPr>
            </w:pPr>
            <w:r w:rsidRPr="00F61EBB">
              <w:t xml:space="preserve">external staff employed or recommended by the software supplier to assist with difficulties </w:t>
            </w:r>
          </w:p>
        </w:tc>
      </w:tr>
      <w:tr w:rsidTr="00DF4D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rPr>
                <w:rStyle w:val="SpecialBold"/>
              </w:rPr>
              <w:t>Transactions</w:t>
            </w:r>
            <w:r w:rsidRPr="00F61EB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F61EBB" w:rsidP="00F61EBB">
            <w:pPr>
              <w:pStyle w:val="BodyText"/>
            </w:pPr>
            <w:r w:rsidRPr="00F61EBB">
              <w:t>commencing business entry</w:t>
            </w:r>
          </w:p>
          <w:p w:rsidR="00000000" w:rsidRPr="00F61EBB" w:rsidP="00F61EBB">
            <w:pPr>
              <w:pStyle w:val="BodyText"/>
            </w:pPr>
            <w:r w:rsidRPr="00F61EBB">
              <w:t>cheque payments</w:t>
            </w:r>
          </w:p>
          <w:p w:rsidR="00000000" w:rsidRPr="00F61EBB" w:rsidP="00F61EBB">
            <w:pPr>
              <w:pStyle w:val="BodyText"/>
            </w:pPr>
            <w:r w:rsidRPr="00F61EBB">
              <w:t>credit card payments</w:t>
            </w:r>
          </w:p>
          <w:p w:rsidR="00000000" w:rsidRPr="00F61EBB" w:rsidP="00F61EBB">
            <w:pPr>
              <w:pStyle w:val="BodyText"/>
            </w:pPr>
            <w:r w:rsidRPr="00F61EBB">
              <w:t>cash sales and deposits</w:t>
            </w:r>
          </w:p>
          <w:p w:rsidR="00000000" w:rsidRPr="00F61EBB" w:rsidP="00F61EBB">
            <w:pPr>
              <w:pStyle w:val="BodyText"/>
            </w:pPr>
            <w:r w:rsidRPr="00F61EBB">
              <w:t>petty cash</w:t>
            </w:r>
          </w:p>
          <w:p w:rsidR="00000000" w:rsidRPr="00F61EBB" w:rsidP="00F61EBB">
            <w:pPr>
              <w:pStyle w:val="BodyText"/>
            </w:pPr>
            <w:r w:rsidRPr="00F61EBB">
              <w:t>funds transfers</w:t>
            </w:r>
          </w:p>
          <w:p w:rsidR="00000000" w:rsidRPr="00F61EBB" w:rsidP="00F61EBB">
            <w:pPr>
              <w:pStyle w:val="BodyText"/>
            </w:pPr>
            <w:r w:rsidRPr="00F61EBB">
              <w:t>loans</w:t>
            </w:r>
          </w:p>
          <w:p w:rsidR="00000000" w:rsidRPr="00F61EBB" w:rsidP="00F61EBB">
            <w:pPr>
              <w:pStyle w:val="BodyText"/>
            </w:pPr>
            <w:r w:rsidRPr="00F61EBB">
              <w:t>sales invoices</w:t>
            </w:r>
          </w:p>
          <w:p w:rsidR="00000000" w:rsidRPr="00F61EBB" w:rsidP="00F61EBB">
            <w:pPr>
              <w:pStyle w:val="BodyText"/>
            </w:pPr>
            <w:r w:rsidRPr="00F61EBB">
              <w:t>purchase invoices</w:t>
            </w:r>
          </w:p>
          <w:p w:rsidR="00000000" w:rsidRPr="00F61EBB" w:rsidP="00F61EBB">
            <w:pPr>
              <w:pStyle w:val="BodyText"/>
            </w:pPr>
            <w:r w:rsidRPr="00F61EBB">
              <w:t>purchase orders</w:t>
            </w:r>
          </w:p>
          <w:p w:rsidR="00000000" w:rsidRPr="00F61EBB" w:rsidP="00F61EBB">
            <w:pPr>
              <w:pStyle w:val="BodyText"/>
            </w:pPr>
            <w:r w:rsidRPr="00F61EBB">
              <w:t>adjustment notes</w:t>
            </w:r>
          </w:p>
          <w:p w:rsidR="00000000" w:rsidRPr="00F61EBB" w:rsidP="00F61EBB">
            <w:pPr>
              <w:pStyle w:val="BodyText"/>
            </w:pPr>
            <w:r w:rsidRPr="00F61EBB">
              <w:t>contra entries</w:t>
            </w:r>
          </w:p>
          <w:p w:rsidR="00000000" w:rsidRPr="00F61EBB" w:rsidP="00F61EBB">
            <w:pPr>
              <w:pStyle w:val="BodyText"/>
            </w:pPr>
            <w:r w:rsidRPr="00F61EBB">
              <w:t>customer payments</w:t>
            </w:r>
          </w:p>
          <w:p w:rsidR="00000000" w:rsidRPr="00F61EBB" w:rsidP="00F61EBB">
            <w:pPr>
              <w:pStyle w:val="BodyText"/>
            </w:pPr>
            <w:r w:rsidRPr="00F61EBB">
              <w:t>supplier payments</w:t>
            </w:r>
          </w:p>
          <w:p w:rsidR="00000000" w:rsidRPr="00F61EBB" w:rsidP="00F61EBB">
            <w:pPr>
              <w:pStyle w:val="BodyText"/>
            </w:pPr>
            <w:r w:rsidRPr="00F61EBB">
              <w:t xml:space="preserve">discounts (financial and sales) </w:t>
            </w:r>
          </w:p>
          <w:p w:rsidR="00000000" w:rsidRPr="00F61EBB" w:rsidP="00F61EBB">
            <w:pPr>
              <w:pStyle w:val="BodyText"/>
            </w:pPr>
            <w:r w:rsidRPr="00F61EBB">
              <w:t xml:space="preserve">commission </w:t>
            </w:r>
          </w:p>
          <w:p w:rsidR="00000000" w:rsidRPr="00F61EBB" w:rsidP="00F61EBB">
            <w:pPr>
              <w:pStyle w:val="BodyText"/>
            </w:pPr>
            <w:r w:rsidRPr="00F61EBB">
              <w:t>bad debts</w:t>
            </w:r>
          </w:p>
          <w:p w:rsidR="00000000" w:rsidRPr="00F61EBB" w:rsidP="00F61EBB">
            <w:pPr>
              <w:pStyle w:val="BodyText"/>
            </w:pPr>
            <w:r w:rsidRPr="00F61EBB">
              <w:t>bank reconciliation</w:t>
            </w:r>
          </w:p>
          <w:p w:rsidR="00000000" w:rsidRPr="00F61EBB" w:rsidP="00F61EBB">
            <w:pPr>
              <w:pStyle w:val="BodyText"/>
            </w:pPr>
            <w:r w:rsidRPr="00F61EBB">
              <w:t>purchase and sale of stock</w:t>
            </w:r>
          </w:p>
          <w:p w:rsidR="00000000" w:rsidRPr="00F61EBB" w:rsidP="00F61EBB">
            <w:pPr>
              <w:pStyle w:val="BodyText"/>
            </w:pPr>
            <w:r w:rsidRPr="00F61EBB">
              <w:t>inventory stock take</w:t>
            </w:r>
          </w:p>
          <w:p w:rsidR="00000000" w:rsidP="00F61EBB">
            <w:pPr>
              <w:pStyle w:val="BodyText"/>
              <w:rPr>
                <w:lang w:val="en-NZ"/>
              </w:rPr>
            </w:pPr>
            <w:r w:rsidRPr="00F61EBB">
              <w:t xml:space="preserve">withdrawal of stock/assets by owner </w:t>
            </w:r>
          </w:p>
        </w:tc>
      </w:tr>
      <w:tr w:rsidTr="00DF4D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rPr>
                <w:rStyle w:val="SpecialBold"/>
              </w:rPr>
              <w:t>Balance day adjustments</w:t>
            </w:r>
            <w:r w:rsidRPr="00F61EB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F61EBB" w:rsidP="00F61EBB">
            <w:pPr>
              <w:pStyle w:val="BodyText"/>
            </w:pPr>
            <w:r w:rsidRPr="00F61EBB">
              <w:t>prepaid expenses</w:t>
            </w:r>
          </w:p>
          <w:p w:rsidR="00000000" w:rsidRPr="00F61EBB" w:rsidP="00F61EBB">
            <w:pPr>
              <w:pStyle w:val="BodyText"/>
            </w:pPr>
            <w:r w:rsidRPr="00F61EBB">
              <w:t>revenue received in advance</w:t>
            </w:r>
          </w:p>
          <w:p w:rsidR="00000000" w:rsidRPr="00F61EBB" w:rsidP="00F61EBB">
            <w:pPr>
              <w:pStyle w:val="BodyText"/>
            </w:pPr>
            <w:r w:rsidRPr="00F61EBB">
              <w:t>depreciation</w:t>
            </w:r>
          </w:p>
          <w:p w:rsidR="00000000" w:rsidRPr="00F61EBB" w:rsidP="00F61EBB">
            <w:pPr>
              <w:pStyle w:val="BodyText"/>
            </w:pPr>
            <w:r w:rsidRPr="00F61EBB">
              <w:t>accrued expenses</w:t>
            </w:r>
          </w:p>
          <w:p w:rsidR="00000000" w:rsidP="00F61EBB">
            <w:pPr>
              <w:pStyle w:val="BodyText"/>
              <w:rPr>
                <w:lang w:val="en-NZ"/>
              </w:rPr>
            </w:pPr>
            <w:r w:rsidRPr="00F61EBB">
              <w:t xml:space="preserve">doubtful debts </w:t>
            </w:r>
          </w:p>
        </w:tc>
      </w:tr>
      <w:tr w:rsidTr="00DF4D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rPr>
                <w:rStyle w:val="SpecialBold"/>
              </w:rPr>
              <w:t>Subsidiary ledgersmay include</w:t>
            </w:r>
            <w:r w:rsidRPr="00F61EBB">
              <w:t xml:space="preserve">: </w:t>
            </w:r>
          </w:p>
        </w:tc>
        <w:tc>
          <w:tcPr>
            <w:tcW w:w="4500" w:type="dxa"/>
            <w:tcBorders>
              <w:top w:val="nil"/>
              <w:left w:val="nil"/>
              <w:bottom w:val="nil"/>
              <w:right w:val="nil"/>
            </w:tcBorders>
            <w:tcMar>
              <w:top w:w="0" w:type="dxa"/>
              <w:left w:w="62" w:type="dxa"/>
              <w:bottom w:w="0" w:type="dxa"/>
              <w:right w:w="62" w:type="dxa"/>
            </w:tcMar>
          </w:tcPr>
          <w:p w:rsidR="00000000" w:rsidRPr="00F61EBB" w:rsidP="00F61EBB">
            <w:pPr>
              <w:pStyle w:val="BodyText"/>
            </w:pPr>
            <w:r w:rsidRPr="00F61EBB">
              <w:t xml:space="preserve">accounts receivable </w:t>
            </w:r>
          </w:p>
          <w:p w:rsidR="00000000" w:rsidRPr="00F61EBB" w:rsidP="00F61EBB">
            <w:pPr>
              <w:pStyle w:val="BodyText"/>
            </w:pPr>
            <w:r w:rsidRPr="00F61EBB">
              <w:t>accounts payable</w:t>
            </w:r>
          </w:p>
          <w:p w:rsidR="00000000" w:rsidRPr="00F61EBB" w:rsidP="00F61EBB">
            <w:pPr>
              <w:pStyle w:val="BodyText"/>
            </w:pPr>
            <w:r w:rsidRPr="00F61EBB">
              <w:t>inventory</w:t>
            </w:r>
          </w:p>
          <w:p w:rsidR="00000000" w:rsidP="00F61EBB">
            <w:pPr>
              <w:pStyle w:val="BodyText"/>
              <w:rPr>
                <w:lang w:val="en-NZ"/>
              </w:rPr>
            </w:pPr>
            <w:r w:rsidRPr="00F61EBB">
              <w:t>fixed as</w:t>
            </w:r>
            <w:r w:rsidRPr="00F61EBB">
              <w:t xml:space="preserve">sets </w:t>
            </w:r>
          </w:p>
        </w:tc>
      </w:tr>
      <w:tr w:rsidTr="00DF4D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1EBB">
            <w:pPr>
              <w:pStyle w:val="BodyText"/>
              <w:rPr>
                <w:lang w:val="en-NZ"/>
              </w:rPr>
            </w:pPr>
            <w:r w:rsidRPr="00F61EBB">
              <w:rPr>
                <w:rStyle w:val="SpecialBold"/>
              </w:rPr>
              <w:t>Reportsmay include</w:t>
            </w:r>
            <w:r w:rsidRPr="00F61EBB">
              <w:t xml:space="preserve">: </w:t>
            </w:r>
          </w:p>
        </w:tc>
        <w:tc>
          <w:tcPr>
            <w:tcW w:w="4500" w:type="dxa"/>
            <w:tcBorders>
              <w:top w:val="nil"/>
              <w:left w:val="nil"/>
              <w:bottom w:val="nil"/>
              <w:right w:val="nil"/>
            </w:tcBorders>
            <w:tcMar>
              <w:top w:w="0" w:type="dxa"/>
              <w:left w:w="62" w:type="dxa"/>
              <w:bottom w:w="0" w:type="dxa"/>
              <w:right w:w="62" w:type="dxa"/>
            </w:tcMar>
          </w:tcPr>
          <w:p w:rsidR="00000000" w:rsidRPr="00F61EBB" w:rsidP="00F61EBB">
            <w:pPr>
              <w:pStyle w:val="BodyText"/>
            </w:pPr>
            <w:r w:rsidRPr="00F61EBB">
              <w:t>profit and loss</w:t>
            </w:r>
          </w:p>
          <w:p w:rsidR="00000000" w:rsidRPr="00F61EBB" w:rsidP="00F61EBB">
            <w:pPr>
              <w:pStyle w:val="BodyText"/>
            </w:pPr>
            <w:r w:rsidRPr="00F61EBB">
              <w:t>balance sheet</w:t>
            </w:r>
          </w:p>
          <w:p w:rsidR="00000000" w:rsidRPr="00F61EBB" w:rsidP="00F61EBB">
            <w:pPr>
              <w:pStyle w:val="BodyText"/>
            </w:pPr>
            <w:r w:rsidRPr="00F61EBB">
              <w:t>business activity statement</w:t>
            </w:r>
          </w:p>
          <w:p w:rsidR="00000000" w:rsidRPr="00F61EBB" w:rsidP="00F61EBB">
            <w:pPr>
              <w:pStyle w:val="BodyText"/>
            </w:pPr>
            <w:r w:rsidRPr="00F61EBB">
              <w:t>bank reconciliation</w:t>
            </w:r>
          </w:p>
          <w:p w:rsidR="00000000" w:rsidRPr="00F61EBB" w:rsidP="00F61EBB">
            <w:pPr>
              <w:pStyle w:val="BodyText"/>
            </w:pPr>
            <w:r w:rsidRPr="00F61EBB">
              <w:t>aged receivables/reconciliation</w:t>
            </w:r>
          </w:p>
          <w:p w:rsidR="00000000" w:rsidRPr="00F61EBB" w:rsidP="00F61EBB">
            <w:pPr>
              <w:pStyle w:val="BodyText"/>
            </w:pPr>
            <w:r w:rsidRPr="00F61EBB">
              <w:t>aged payables/reconciliation</w:t>
            </w:r>
          </w:p>
          <w:p w:rsidR="00000000" w:rsidRPr="00F61EBB" w:rsidP="00F61EBB">
            <w:pPr>
              <w:pStyle w:val="BodyText"/>
            </w:pPr>
            <w:r w:rsidRPr="00F61EBB">
              <w:t>inventory listing</w:t>
            </w:r>
          </w:p>
          <w:p w:rsidR="00000000" w:rsidRPr="00F61EBB" w:rsidP="00F61EBB">
            <w:pPr>
              <w:pStyle w:val="BodyText"/>
            </w:pPr>
            <w:r w:rsidRPr="00F61EBB">
              <w:t>asset listing</w:t>
            </w:r>
          </w:p>
          <w:p w:rsidR="00000000" w:rsidRPr="00F61EBB" w:rsidP="00F61EBB">
            <w:pPr>
              <w:pStyle w:val="BodyText"/>
            </w:pPr>
            <w:r w:rsidRPr="00F61EBB">
              <w:t>customer statements</w:t>
            </w:r>
          </w:p>
          <w:p w:rsidR="00000000" w:rsidRPr="00F61EBB" w:rsidP="00F61EBB">
            <w:pPr>
              <w:pStyle w:val="BodyText"/>
            </w:pPr>
            <w:r w:rsidRPr="00F61EBB">
              <w:t xml:space="preserve">auditable transaction trail </w:t>
            </w:r>
          </w:p>
        </w:tc>
      </w:tr>
    </w:tbl>
    <w:p w:rsidR="00000000" w:rsidRPr="00F61EBB" w:rsidP="00F61EBB">
      <w:pPr>
        <w:pStyle w:val="BodyText"/>
      </w:pPr>
    </w:p>
    <w:p w:rsidR="00000000" w:rsidRPr="00F61EBB" w:rsidP="00F61EBB">
      <w:pPr>
        <w:pStyle w:val="AllowPageBreak"/>
      </w:pPr>
    </w:p>
    <w:p w:rsidR="00000000" w:rsidRPr="00F61EBB" w:rsidP="00F61EBB">
      <w:pPr>
        <w:pStyle w:val="Heading1"/>
      </w:pPr>
      <w:bookmarkStart w:id="12" w:name="O_318451"/>
      <w:bookmarkEnd w:id="12"/>
      <w:r w:rsidRPr="00F61EBB">
        <w:t>Unit Sector(s)</w:t>
      </w:r>
    </w:p>
    <w:p w:rsidR="00000000" w:rsidRPr="00F61EBB" w:rsidP="00F61EBB">
      <w:pPr>
        <w:pStyle w:val="BodyText"/>
      </w:pPr>
      <w:r w:rsidRPr="00F61EBB">
        <w:t>Not applicable.</w:t>
      </w:r>
    </w:p>
    <w:p w:rsidR="00000000" w:rsidRPr="00F61EBB" w:rsidP="00F61EBB">
      <w:pPr>
        <w:pStyle w:val="AllowPageBreak"/>
      </w:pPr>
    </w:p>
    <w:p w:rsidR="00000000" w:rsidRPr="00F61EBB" w:rsidP="00F61EBB">
      <w:pPr>
        <w:pStyle w:val="Heading1"/>
      </w:pPr>
      <w:bookmarkStart w:id="13" w:name="O_318450"/>
      <w:bookmarkEnd w:id="13"/>
      <w:r w:rsidRPr="00F61EBB">
        <w:t>Relationship to other units</w:t>
      </w:r>
    </w:p>
    <w:p w:rsidR="00000000" w:rsidRPr="00F61EBB" w:rsidP="00F61EBB">
      <w:pPr>
        <w:pStyle w:val="BodyText"/>
      </w:pPr>
      <w:r w:rsidRPr="00F61EBB">
        <w:t>This unit replaces FNSACCT407A.</w:t>
      </w:r>
    </w:p>
    <w:p w:rsidR="00000000" w:rsidRPr="00F61EBB" w:rsidP="00F61EBB">
      <w:pPr>
        <w:pStyle w:val="BodyText"/>
      </w:pPr>
      <w:r w:rsidRPr="00F61EBB">
        <w:t>This unit replaces FNSACCT407A.</w:t>
      </w:r>
    </w:p>
    <w:p w:rsidR="00000000" w:rsidRPr="00F61EBB" w:rsidP="00F61EBB"/>
    <w:sectPr w:rsidSect="00F61E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E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4D81" w:rsidP="00DF4D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E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D81" w:rsidP="00F61E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F4D81" w:rsidP="00F61E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F4D81" w:rsidP="00F61E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E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4D81" w:rsidP="00DF4D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E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D81" w:rsidP="00F61EBB">
    <w:pPr>
      <w:pStyle w:val="Header"/>
      <w:framePr w:wrap="around"/>
    </w:pPr>
    <w:r>
      <w:fldChar w:fldCharType="begin"/>
    </w:r>
    <w:r>
      <w:instrText xml:space="preserve"> TITLE   \* MERGEFORMAT </w:instrText>
    </w:r>
    <w:r>
      <w:fldChar w:fldCharType="separate"/>
    </w:r>
    <w:r>
      <w:t>FNSACCT407B Set up and operate a computerised accounting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F4D81" w:rsidP="00F61E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E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1EBB"/>
    <w:pPr>
      <w:spacing w:before="360" w:after="60"/>
      <w:outlineLvl w:val="0"/>
    </w:pPr>
    <w:rPr>
      <w:sz w:val="32"/>
    </w:rPr>
  </w:style>
  <w:style w:type="paragraph" w:styleId="Heading2">
    <w:name w:val="heading 2"/>
    <w:basedOn w:val="HeadingBase"/>
    <w:next w:val="BodyText"/>
    <w:link w:val="Heading2Char"/>
    <w:qFormat/>
    <w:rsid w:val="00F61EBB"/>
    <w:pPr>
      <w:keepLines/>
      <w:spacing w:before="240" w:after="120"/>
      <w:outlineLvl w:val="1"/>
    </w:pPr>
    <w:rPr>
      <w:sz w:val="28"/>
      <w:szCs w:val="40"/>
    </w:rPr>
  </w:style>
  <w:style w:type="paragraph" w:styleId="Heading3">
    <w:name w:val="heading 3"/>
    <w:basedOn w:val="HeadingBase"/>
    <w:next w:val="BodyText"/>
    <w:link w:val="Heading3Char"/>
    <w:qFormat/>
    <w:rsid w:val="00F61EBB"/>
    <w:pPr>
      <w:spacing w:before="180" w:after="120"/>
      <w:outlineLvl w:val="2"/>
    </w:pPr>
    <w:rPr>
      <w:spacing w:val="-10"/>
      <w:kern w:val="32"/>
    </w:rPr>
  </w:style>
  <w:style w:type="paragraph" w:styleId="Heading4">
    <w:name w:val="heading 4"/>
    <w:basedOn w:val="HeadingBase"/>
    <w:next w:val="BodyText"/>
    <w:link w:val="Heading4Char"/>
    <w:qFormat/>
    <w:rsid w:val="00F61EBB"/>
    <w:pPr>
      <w:spacing w:before="160" w:after="120"/>
      <w:outlineLvl w:val="3"/>
    </w:pPr>
    <w:rPr>
      <w:sz w:val="22"/>
    </w:rPr>
  </w:style>
  <w:style w:type="paragraph" w:styleId="Heading5">
    <w:name w:val="heading 5"/>
    <w:basedOn w:val="HeadingBase"/>
    <w:next w:val="Normal"/>
    <w:link w:val="Heading5Char"/>
    <w:qFormat/>
    <w:rsid w:val="00F61EBB"/>
    <w:pPr>
      <w:spacing w:before="80"/>
      <w:outlineLvl w:val="4"/>
    </w:pPr>
    <w:rPr>
      <w:color w:val="918585"/>
      <w:sz w:val="20"/>
    </w:rPr>
  </w:style>
  <w:style w:type="paragraph" w:styleId="Heading6">
    <w:name w:val="heading 6"/>
    <w:basedOn w:val="HeadingBase"/>
    <w:next w:val="Normal"/>
    <w:link w:val="Heading6Char"/>
    <w:qFormat/>
    <w:rsid w:val="00F61EBB"/>
    <w:pPr>
      <w:spacing w:before="60"/>
      <w:outlineLvl w:val="5"/>
    </w:pPr>
    <w:rPr>
      <w:color w:val="918585"/>
      <w:sz w:val="20"/>
    </w:rPr>
  </w:style>
  <w:style w:type="paragraph" w:styleId="Heading7">
    <w:name w:val="heading 7"/>
    <w:basedOn w:val="Normal"/>
    <w:next w:val="Normal"/>
    <w:link w:val="Heading7Char"/>
    <w:qFormat/>
    <w:rsid w:val="00F61EBB"/>
    <w:pPr>
      <w:ind w:left="720"/>
      <w:outlineLvl w:val="6"/>
    </w:pPr>
    <w:rPr>
      <w:i/>
    </w:rPr>
  </w:style>
  <w:style w:type="paragraph" w:styleId="Heading8">
    <w:name w:val="heading 8"/>
    <w:basedOn w:val="Normal"/>
    <w:next w:val="Normal"/>
    <w:link w:val="Heading8Char"/>
    <w:qFormat/>
    <w:rsid w:val="00F61EBB"/>
    <w:pPr>
      <w:ind w:left="720"/>
      <w:outlineLvl w:val="7"/>
    </w:pPr>
    <w:rPr>
      <w:i/>
    </w:rPr>
  </w:style>
  <w:style w:type="paragraph" w:styleId="Heading9">
    <w:name w:val="heading 9"/>
    <w:basedOn w:val="Normal"/>
    <w:next w:val="Normal"/>
    <w:link w:val="Heading9Char"/>
    <w:qFormat/>
    <w:rsid w:val="00F61EBB"/>
    <w:pPr>
      <w:ind w:left="720"/>
      <w:outlineLvl w:val="8"/>
    </w:pPr>
    <w:rPr>
      <w:i/>
    </w:rPr>
  </w:style>
  <w:style w:type="character" w:default="1" w:styleId="DefaultParagraphFont">
    <w:name w:val="Default Paragraph Font"/>
    <w:uiPriority w:val="1"/>
    <w:unhideWhenUsed/>
    <w:rsid w:val="00F61E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1EBB"/>
  </w:style>
  <w:style w:type="character" w:customStyle="1" w:styleId="Heading1Char">
    <w:name w:val="Heading 1 Char"/>
    <w:basedOn w:val="DefaultParagraphFont"/>
    <w:link w:val="Heading1"/>
    <w:rsid w:val="00F61EBB"/>
    <w:rPr>
      <w:rFonts w:ascii="Times New Roman" w:eastAsia="Times New Roman" w:hAnsi="Times New Roman" w:cs="Times New Roman"/>
      <w:b/>
      <w:sz w:val="32"/>
      <w:szCs w:val="20"/>
      <w:lang w:eastAsia="en-US"/>
    </w:rPr>
  </w:style>
  <w:style w:type="paragraph" w:styleId="BodyText">
    <w:name w:val="Body Text"/>
    <w:basedOn w:val="Normal"/>
    <w:link w:val="BodyTextChar"/>
    <w:rsid w:val="00F61E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1EBB"/>
    <w:rPr>
      <w:rFonts w:ascii="Times New Roman" w:eastAsia="Times New Roman" w:hAnsi="Times New Roman" w:cs="Times New Roman"/>
      <w:sz w:val="24"/>
      <w:lang w:val="en-US" w:eastAsia="en-US"/>
    </w:rPr>
  </w:style>
  <w:style w:type="paragraph" w:styleId="Footer">
    <w:name w:val="footer"/>
    <w:basedOn w:val="Normal"/>
    <w:link w:val="FooterChar"/>
    <w:rsid w:val="00F61E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1EBB"/>
    <w:rPr>
      <w:rFonts w:ascii="Times New Roman" w:eastAsia="Times New Roman" w:hAnsi="Times New Roman" w:cs="Times New Roman"/>
      <w:sz w:val="16"/>
      <w:lang w:val="en-US" w:eastAsia="en-US"/>
    </w:rPr>
  </w:style>
  <w:style w:type="character" w:customStyle="1" w:styleId="SpecialBold">
    <w:name w:val="Special Bold"/>
    <w:basedOn w:val="DefaultParagraphFont"/>
    <w:rsid w:val="00F61EBB"/>
    <w:rPr>
      <w:b/>
      <w:spacing w:val="0"/>
    </w:rPr>
  </w:style>
  <w:style w:type="paragraph" w:styleId="Header">
    <w:name w:val="header"/>
    <w:basedOn w:val="Normal"/>
    <w:link w:val="HeaderChar"/>
    <w:rsid w:val="00F61E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1EB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1EBB"/>
    <w:pPr>
      <w:spacing w:before="240" w:after="120"/>
      <w:outlineLvl w:val="0"/>
    </w:pPr>
    <w:rPr>
      <w:rFonts w:ascii="Times New Roman" w:hAnsi="Times New Roman"/>
      <w:b/>
      <w:sz w:val="28"/>
    </w:rPr>
  </w:style>
  <w:style w:type="paragraph" w:customStyle="1" w:styleId="AllowPageBreak">
    <w:name w:val="AllowPageBreak"/>
    <w:rsid w:val="00F61E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1E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1E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1E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1E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1E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1E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1E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1EBB"/>
    <w:rPr>
      <w:rFonts w:ascii="Courier New" w:eastAsia="Times New Roman" w:hAnsi="Courier New" w:cs="Times New Roman"/>
      <w:i/>
      <w:szCs w:val="20"/>
      <w:lang w:val="en-US" w:eastAsia="en-US"/>
    </w:rPr>
  </w:style>
  <w:style w:type="paragraph" w:customStyle="1" w:styleId="HeadingBase">
    <w:name w:val="Heading Base"/>
    <w:rsid w:val="00F61E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1EBB"/>
    <w:pPr>
      <w:tabs>
        <w:tab w:val="right" w:leader="dot" w:pos="9072"/>
      </w:tabs>
      <w:ind w:left="567"/>
    </w:pPr>
    <w:rPr>
      <w:szCs w:val="22"/>
    </w:rPr>
  </w:style>
  <w:style w:type="paragraph" w:customStyle="1" w:styleId="TOCBase">
    <w:name w:val="TOC Base"/>
    <w:rsid w:val="00F61E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1EBB"/>
    <w:pPr>
      <w:tabs>
        <w:tab w:val="right" w:leader="dot" w:pos="9072"/>
      </w:tabs>
      <w:spacing w:before="40" w:after="40"/>
      <w:ind w:left="284"/>
    </w:pPr>
    <w:rPr>
      <w:rFonts w:ascii="Times New Roman" w:hAnsi="Times New Roman"/>
    </w:rPr>
  </w:style>
  <w:style w:type="paragraph" w:styleId="TOC1">
    <w:name w:val="toc 1"/>
    <w:basedOn w:val="TOCBase"/>
    <w:next w:val="Normal"/>
    <w:rsid w:val="00F61E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1EBB"/>
    <w:pPr>
      <w:spacing w:before="5040"/>
      <w:jc w:val="center"/>
    </w:pPr>
    <w:rPr>
      <w:sz w:val="48"/>
      <w:szCs w:val="72"/>
      <w:lang w:val="en-US"/>
    </w:rPr>
  </w:style>
  <w:style w:type="character" w:customStyle="1" w:styleId="TitleChar">
    <w:name w:val="Title Char"/>
    <w:basedOn w:val="DefaultParagraphFont"/>
    <w:link w:val="Title"/>
    <w:rsid w:val="00F61E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1EBB"/>
    <w:pPr>
      <w:tabs>
        <w:tab w:val="left" w:pos="3600"/>
        <w:tab w:val="left" w:pos="3958"/>
      </w:tabs>
    </w:pPr>
  </w:style>
  <w:style w:type="paragraph" w:styleId="List">
    <w:name w:val="List"/>
    <w:basedOn w:val="BodyText"/>
    <w:next w:val="BodyText"/>
    <w:rsid w:val="00F61EBB"/>
    <w:pPr>
      <w:tabs>
        <w:tab w:val="left" w:pos="340"/>
      </w:tabs>
      <w:spacing w:before="60" w:after="60"/>
      <w:ind w:left="340" w:hanging="340"/>
    </w:pPr>
  </w:style>
  <w:style w:type="paragraph" w:styleId="ListBullet">
    <w:name w:val="List Bullet"/>
    <w:basedOn w:val="List"/>
    <w:rsid w:val="00F61EBB"/>
    <w:pPr>
      <w:numPr>
        <w:numId w:val="11"/>
      </w:numPr>
      <w:tabs>
        <w:tab w:val="clear" w:pos="340"/>
      </w:tabs>
      <w:spacing w:before="40" w:after="40"/>
    </w:pPr>
  </w:style>
  <w:style w:type="paragraph" w:customStyle="1" w:styleId="Note">
    <w:name w:val="Note"/>
    <w:basedOn w:val="BodyText"/>
    <w:rsid w:val="00F61E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1EBB"/>
    <w:pPr>
      <w:framePr w:wrap="auto" w:hAnchor="text" w:y="6049"/>
    </w:pPr>
    <w:rPr>
      <w:color w:val="000000"/>
      <w:sz w:val="40"/>
    </w:rPr>
  </w:style>
  <w:style w:type="paragraph" w:customStyle="1" w:styleId="TOCTitle">
    <w:name w:val="TOCTitle"/>
    <w:basedOn w:val="Heading1"/>
    <w:rsid w:val="00F61EBB"/>
    <w:pPr>
      <w:spacing w:after="240"/>
      <w:jc w:val="center"/>
      <w:outlineLvl w:val="9"/>
    </w:pPr>
    <w:rPr>
      <w:caps/>
    </w:rPr>
  </w:style>
  <w:style w:type="paragraph" w:customStyle="1" w:styleId="Version">
    <w:name w:val="Version"/>
    <w:rsid w:val="00F61E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1EBB"/>
    <w:pPr>
      <w:numPr>
        <w:numId w:val="12"/>
      </w:numPr>
      <w:tabs>
        <w:tab w:val="clear" w:pos="680"/>
      </w:tabs>
    </w:pPr>
  </w:style>
  <w:style w:type="paragraph" w:styleId="Index1">
    <w:name w:val="index 1"/>
    <w:basedOn w:val="Normal"/>
    <w:next w:val="Normal"/>
    <w:semiHidden/>
    <w:rsid w:val="00F61EBB"/>
    <w:pPr>
      <w:keepNext w:val="0"/>
      <w:tabs>
        <w:tab w:val="right" w:pos="4176"/>
      </w:tabs>
      <w:ind w:left="198" w:hanging="198"/>
    </w:pPr>
    <w:rPr>
      <w:rFonts w:ascii="Garamond" w:hAnsi="Garamond"/>
    </w:rPr>
  </w:style>
  <w:style w:type="paragraph" w:styleId="IndexHeading">
    <w:name w:val="index heading"/>
    <w:basedOn w:val="Normal"/>
    <w:next w:val="Index1"/>
    <w:semiHidden/>
    <w:rsid w:val="00F61EBB"/>
    <w:pPr>
      <w:spacing w:before="120" w:after="120"/>
    </w:pPr>
    <w:rPr>
      <w:rFonts w:ascii="Arial" w:hAnsi="Arial"/>
      <w:b/>
      <w:color w:val="918585"/>
      <w:sz w:val="24"/>
    </w:rPr>
  </w:style>
  <w:style w:type="paragraph" w:customStyle="1" w:styleId="Chapter">
    <w:name w:val="Chapter"/>
    <w:basedOn w:val="Normal"/>
    <w:rsid w:val="00F61EBB"/>
    <w:pPr>
      <w:spacing w:before="240"/>
    </w:pPr>
    <w:rPr>
      <w:rFonts w:ascii="Times New Roman" w:hAnsi="Times New Roman"/>
      <w:smallCaps/>
      <w:spacing w:val="80"/>
      <w:sz w:val="28"/>
    </w:rPr>
  </w:style>
  <w:style w:type="paragraph" w:customStyle="1" w:styleId="InChapter">
    <w:name w:val="InChapter"/>
    <w:basedOn w:val="Heading3"/>
    <w:rsid w:val="00F61EBB"/>
    <w:pPr>
      <w:spacing w:after="240"/>
      <w:outlineLvl w:val="9"/>
    </w:pPr>
    <w:rPr>
      <w:noProof/>
    </w:rPr>
  </w:style>
  <w:style w:type="paragraph" w:styleId="Index2">
    <w:name w:val="index 2"/>
    <w:basedOn w:val="Normal"/>
    <w:next w:val="Normal"/>
    <w:semiHidden/>
    <w:rsid w:val="00F61EBB"/>
    <w:pPr>
      <w:tabs>
        <w:tab w:val="right" w:pos="4176"/>
      </w:tabs>
      <w:ind w:left="568" w:hanging="284"/>
    </w:pPr>
    <w:rPr>
      <w:rFonts w:ascii="Garamond" w:hAnsi="Garamond"/>
    </w:rPr>
  </w:style>
  <w:style w:type="paragraph" w:customStyle="1" w:styleId="Byline">
    <w:name w:val="Byline"/>
    <w:rsid w:val="00F61E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1EBB"/>
    <w:pPr>
      <w:tabs>
        <w:tab w:val="clear" w:pos="3600"/>
        <w:tab w:val="clear" w:pos="3958"/>
      </w:tabs>
      <w:jc w:val="right"/>
    </w:pPr>
  </w:style>
  <w:style w:type="character" w:styleId="Emphasis">
    <w:name w:val="Emphasis"/>
    <w:basedOn w:val="DefaultParagraphFont"/>
    <w:qFormat/>
    <w:rsid w:val="00F61EBB"/>
    <w:rPr>
      <w:i/>
    </w:rPr>
  </w:style>
  <w:style w:type="paragraph" w:styleId="Caption">
    <w:name w:val="caption"/>
    <w:basedOn w:val="BodyText"/>
    <w:next w:val="Normal"/>
    <w:qFormat/>
    <w:rsid w:val="00F61EBB"/>
    <w:pPr>
      <w:framePr w:w="2268" w:hSpace="181" w:vSpace="181" w:wrap="around" w:vAnchor="text" w:hAnchor="page" w:x="1135" w:y="285" w:anchorLock="1"/>
    </w:pPr>
    <w:rPr>
      <w:i/>
    </w:rPr>
  </w:style>
  <w:style w:type="paragraph" w:customStyle="1" w:styleId="MiniTOCTitle">
    <w:name w:val="MiniTOCTitle"/>
    <w:basedOn w:val="Heading4"/>
    <w:rsid w:val="00F61EBB"/>
    <w:pPr>
      <w:spacing w:before="240"/>
      <w:outlineLvl w:val="9"/>
    </w:pPr>
    <w:rPr>
      <w:noProof/>
      <w:sz w:val="24"/>
    </w:rPr>
  </w:style>
  <w:style w:type="paragraph" w:customStyle="1" w:styleId="MiniTOCItem">
    <w:name w:val="MiniTOCItem"/>
    <w:basedOn w:val="ListBullet"/>
    <w:rsid w:val="00F61EBB"/>
    <w:pPr>
      <w:numPr>
        <w:numId w:val="0"/>
      </w:numPr>
      <w:tabs>
        <w:tab w:val="right" w:leader="dot" w:pos="6521"/>
      </w:tabs>
      <w:spacing w:before="0" w:after="0"/>
    </w:pPr>
  </w:style>
  <w:style w:type="paragraph" w:customStyle="1" w:styleId="TOFTitle">
    <w:name w:val="TOFTitle"/>
    <w:basedOn w:val="TOCTitle"/>
    <w:rsid w:val="00F61EBB"/>
  </w:style>
  <w:style w:type="paragraph" w:styleId="TableofFigures">
    <w:name w:val="table of figures"/>
    <w:basedOn w:val="Normal"/>
    <w:next w:val="Normal"/>
    <w:semiHidden/>
    <w:rsid w:val="00F61EBB"/>
    <w:pPr>
      <w:tabs>
        <w:tab w:val="right" w:leader="dot" w:pos="9072"/>
      </w:tabs>
      <w:ind w:left="970" w:hanging="403"/>
    </w:pPr>
    <w:rPr>
      <w:rFonts w:ascii="Times New Roman" w:hAnsi="Times New Roman"/>
      <w:b/>
    </w:rPr>
  </w:style>
  <w:style w:type="paragraph" w:styleId="ListNumber">
    <w:name w:val="List Number"/>
    <w:basedOn w:val="List"/>
    <w:rsid w:val="00F61EBB"/>
    <w:pPr>
      <w:numPr>
        <w:numId w:val="9"/>
      </w:numPr>
    </w:pPr>
  </w:style>
  <w:style w:type="character" w:customStyle="1" w:styleId="WingdingSymbols">
    <w:name w:val="Wingding Symbols"/>
    <w:rsid w:val="00F61EBB"/>
    <w:rPr>
      <w:rFonts w:ascii="Wingdings" w:hAnsi="Wingdings"/>
    </w:rPr>
  </w:style>
  <w:style w:type="paragraph" w:customStyle="1" w:styleId="TableHeading">
    <w:name w:val="Table Heading"/>
    <w:basedOn w:val="HeadingBase"/>
    <w:rsid w:val="00F61EBB"/>
    <w:pPr>
      <w:keepLines/>
      <w:pBdr>
        <w:bottom w:val="single" w:sz="6" w:space="1" w:color="918585"/>
      </w:pBdr>
      <w:spacing w:before="240"/>
    </w:pPr>
  </w:style>
  <w:style w:type="character" w:customStyle="1" w:styleId="HotSpot">
    <w:name w:val="HotSpot"/>
    <w:rsid w:val="00F61EBB"/>
    <w:rPr>
      <w:color w:val="0033CC"/>
      <w:u w:val="none"/>
    </w:rPr>
  </w:style>
  <w:style w:type="paragraph" w:customStyle="1" w:styleId="BodyTextRight">
    <w:name w:val="Body Text Right"/>
    <w:basedOn w:val="BodyText"/>
    <w:rsid w:val="00F61EBB"/>
    <w:pPr>
      <w:spacing w:before="0" w:after="0"/>
      <w:jc w:val="right"/>
    </w:pPr>
  </w:style>
  <w:style w:type="paragraph" w:styleId="Index3">
    <w:name w:val="index 3"/>
    <w:basedOn w:val="ListNumber2"/>
    <w:next w:val="Normal"/>
    <w:semiHidden/>
    <w:rsid w:val="00F61EBB"/>
    <w:pPr>
      <w:numPr>
        <w:numId w:val="0"/>
      </w:numPr>
      <w:tabs>
        <w:tab w:val="right" w:leader="dot" w:pos="4176"/>
      </w:tabs>
    </w:pPr>
  </w:style>
  <w:style w:type="paragraph" w:styleId="ListNumber2">
    <w:name w:val="List Number 2"/>
    <w:basedOn w:val="List2"/>
    <w:rsid w:val="00F61EBB"/>
    <w:pPr>
      <w:numPr>
        <w:numId w:val="8"/>
      </w:numPr>
      <w:tabs>
        <w:tab w:val="clear" w:pos="1060"/>
      </w:tabs>
    </w:pPr>
  </w:style>
  <w:style w:type="paragraph" w:customStyle="1" w:styleId="MarginNote">
    <w:name w:val="Margin Note"/>
    <w:basedOn w:val="BodyText"/>
    <w:rsid w:val="00F61E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1E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1E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1EBB"/>
    <w:rPr>
      <w:sz w:val="32"/>
    </w:rPr>
  </w:style>
  <w:style w:type="paragraph" w:customStyle="1" w:styleId="HeadingProcedure">
    <w:name w:val="Heading Procedure"/>
    <w:basedOn w:val="HeadingBase"/>
    <w:next w:val="Normal"/>
    <w:rsid w:val="00F61EBB"/>
    <w:pPr>
      <w:tabs>
        <w:tab w:val="left" w:pos="0"/>
      </w:tabs>
      <w:spacing w:before="120" w:after="60"/>
    </w:pPr>
    <w:rPr>
      <w:i/>
      <w:color w:val="918585"/>
      <w:sz w:val="22"/>
    </w:rPr>
  </w:style>
  <w:style w:type="paragraph" w:customStyle="1" w:styleId="TableBodyText">
    <w:name w:val="Table Body Text"/>
    <w:basedOn w:val="BodyText"/>
    <w:rsid w:val="00F61EBB"/>
    <w:pPr>
      <w:spacing w:before="60" w:after="60"/>
    </w:pPr>
  </w:style>
  <w:style w:type="paragraph" w:styleId="ListContinue">
    <w:name w:val="List Continue"/>
    <w:basedOn w:val="List"/>
    <w:rsid w:val="00F61EBB"/>
    <w:pPr>
      <w:ind w:firstLine="0"/>
    </w:pPr>
  </w:style>
  <w:style w:type="paragraph" w:customStyle="1" w:styleId="ListNote">
    <w:name w:val="List Note"/>
    <w:basedOn w:val="List"/>
    <w:rsid w:val="00F61EBB"/>
    <w:pPr>
      <w:pBdr>
        <w:top w:val="single" w:sz="6" w:space="2" w:color="918585"/>
        <w:bottom w:val="single" w:sz="6" w:space="2" w:color="918585"/>
      </w:pBdr>
      <w:tabs>
        <w:tab w:val="left" w:pos="1021"/>
      </w:tabs>
      <w:ind w:firstLine="0"/>
    </w:pPr>
  </w:style>
  <w:style w:type="paragraph" w:customStyle="1" w:styleId="Warning">
    <w:name w:val="Warning"/>
    <w:basedOn w:val="BodyText"/>
    <w:rsid w:val="00F61EBB"/>
    <w:pPr>
      <w:shd w:val="clear" w:color="auto" w:fill="D9D9D9"/>
      <w:tabs>
        <w:tab w:val="left" w:pos="992"/>
      </w:tabs>
      <w:ind w:left="119" w:right="119"/>
    </w:pPr>
    <w:rPr>
      <w:sz w:val="20"/>
    </w:rPr>
  </w:style>
  <w:style w:type="paragraph" w:customStyle="1" w:styleId="MarginIcons">
    <w:name w:val="Margin Icons"/>
    <w:basedOn w:val="BodyText"/>
    <w:rsid w:val="00F61E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1EBB"/>
    <w:rPr>
      <w:rFonts w:ascii="Courier New" w:hAnsi="Courier New"/>
    </w:rPr>
  </w:style>
  <w:style w:type="paragraph" w:customStyle="1" w:styleId="NoteBullet">
    <w:name w:val="Note Bullet"/>
    <w:basedOn w:val="Note"/>
    <w:rsid w:val="00F61EBB"/>
    <w:pPr>
      <w:tabs>
        <w:tab w:val="clear" w:pos="680"/>
      </w:tabs>
      <w:spacing w:before="60" w:after="60"/>
    </w:pPr>
  </w:style>
  <w:style w:type="paragraph" w:customStyle="1" w:styleId="SubHeading2">
    <w:name w:val="SubHeading2"/>
    <w:basedOn w:val="HeadingBase"/>
    <w:rsid w:val="00F61EBB"/>
    <w:pPr>
      <w:spacing w:before="240" w:after="60"/>
    </w:pPr>
    <w:rPr>
      <w:sz w:val="20"/>
    </w:rPr>
  </w:style>
  <w:style w:type="paragraph" w:customStyle="1" w:styleId="SubHeading1">
    <w:name w:val="SubHeading1"/>
    <w:basedOn w:val="HeadingBase"/>
    <w:rsid w:val="00F61EBB"/>
    <w:pPr>
      <w:spacing w:before="240" w:after="60"/>
    </w:pPr>
    <w:rPr>
      <w:color w:val="918585"/>
      <w:sz w:val="22"/>
    </w:rPr>
  </w:style>
  <w:style w:type="paragraph" w:customStyle="1" w:styleId="SideHeading">
    <w:name w:val="Side Heading"/>
    <w:basedOn w:val="HeadingBase"/>
    <w:rsid w:val="00F61E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1EBB"/>
    <w:pPr>
      <w:numPr>
        <w:numId w:val="10"/>
      </w:numPr>
    </w:pPr>
  </w:style>
  <w:style w:type="paragraph" w:styleId="PlainText">
    <w:name w:val="Plain Text"/>
    <w:basedOn w:val="Normal"/>
    <w:link w:val="PlainTextChar"/>
    <w:rsid w:val="00F61EBB"/>
    <w:rPr>
      <w:sz w:val="20"/>
    </w:rPr>
  </w:style>
  <w:style w:type="character" w:customStyle="1" w:styleId="PlainTextChar">
    <w:name w:val="Plain Text Char"/>
    <w:basedOn w:val="DefaultParagraphFont"/>
    <w:link w:val="PlainText"/>
    <w:rsid w:val="00F61E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1EBB"/>
    <w:rPr>
      <w:b/>
      <w:smallCaps/>
    </w:rPr>
  </w:style>
  <w:style w:type="paragraph" w:customStyle="1" w:styleId="TableListNumber">
    <w:name w:val="Table List Number"/>
    <w:basedOn w:val="ListNumber"/>
    <w:rsid w:val="00F61EBB"/>
    <w:pPr>
      <w:numPr>
        <w:numId w:val="0"/>
      </w:numPr>
    </w:pPr>
  </w:style>
  <w:style w:type="paragraph" w:styleId="TOC4">
    <w:name w:val="toc 4"/>
    <w:basedOn w:val="TOCBase"/>
    <w:next w:val="Normal"/>
    <w:semiHidden/>
    <w:rsid w:val="00F61EBB"/>
    <w:pPr>
      <w:tabs>
        <w:tab w:val="right" w:leader="dot" w:pos="9071"/>
      </w:tabs>
      <w:ind w:left="1701"/>
    </w:pPr>
  </w:style>
  <w:style w:type="paragraph" w:customStyle="1" w:styleId="ListAlpha">
    <w:name w:val="List Alpha"/>
    <w:basedOn w:val="List"/>
    <w:rsid w:val="00F61EBB"/>
    <w:pPr>
      <w:numPr>
        <w:numId w:val="7"/>
      </w:numPr>
    </w:pPr>
  </w:style>
  <w:style w:type="paragraph" w:customStyle="1" w:styleId="ListAlpha2">
    <w:name w:val="List Alpha 2"/>
    <w:basedOn w:val="List2"/>
    <w:rsid w:val="00F61EBB"/>
    <w:pPr>
      <w:numPr>
        <w:numId w:val="6"/>
      </w:numPr>
    </w:pPr>
  </w:style>
  <w:style w:type="paragraph" w:styleId="List2">
    <w:name w:val="List 2"/>
    <w:basedOn w:val="BodyText"/>
    <w:rsid w:val="00F61EBB"/>
    <w:pPr>
      <w:tabs>
        <w:tab w:val="left" w:pos="680"/>
      </w:tabs>
      <w:spacing w:before="60" w:after="60"/>
      <w:ind w:left="680" w:hanging="340"/>
    </w:pPr>
  </w:style>
  <w:style w:type="paragraph" w:styleId="List3">
    <w:name w:val="List 3"/>
    <w:basedOn w:val="BodyText"/>
    <w:rsid w:val="00F61EBB"/>
    <w:pPr>
      <w:tabs>
        <w:tab w:val="left" w:pos="1021"/>
      </w:tabs>
      <w:spacing w:before="60" w:after="60"/>
      <w:ind w:left="1020" w:hanging="340"/>
    </w:pPr>
  </w:style>
  <w:style w:type="paragraph" w:styleId="List4">
    <w:name w:val="List 4"/>
    <w:basedOn w:val="BodyText"/>
    <w:rsid w:val="00F61EBB"/>
    <w:pPr>
      <w:tabs>
        <w:tab w:val="left" w:pos="1361"/>
      </w:tabs>
      <w:spacing w:before="60" w:after="60"/>
      <w:ind w:left="1361" w:hanging="340"/>
    </w:pPr>
  </w:style>
  <w:style w:type="paragraph" w:styleId="List5">
    <w:name w:val="List 5"/>
    <w:basedOn w:val="BodyText"/>
    <w:rsid w:val="00F61EBB"/>
    <w:pPr>
      <w:tabs>
        <w:tab w:val="left" w:pos="1701"/>
      </w:tabs>
      <w:spacing w:before="60" w:after="60"/>
      <w:ind w:left="1701" w:hanging="340"/>
    </w:pPr>
  </w:style>
  <w:style w:type="paragraph" w:styleId="ListBullet3">
    <w:name w:val="List Bullet 3"/>
    <w:basedOn w:val="List3"/>
    <w:rsid w:val="00F61EBB"/>
    <w:pPr>
      <w:numPr>
        <w:numId w:val="13"/>
      </w:numPr>
      <w:tabs>
        <w:tab w:val="clear" w:pos="1021"/>
      </w:tabs>
      <w:ind w:left="1037" w:hanging="357"/>
    </w:pPr>
  </w:style>
  <w:style w:type="paragraph" w:styleId="ListBullet4">
    <w:name w:val="List Bullet 4"/>
    <w:basedOn w:val="List4"/>
    <w:rsid w:val="00F61EBB"/>
    <w:pPr>
      <w:numPr>
        <w:numId w:val="1"/>
      </w:numPr>
    </w:pPr>
  </w:style>
  <w:style w:type="paragraph" w:styleId="ListBullet5">
    <w:name w:val="List Bullet 5"/>
    <w:basedOn w:val="List5"/>
    <w:rsid w:val="00F61EBB"/>
    <w:pPr>
      <w:numPr>
        <w:numId w:val="2"/>
      </w:numPr>
    </w:pPr>
  </w:style>
  <w:style w:type="paragraph" w:styleId="ListContinue2">
    <w:name w:val="List Continue 2"/>
    <w:basedOn w:val="List2"/>
    <w:rsid w:val="00F61EBB"/>
    <w:pPr>
      <w:ind w:firstLine="0"/>
    </w:pPr>
  </w:style>
  <w:style w:type="paragraph" w:styleId="ListContinue3">
    <w:name w:val="List Continue 3"/>
    <w:basedOn w:val="List3"/>
    <w:rsid w:val="00F61EBB"/>
    <w:pPr>
      <w:ind w:left="1021" w:firstLine="0"/>
    </w:pPr>
  </w:style>
  <w:style w:type="paragraph" w:styleId="ListContinue4">
    <w:name w:val="List Continue 4"/>
    <w:basedOn w:val="List4"/>
    <w:rsid w:val="00F61EBB"/>
    <w:pPr>
      <w:ind w:firstLine="0"/>
    </w:pPr>
  </w:style>
  <w:style w:type="paragraph" w:styleId="ListContinue5">
    <w:name w:val="List Continue 5"/>
    <w:basedOn w:val="List5"/>
    <w:rsid w:val="00F61EBB"/>
    <w:pPr>
      <w:ind w:firstLine="0"/>
    </w:pPr>
  </w:style>
  <w:style w:type="paragraph" w:styleId="ListNumber3">
    <w:name w:val="List Number 3"/>
    <w:basedOn w:val="List3"/>
    <w:rsid w:val="00F61EBB"/>
    <w:pPr>
      <w:numPr>
        <w:numId w:val="3"/>
      </w:numPr>
    </w:pPr>
  </w:style>
  <w:style w:type="paragraph" w:styleId="ListNumber4">
    <w:name w:val="List Number 4"/>
    <w:basedOn w:val="List4"/>
    <w:rsid w:val="00F61EBB"/>
    <w:pPr>
      <w:numPr>
        <w:numId w:val="4"/>
      </w:numPr>
    </w:pPr>
  </w:style>
  <w:style w:type="paragraph" w:styleId="ListNumber5">
    <w:name w:val="List Number 5"/>
    <w:basedOn w:val="List5"/>
    <w:rsid w:val="00F61EBB"/>
    <w:pPr>
      <w:numPr>
        <w:numId w:val="5"/>
      </w:numPr>
    </w:pPr>
  </w:style>
  <w:style w:type="paragraph" w:styleId="BlockText">
    <w:name w:val="Block Text"/>
    <w:basedOn w:val="Normal"/>
    <w:rsid w:val="00F61EBB"/>
    <w:pPr>
      <w:spacing w:after="120"/>
      <w:ind w:left="1440" w:right="1440"/>
    </w:pPr>
  </w:style>
  <w:style w:type="character" w:customStyle="1" w:styleId="Subscript">
    <w:name w:val="Subscript"/>
    <w:basedOn w:val="DefaultParagraphFont"/>
    <w:rsid w:val="00F61EBB"/>
    <w:rPr>
      <w:sz w:val="16"/>
      <w:vertAlign w:val="subscript"/>
    </w:rPr>
  </w:style>
  <w:style w:type="character" w:customStyle="1" w:styleId="Superscript">
    <w:name w:val="Superscript"/>
    <w:basedOn w:val="DefaultParagraphFont"/>
    <w:rsid w:val="00F61EBB"/>
    <w:rPr>
      <w:sz w:val="16"/>
      <w:vertAlign w:val="superscript"/>
    </w:rPr>
  </w:style>
  <w:style w:type="character" w:customStyle="1" w:styleId="Symbols">
    <w:name w:val="Symbols"/>
    <w:basedOn w:val="DefaultParagraphFont"/>
    <w:rsid w:val="00F61EBB"/>
    <w:rPr>
      <w:rFonts w:ascii="Symbol" w:hAnsi="Symbol"/>
    </w:rPr>
  </w:style>
  <w:style w:type="character" w:customStyle="1" w:styleId="MenuOptions">
    <w:name w:val="Menu Options"/>
    <w:basedOn w:val="DefaultParagraphFont"/>
    <w:rsid w:val="00F61EBB"/>
    <w:rPr>
      <w:rFonts w:ascii="Arial Narrow" w:hAnsi="Arial Narrow"/>
      <w:smallCaps/>
    </w:rPr>
  </w:style>
  <w:style w:type="character" w:customStyle="1" w:styleId="Buttons">
    <w:name w:val="Buttons"/>
    <w:basedOn w:val="DefaultParagraphFont"/>
    <w:rsid w:val="00F61EBB"/>
    <w:rPr>
      <w:b/>
    </w:rPr>
  </w:style>
  <w:style w:type="character" w:customStyle="1" w:styleId="Underlined">
    <w:name w:val="Underlined"/>
    <w:basedOn w:val="DefaultParagraphFont"/>
    <w:rsid w:val="00F61EBB"/>
    <w:rPr>
      <w:u w:val="single"/>
    </w:rPr>
  </w:style>
  <w:style w:type="paragraph" w:customStyle="1" w:styleId="TableBodyTextRight">
    <w:name w:val="Table Body Text Right"/>
    <w:basedOn w:val="TableBodyText"/>
    <w:rsid w:val="00F61EBB"/>
    <w:pPr>
      <w:widowControl w:val="0"/>
      <w:autoSpaceDE w:val="0"/>
      <w:autoSpaceDN w:val="0"/>
      <w:adjustRightInd w:val="0"/>
      <w:jc w:val="right"/>
    </w:pPr>
    <w:rPr>
      <w:rFonts w:cs="Arial"/>
      <w:szCs w:val="18"/>
    </w:rPr>
  </w:style>
  <w:style w:type="paragraph" w:customStyle="1" w:styleId="CopyrightText">
    <w:name w:val="Copyright Text"/>
    <w:basedOn w:val="BodyText"/>
    <w:rsid w:val="00F61EBB"/>
    <w:rPr>
      <w:sz w:val="18"/>
    </w:rPr>
  </w:style>
  <w:style w:type="paragraph" w:customStyle="1" w:styleId="BodySmallRight">
    <w:name w:val="Body Small Right"/>
    <w:basedOn w:val="BodyTextRight"/>
    <w:rsid w:val="00F61EBB"/>
    <w:rPr>
      <w:sz w:val="18"/>
      <w:szCs w:val="18"/>
    </w:rPr>
  </w:style>
  <w:style w:type="paragraph" w:customStyle="1" w:styleId="MarginEdition">
    <w:name w:val="Margin Edition"/>
    <w:basedOn w:val="MarginNote"/>
    <w:rsid w:val="00F61EBB"/>
    <w:pPr>
      <w:spacing w:before="0" w:after="0"/>
    </w:pPr>
    <w:rPr>
      <w:rFonts w:ascii="Times New Roman" w:hAnsi="Times New Roman"/>
      <w:color w:val="999999"/>
    </w:rPr>
  </w:style>
  <w:style w:type="paragraph" w:customStyle="1" w:styleId="Spacer">
    <w:name w:val="Spacer"/>
    <w:basedOn w:val="Normal"/>
    <w:rsid w:val="00F61EBB"/>
    <w:rPr>
      <w:sz w:val="2"/>
      <w:szCs w:val="2"/>
    </w:rPr>
  </w:style>
  <w:style w:type="character" w:customStyle="1" w:styleId="Small">
    <w:name w:val="Small"/>
    <w:basedOn w:val="DefaultParagraphFont"/>
    <w:rsid w:val="00F61EBB"/>
    <w:rPr>
      <w:sz w:val="16"/>
    </w:rPr>
  </w:style>
  <w:style w:type="paragraph" w:customStyle="1" w:styleId="WideTable">
    <w:name w:val="Wide Table"/>
    <w:basedOn w:val="Normal"/>
    <w:rsid w:val="00F61EBB"/>
    <w:pPr>
      <w:ind w:left="-1418"/>
    </w:pPr>
    <w:rPr>
      <w:sz w:val="2"/>
      <w:szCs w:val="2"/>
    </w:rPr>
  </w:style>
  <w:style w:type="character" w:styleId="PageNumber">
    <w:name w:val="page number"/>
    <w:basedOn w:val="DefaultParagraphFont"/>
    <w:rsid w:val="00F61EBB"/>
  </w:style>
  <w:style w:type="paragraph" w:styleId="Quote">
    <w:name w:val="Quote"/>
    <w:basedOn w:val="Heading1"/>
    <w:link w:val="QuoteChar"/>
    <w:qFormat/>
    <w:rsid w:val="00F61EBB"/>
    <w:rPr>
      <w:b w:val="0"/>
      <w:sz w:val="72"/>
      <w:szCs w:val="72"/>
      <w:lang w:val="en-NZ"/>
    </w:rPr>
  </w:style>
  <w:style w:type="character" w:customStyle="1" w:styleId="QuoteChar">
    <w:name w:val="Quote Char"/>
    <w:basedOn w:val="DefaultParagraphFont"/>
    <w:link w:val="Quote"/>
    <w:rsid w:val="00F61E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1EBB"/>
    <w:pPr>
      <w:pageBreakBefore/>
    </w:pPr>
  </w:style>
  <w:style w:type="paragraph" w:customStyle="1" w:styleId="Border">
    <w:name w:val="Border"/>
    <w:basedOn w:val="Normal"/>
    <w:qFormat/>
    <w:rsid w:val="00F61E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1EBB"/>
    <w:rPr>
      <w:b/>
      <w:bCs/>
      <w:i/>
      <w:iCs/>
      <w:color w:val="auto"/>
    </w:rPr>
  </w:style>
  <w:style w:type="paragraph" w:styleId="IntenseQuote">
    <w:name w:val="Intense Quote"/>
    <w:basedOn w:val="Normal"/>
    <w:next w:val="Normal"/>
    <w:link w:val="IntenseQuoteChar"/>
    <w:uiPriority w:val="30"/>
    <w:qFormat/>
    <w:rsid w:val="00F61E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1E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1EBB"/>
    <w:rPr>
      <w:smallCaps/>
      <w:color w:val="auto"/>
      <w:u w:val="single"/>
    </w:rPr>
  </w:style>
  <w:style w:type="character" w:styleId="IntenseReference">
    <w:name w:val="Intense Reference"/>
    <w:basedOn w:val="DefaultParagraphFont"/>
    <w:uiPriority w:val="32"/>
    <w:qFormat/>
    <w:rsid w:val="00F61EBB"/>
    <w:rPr>
      <w:b/>
      <w:bCs/>
      <w:smallCaps/>
      <w:color w:val="auto"/>
      <w:spacing w:val="5"/>
      <w:u w:val="single"/>
    </w:rPr>
  </w:style>
  <w:style w:type="paragraph" w:customStyle="1" w:styleId="2ColumnHeading">
    <w:name w:val="2Column Heading"/>
    <w:basedOn w:val="BodyText"/>
    <w:qFormat/>
    <w:rsid w:val="00F61EBB"/>
    <w:pPr>
      <w:spacing w:after="60"/>
      <w:ind w:left="-2268"/>
    </w:pPr>
    <w:rPr>
      <w:b/>
    </w:rPr>
  </w:style>
  <w:style w:type="paragraph" w:customStyle="1" w:styleId="Heading1TOC">
    <w:name w:val="Heading1 TOC"/>
    <w:basedOn w:val="Normal"/>
    <w:qFormat/>
    <w:rsid w:val="00F61EBB"/>
    <w:pPr>
      <w:spacing w:before="240" w:after="120"/>
    </w:pPr>
    <w:rPr>
      <w:rFonts w:ascii="Times New Roman" w:hAnsi="Times New Roman"/>
      <w:b/>
      <w:sz w:val="32"/>
    </w:rPr>
  </w:style>
  <w:style w:type="paragraph" w:customStyle="1" w:styleId="Heading2TOC">
    <w:name w:val="Heading2 TOC"/>
    <w:basedOn w:val="Normal"/>
    <w:qFormat/>
    <w:rsid w:val="00F61EBB"/>
    <w:pPr>
      <w:spacing w:before="240" w:after="60"/>
    </w:pPr>
    <w:rPr>
      <w:rFonts w:ascii="Times New Roman" w:hAnsi="Times New Roman"/>
      <w:b/>
      <w:sz w:val="28"/>
    </w:rPr>
  </w:style>
  <w:style w:type="character" w:customStyle="1" w:styleId="Underline">
    <w:name w:val="Underline"/>
    <w:basedOn w:val="DefaultParagraphFont"/>
    <w:qFormat/>
    <w:rsid w:val="00F61EBB"/>
    <w:rPr>
      <w:u w:val="single"/>
    </w:rPr>
  </w:style>
  <w:style w:type="character" w:customStyle="1" w:styleId="BoldandItalics">
    <w:name w:val="Bold and Italics"/>
    <w:qFormat/>
    <w:rsid w:val="00F61EBB"/>
    <w:rPr>
      <w:b/>
      <w:i/>
      <w:u w:val="none"/>
    </w:rPr>
  </w:style>
  <w:style w:type="paragraph" w:styleId="BalloonText">
    <w:name w:val="Balloon Text"/>
    <w:basedOn w:val="Normal"/>
    <w:link w:val="BalloonTextChar"/>
    <w:rsid w:val="00F61EBB"/>
    <w:rPr>
      <w:rFonts w:ascii="Tahoma" w:hAnsi="Tahoma" w:cs="Tahoma"/>
      <w:sz w:val="16"/>
      <w:szCs w:val="16"/>
    </w:rPr>
  </w:style>
  <w:style w:type="character" w:customStyle="1" w:styleId="BalloonTextChar">
    <w:name w:val="Balloon Text Char"/>
    <w:basedOn w:val="DefaultParagraphFont"/>
    <w:link w:val="BalloonText"/>
    <w:rsid w:val="00F61E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1E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1E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1378</Words>
  <Characters>8658</Characters>
  <Application>Microsoft Office Word</Application>
  <DocSecurity>0</DocSecurity>
  <Lines>334</Lines>
  <Paragraphs>205</Paragraphs>
  <ScaleCrop>false</ScaleCrop>
  <Company>Author-it Software Corporation Ltd.</Company>
  <LinksUpToDate>false</LinksUpToDate>
  <CharactersWithSpaces>9885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FNSACCT407B Set up and operate a computerised accounting system</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2012-05-26T06:58:00Z</dcterms:created>
  <dcterms:modified xsi:type="dcterms:W3CDTF">2012-05-26T06:58:00Z</dcterms:modified>
</cp:coreProperties>
</file>