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85E4E" w:rsidP="00485E4E">
      <w:pPr>
        <w:pStyle w:val="Title"/>
      </w:pPr>
      <w:r>
        <w:fldChar w:fldCharType="begin"/>
      </w:r>
      <w:r>
        <w:instrText xml:space="preserve"> TITLE   \* MERGEFORMAT </w:instrText>
      </w:r>
      <w:r>
        <w:fldChar w:fldCharType="separate"/>
      </w:r>
      <w:r>
        <w:t>FNSACCT406B Maintain asset and inventory records</w:t>
      </w:r>
      <w:r>
        <w:fldChar w:fldCharType="end"/>
      </w:r>
    </w:p>
    <w:p w:rsidR="00485E4E" w:rsidP="00485E4E">
      <w:pPr>
        <w:pStyle w:val="Version"/>
        <w:sectPr w:rsidSect="0053683D">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3683D" w:rsidP="0053683D">
      <w:pPr>
        <w:pStyle w:val="SuperHeading"/>
      </w:pPr>
      <w:r w:rsidRPr="0053683D">
        <w:t>FNSACCT406B Maintain asset and inventory records</w:t>
      </w:r>
    </w:p>
    <w:p w:rsidR="00000000" w:rsidRPr="0053683D" w:rsidP="0053683D">
      <w:pPr>
        <w:pStyle w:val="Heading1"/>
      </w:pPr>
      <w:bookmarkStart w:id="1" w:name="O_317932"/>
      <w:bookmarkEnd w:id="1"/>
      <w:r w:rsidRPr="0053683D">
        <w:t>Modification History</w:t>
      </w:r>
    </w:p>
    <w:p w:rsidR="00000000" w:rsidRPr="0053683D" w:rsidP="0053683D">
      <w:pPr>
        <w:pStyle w:val="BodyText"/>
      </w:pPr>
      <w:r w:rsidRPr="0053683D">
        <w:t>Not applicable.</w:t>
      </w:r>
    </w:p>
    <w:p w:rsidR="00000000" w:rsidRPr="0053683D" w:rsidP="0053683D">
      <w:pPr>
        <w:pStyle w:val="AllowPageBreak"/>
      </w:pPr>
    </w:p>
    <w:p w:rsidR="00000000" w:rsidRPr="0053683D" w:rsidP="0053683D">
      <w:pPr>
        <w:pStyle w:val="Heading1"/>
      </w:pPr>
      <w:bookmarkStart w:id="2" w:name="O_317933"/>
      <w:bookmarkEnd w:id="2"/>
      <w:r w:rsidRPr="0053683D">
        <w:t>Unit Descriptor</w:t>
      </w:r>
    </w:p>
    <w:p w:rsidR="00000000" w:rsidRPr="0053683D" w:rsidP="0053683D">
      <w:pPr>
        <w:pStyle w:val="BodyText"/>
      </w:pPr>
      <w:r w:rsidRPr="0053683D">
        <w:t>This unit describes those functions associated with the maintenance of records for fixed assets and inven</w:t>
      </w:r>
      <w:r w:rsidRPr="0053683D">
        <w:t>tory.</w:t>
      </w:r>
    </w:p>
    <w:p w:rsidR="00000000" w:rsidRPr="0053683D" w:rsidP="0053683D">
      <w:pPr>
        <w:pStyle w:val="BodyText"/>
      </w:pPr>
      <w:r w:rsidRPr="0053683D">
        <w:t>This unit describes those functions associated with the maintenance of records for fixed assets and inventory.</w:t>
      </w:r>
    </w:p>
    <w:p w:rsidR="00000000" w:rsidRPr="0053683D" w:rsidP="0053683D">
      <w:pPr>
        <w:pStyle w:val="AllowPageBreak"/>
      </w:pPr>
    </w:p>
    <w:p w:rsidR="00000000" w:rsidRPr="0053683D" w:rsidP="0053683D">
      <w:pPr>
        <w:pStyle w:val="Heading1"/>
      </w:pPr>
      <w:bookmarkStart w:id="3" w:name="O_317934"/>
      <w:bookmarkEnd w:id="3"/>
      <w:r w:rsidRPr="0053683D">
        <w:t>Application of the Unit</w:t>
      </w:r>
    </w:p>
    <w:p w:rsidR="00000000" w:rsidRPr="0053683D" w:rsidP="0053683D">
      <w:pPr>
        <w:pStyle w:val="BodyText"/>
      </w:pPr>
      <w:r w:rsidRPr="0053683D">
        <w:t>This unit requires the application of skills and knowledge required to maintain asset and inventor</w:t>
      </w:r>
      <w:r w:rsidRPr="0053683D">
        <w:t>y records. The unit encompasses complying with organisational asset acquisition procedures, reconciling assets register and inventory records to general ledgers, recording inventory flows, recognising new assets and asset categories, preparing schedules an</w:t>
      </w:r>
      <w:r w:rsidRPr="0053683D">
        <w:t xml:space="preserve">d ad hoc reports and recording disposal of fixed assets. The unit can be applied across all sectors within the financial services sector.  </w:t>
      </w:r>
    </w:p>
    <w:p w:rsidR="00000000" w:rsidRPr="0053683D" w:rsidP="0053683D">
      <w:pPr>
        <w:pStyle w:val="BodyText"/>
      </w:pPr>
      <w:r w:rsidRPr="0053683D">
        <w:t>This unit requires the application of skills and knowledge required to maintain asset and inventory records. The uni</w:t>
      </w:r>
      <w:r w:rsidRPr="0053683D">
        <w:t>t encompasses complying with organisational asset acquisition procedures, reconciling assets register and inventory records to general ledgers, recording inventory flows, recognising new assets and asset categories, preparing schedules and ad hoc reports a</w:t>
      </w:r>
      <w:r w:rsidRPr="0053683D">
        <w:t xml:space="preserve">nd recording disposal of fixed assets. The unit can be applied across all sectors within the financial services sector.  </w:t>
      </w:r>
    </w:p>
    <w:p w:rsidR="00000000" w:rsidRPr="0053683D" w:rsidP="0053683D">
      <w:pPr>
        <w:pStyle w:val="AllowPageBreak"/>
      </w:pPr>
    </w:p>
    <w:p w:rsidR="00000000" w:rsidRPr="0053683D" w:rsidP="0053683D">
      <w:pPr>
        <w:pStyle w:val="Heading1"/>
      </w:pPr>
      <w:bookmarkStart w:id="4" w:name="O_317935"/>
      <w:bookmarkEnd w:id="4"/>
      <w:r w:rsidRPr="0053683D">
        <w:t>Licensing/Regulatory Information</w:t>
      </w:r>
    </w:p>
    <w:p w:rsidR="00000000" w:rsidRPr="0053683D" w:rsidP="0053683D">
      <w:pPr>
        <w:pStyle w:val="BodyText"/>
      </w:pPr>
      <w:r w:rsidRPr="0053683D">
        <w:t>Not applicable.</w:t>
      </w:r>
    </w:p>
    <w:p w:rsidR="00000000" w:rsidRPr="0053683D" w:rsidP="0053683D">
      <w:pPr>
        <w:pStyle w:val="AllowPageBreak"/>
      </w:pPr>
    </w:p>
    <w:p w:rsidR="00000000" w:rsidRPr="0053683D" w:rsidP="0053683D">
      <w:pPr>
        <w:pStyle w:val="Heading1"/>
      </w:pPr>
      <w:bookmarkStart w:id="5" w:name="O_317936"/>
      <w:bookmarkEnd w:id="5"/>
      <w:r w:rsidRPr="0053683D">
        <w:t>Pre-Requisites</w:t>
      </w:r>
    </w:p>
    <w:p w:rsidR="00000000" w:rsidRPr="0053683D" w:rsidP="0053683D">
      <w:pPr>
        <w:pStyle w:val="BodyText"/>
      </w:pPr>
      <w:r w:rsidRPr="0053683D">
        <w:t>Not applicable.</w:t>
      </w:r>
    </w:p>
    <w:p w:rsidR="00000000" w:rsidRPr="0053683D" w:rsidP="0053683D">
      <w:pPr>
        <w:pStyle w:val="AllowPageBreak"/>
      </w:pPr>
    </w:p>
    <w:p w:rsidR="00000000" w:rsidRPr="0053683D" w:rsidP="0053683D">
      <w:pPr>
        <w:pStyle w:val="Heading1"/>
      </w:pPr>
      <w:bookmarkStart w:id="6" w:name="O_317937"/>
      <w:bookmarkEnd w:id="6"/>
      <w:r w:rsidRPr="0053683D">
        <w:t>Employability Skills Information</w:t>
      </w:r>
    </w:p>
    <w:p w:rsidR="00000000" w:rsidRPr="0053683D" w:rsidP="0053683D">
      <w:pPr>
        <w:pStyle w:val="BodyText"/>
      </w:pPr>
      <w:r w:rsidRPr="0053683D">
        <w:t>Not applicable.</w:t>
      </w:r>
    </w:p>
    <w:p w:rsidR="00000000" w:rsidRPr="0053683D" w:rsidP="0053683D">
      <w:pPr>
        <w:pStyle w:val="AllowPageBreak"/>
      </w:pPr>
    </w:p>
    <w:p w:rsidR="00000000" w:rsidRPr="0053683D" w:rsidP="0053683D">
      <w:pPr>
        <w:pStyle w:val="Heading1"/>
      </w:pPr>
      <w:bookmarkStart w:id="7" w:name="O_317938"/>
      <w:bookmarkEnd w:id="7"/>
      <w:r w:rsidRPr="0053683D">
        <w:t>Elements and Performance Criteria Pre-Content</w:t>
      </w:r>
    </w:p>
    <w:p w:rsidR="00000000" w:rsidRPr="0053683D" w:rsidP="0053683D">
      <w:pPr>
        <w:pStyle w:val="BodyText"/>
      </w:pPr>
      <w:r w:rsidRPr="0053683D">
        <w:t>Elements define the essential outcomes of a unit of competency.</w:t>
      </w:r>
    </w:p>
    <w:p w:rsidR="00000000" w:rsidRPr="0053683D" w:rsidP="0053683D">
      <w:pPr>
        <w:pStyle w:val="BodyText"/>
      </w:pPr>
      <w:r w:rsidRPr="0053683D">
        <w:t xml:space="preserve">Performance Criteria describe the required performance needed to demonstrate achievement of the Element. </w:t>
      </w:r>
      <w:r w:rsidRPr="0053683D">
        <w:rPr>
          <w:rStyle w:val="SpecialBold"/>
        </w:rPr>
        <w:t xml:space="preserve">Bold, italicised </w:t>
      </w:r>
      <w:r w:rsidRPr="0053683D">
        <w:t>terms are elaborated in the Range Statement. Assessment of performance is to be consistent with the Evidence Guide.</w:t>
      </w:r>
    </w:p>
    <w:p w:rsidR="00000000" w:rsidRPr="0053683D" w:rsidP="0053683D">
      <w:pPr>
        <w:pStyle w:val="BodyText"/>
      </w:pPr>
      <w:r w:rsidRPr="0053683D">
        <w:t>Elements define th</w:t>
      </w:r>
      <w:r w:rsidRPr="0053683D">
        <w:t>e essential outcomes of a unit of competency.</w:t>
      </w:r>
    </w:p>
    <w:p w:rsidR="00000000" w:rsidRPr="0053683D" w:rsidP="0053683D">
      <w:pPr>
        <w:pStyle w:val="BodyText"/>
      </w:pPr>
      <w:r w:rsidRPr="0053683D">
        <w:t xml:space="preserve">Performance Criteria describe the required performance needed to demonstrate achievement of the Element. </w:t>
      </w:r>
      <w:r w:rsidRPr="0053683D">
        <w:rPr>
          <w:rStyle w:val="SpecialBold"/>
        </w:rPr>
        <w:t xml:space="preserve">Bold, italicised </w:t>
      </w:r>
      <w:r w:rsidRPr="0053683D">
        <w:t>terms are elaborated in the Range Statement. Assessment of performance is to be consiste</w:t>
      </w:r>
      <w:r w:rsidRPr="0053683D">
        <w:t>nt with the Evidence Guide.</w:t>
      </w:r>
    </w:p>
    <w:p w:rsidR="00000000" w:rsidRPr="0053683D" w:rsidP="0053683D">
      <w:pPr>
        <w:pStyle w:val="AllowPageBreak"/>
      </w:pPr>
    </w:p>
    <w:p w:rsidR="00000000" w:rsidRPr="0053683D" w:rsidP="0053683D">
      <w:pPr>
        <w:pStyle w:val="Heading1"/>
      </w:pPr>
      <w:bookmarkStart w:id="8" w:name="O_317939"/>
      <w:bookmarkEnd w:id="8"/>
      <w:r w:rsidRPr="0053683D">
        <w:t>Elements and Performance Criteria</w:t>
      </w:r>
    </w:p>
    <w:tbl>
      <w:tblPr>
        <w:tblW w:w="0" w:type="auto"/>
        <w:tblLayout w:type="fixed"/>
        <w:tblCellMar>
          <w:left w:w="62" w:type="dxa"/>
          <w:right w:w="62" w:type="dxa"/>
        </w:tblCellMar>
        <w:tblLook w:val="0000"/>
      </w:tblPr>
      <w:tblGrid>
        <w:gridCol w:w="400"/>
        <w:gridCol w:w="3000"/>
        <w:gridCol w:w="500"/>
        <w:gridCol w:w="5100"/>
      </w:tblGrid>
      <w:tr w:rsidTr="00485E4E">
        <w:tblPrEx>
          <w:tblW w:w="0" w:type="auto"/>
          <w:tblLayout w:type="fixed"/>
          <w:tblCellMar>
            <w:left w:w="62" w:type="dxa"/>
            <w:right w:w="62" w:type="dxa"/>
          </w:tblCellMar>
          <w:tblLook w:val="0000"/>
        </w:tblPrEx>
        <w:tc>
          <w:tcPr>
            <w:tcW w:w="9000" w:type="dxa"/>
            <w:gridSpan w:val="4"/>
            <w:tcBorders>
              <w:top w:val="nil"/>
              <w:left w:val="nil"/>
              <w:bottom w:val="nil"/>
              <w:right w:val="nil"/>
            </w:tcBorders>
            <w:tcMar>
              <w:top w:w="0" w:type="dxa"/>
              <w:left w:w="62" w:type="dxa"/>
              <w:bottom w:w="0" w:type="dxa"/>
              <w:right w:w="62" w:type="dxa"/>
            </w:tcMar>
          </w:tcPr>
          <w:p w:rsidR="00000000" w:rsidP="0053683D">
            <w:pPr>
              <w:pStyle w:val="BodyText"/>
              <w:rPr>
                <w:lang w:val="en-NZ"/>
              </w:rPr>
            </w:pPr>
            <w:r w:rsidRPr="0053683D">
              <w:rPr>
                <w:rStyle w:val="SpecialBold"/>
              </w:rPr>
              <w:t>Elements and Performance Criteria</w:t>
            </w:r>
          </w:p>
        </w:tc>
      </w:tr>
      <w:tr w:rsidTr="00485E4E">
        <w:tblPrEx>
          <w:tblW w:w="0" w:type="auto"/>
          <w:tblLayout w:type="fixed"/>
          <w:tblCellMar>
            <w:left w:w="62" w:type="dxa"/>
            <w:right w:w="62" w:type="dxa"/>
          </w:tblCellMar>
          <w:tblLook w:val="0000"/>
        </w:tblPrEx>
        <w:tc>
          <w:tcPr>
            <w:tcW w:w="3400" w:type="dxa"/>
            <w:gridSpan w:val="2"/>
            <w:tcBorders>
              <w:top w:val="nil"/>
              <w:left w:val="nil"/>
              <w:bottom w:val="nil"/>
              <w:right w:val="nil"/>
            </w:tcBorders>
            <w:tcMar>
              <w:top w:w="0" w:type="dxa"/>
              <w:left w:w="62" w:type="dxa"/>
              <w:bottom w:w="0" w:type="dxa"/>
              <w:right w:w="62" w:type="dxa"/>
            </w:tcMar>
          </w:tcPr>
          <w:p w:rsidR="00000000" w:rsidRPr="0053683D" w:rsidP="0053683D">
            <w:pPr>
              <w:pStyle w:val="BodyText"/>
            </w:pPr>
            <w:r w:rsidRPr="0053683D">
              <w:rPr>
                <w:rStyle w:val="SpecialBold"/>
              </w:rPr>
              <w:t>Element</w:t>
            </w:r>
          </w:p>
        </w:tc>
        <w:tc>
          <w:tcPr>
            <w:tcW w:w="5600" w:type="dxa"/>
            <w:gridSpan w:val="2"/>
            <w:tcBorders>
              <w:top w:val="nil"/>
              <w:left w:val="nil"/>
              <w:bottom w:val="nil"/>
              <w:right w:val="nil"/>
            </w:tcBorders>
            <w:tcMar>
              <w:top w:w="0" w:type="dxa"/>
              <w:left w:w="62" w:type="dxa"/>
              <w:bottom w:w="0" w:type="dxa"/>
              <w:right w:w="62" w:type="dxa"/>
            </w:tcMar>
          </w:tcPr>
          <w:p w:rsidR="00000000" w:rsidP="0053683D">
            <w:pPr>
              <w:pStyle w:val="BodyText"/>
              <w:rPr>
                <w:lang w:val="en-NZ"/>
              </w:rPr>
            </w:pPr>
            <w:r w:rsidRPr="0053683D">
              <w:rPr>
                <w:rStyle w:val="SpecialBold"/>
              </w:rPr>
              <w:t>Performance Criteria</w:t>
            </w:r>
          </w:p>
        </w:tc>
      </w:tr>
      <w:tr w:rsidTr="00485E4E">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53683D">
            <w:pPr>
              <w:pStyle w:val="BodyText"/>
              <w:rPr>
                <w:lang w:val="en-NZ"/>
              </w:rPr>
            </w:pPr>
            <w:r w:rsidRPr="0053683D">
              <w:t>1</w:t>
            </w:r>
          </w:p>
        </w:tc>
        <w:tc>
          <w:tcPr>
            <w:tcW w:w="3000" w:type="dxa"/>
            <w:vMerge w:val="restart"/>
            <w:tcBorders>
              <w:top w:val="nil"/>
              <w:left w:val="nil"/>
              <w:bottom w:val="nil"/>
              <w:right w:val="nil"/>
            </w:tcBorders>
            <w:tcMar>
              <w:top w:w="0" w:type="dxa"/>
              <w:left w:w="62" w:type="dxa"/>
              <w:bottom w:w="0" w:type="dxa"/>
              <w:right w:w="62" w:type="dxa"/>
            </w:tcMar>
          </w:tcPr>
          <w:p w:rsidR="00000000" w:rsidP="0053683D">
            <w:pPr>
              <w:pStyle w:val="BodyText"/>
              <w:rPr>
                <w:lang w:val="en-NZ"/>
              </w:rPr>
            </w:pPr>
            <w:r w:rsidRPr="0053683D">
              <w:t>Comply with organisational asset acquisition procedures</w:t>
            </w:r>
          </w:p>
        </w:tc>
        <w:tc>
          <w:tcPr>
            <w:tcW w:w="500" w:type="dxa"/>
            <w:tcBorders>
              <w:top w:val="nil"/>
              <w:left w:val="nil"/>
              <w:bottom w:val="nil"/>
              <w:right w:val="nil"/>
            </w:tcBorders>
            <w:tcMar>
              <w:top w:w="0" w:type="dxa"/>
              <w:left w:w="62" w:type="dxa"/>
              <w:bottom w:w="0" w:type="dxa"/>
              <w:right w:w="62" w:type="dxa"/>
            </w:tcMar>
          </w:tcPr>
          <w:p w:rsidR="00000000" w:rsidP="0053683D">
            <w:pPr>
              <w:pStyle w:val="BodyText"/>
              <w:rPr>
                <w:lang w:val="en-NZ"/>
              </w:rPr>
            </w:pPr>
            <w:r w:rsidRPr="0053683D">
              <w:t>1.1</w:t>
            </w:r>
          </w:p>
        </w:tc>
        <w:tc>
          <w:tcPr>
            <w:tcW w:w="5100" w:type="dxa"/>
            <w:tcBorders>
              <w:top w:val="nil"/>
              <w:left w:val="nil"/>
              <w:bottom w:val="nil"/>
              <w:right w:val="nil"/>
            </w:tcBorders>
            <w:tcMar>
              <w:top w:w="0" w:type="dxa"/>
              <w:left w:w="62" w:type="dxa"/>
              <w:bottom w:w="0" w:type="dxa"/>
              <w:right w:w="62" w:type="dxa"/>
            </w:tcMar>
          </w:tcPr>
          <w:p w:rsidR="00000000" w:rsidP="0053683D">
            <w:pPr>
              <w:pStyle w:val="BodyText"/>
              <w:rPr>
                <w:lang w:val="en-NZ"/>
              </w:rPr>
            </w:pPr>
            <w:r w:rsidRPr="0053683D">
              <w:t>Approval and authorisation for purchase of</w:t>
            </w:r>
            <w:r w:rsidRPr="0053683D">
              <w:t xml:space="preserve"> assets is obtained</w:t>
            </w:r>
          </w:p>
        </w:tc>
      </w:tr>
      <w:tr w:rsidTr="00485E4E">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53683D">
            <w:pPr>
              <w:pStyle w:val="BodyText"/>
              <w:rPr>
                <w:lang w:val="en-NZ"/>
              </w:rPr>
            </w:pPr>
            <w:r w:rsidRPr="0053683D">
              <w:t>1.2</w:t>
            </w:r>
          </w:p>
        </w:tc>
        <w:tc>
          <w:tcPr>
            <w:tcW w:w="5100" w:type="dxa"/>
            <w:tcBorders>
              <w:top w:val="nil"/>
              <w:left w:val="nil"/>
              <w:bottom w:val="nil"/>
              <w:right w:val="nil"/>
            </w:tcBorders>
            <w:tcMar>
              <w:top w:w="0" w:type="dxa"/>
              <w:left w:w="62" w:type="dxa"/>
              <w:bottom w:w="0" w:type="dxa"/>
              <w:right w:w="62" w:type="dxa"/>
            </w:tcMar>
          </w:tcPr>
          <w:p w:rsidR="00000000" w:rsidP="0053683D">
            <w:pPr>
              <w:pStyle w:val="BodyText"/>
              <w:rPr>
                <w:lang w:val="en-NZ"/>
              </w:rPr>
            </w:pPr>
            <w:r w:rsidRPr="0053683D">
              <w:t>Quotes are obtained and other organisational purchase procedures are followed</w:t>
            </w:r>
          </w:p>
        </w:tc>
      </w:tr>
      <w:tr w:rsidTr="00485E4E">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53683D">
            <w:pPr>
              <w:pStyle w:val="BodyText"/>
              <w:rPr>
                <w:lang w:val="en-NZ"/>
              </w:rPr>
            </w:pPr>
            <w:r w:rsidRPr="0053683D">
              <w:t>1.3</w:t>
            </w:r>
          </w:p>
        </w:tc>
        <w:tc>
          <w:tcPr>
            <w:tcW w:w="5100" w:type="dxa"/>
            <w:tcBorders>
              <w:top w:val="nil"/>
              <w:left w:val="nil"/>
              <w:bottom w:val="nil"/>
              <w:right w:val="nil"/>
            </w:tcBorders>
            <w:tcMar>
              <w:top w:w="0" w:type="dxa"/>
              <w:left w:w="62" w:type="dxa"/>
              <w:bottom w:w="0" w:type="dxa"/>
              <w:right w:w="62" w:type="dxa"/>
            </w:tcMar>
          </w:tcPr>
          <w:p w:rsidR="00000000" w:rsidP="0053683D">
            <w:pPr>
              <w:pStyle w:val="BodyText"/>
              <w:rPr>
                <w:lang w:val="en-NZ"/>
              </w:rPr>
            </w:pPr>
            <w:r w:rsidRPr="0053683D">
              <w:t xml:space="preserve">All asset purchases </w:t>
            </w:r>
            <w:r w:rsidRPr="0053683D">
              <w:rPr>
                <w:rStyle w:val="SpecialBold"/>
              </w:rPr>
              <w:t xml:space="preserve">documentation </w:t>
            </w:r>
            <w:r w:rsidRPr="0053683D">
              <w:t>and invoices are reconciled</w:t>
            </w:r>
          </w:p>
        </w:tc>
      </w:tr>
      <w:tr w:rsidTr="00485E4E">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53683D">
            <w:pPr>
              <w:pStyle w:val="BodyText"/>
              <w:rPr>
                <w:lang w:val="en-NZ"/>
              </w:rPr>
            </w:pPr>
            <w:r w:rsidRPr="0053683D">
              <w:t>1.4</w:t>
            </w:r>
          </w:p>
        </w:tc>
        <w:tc>
          <w:tcPr>
            <w:tcW w:w="5100" w:type="dxa"/>
            <w:tcBorders>
              <w:top w:val="nil"/>
              <w:left w:val="nil"/>
              <w:bottom w:val="nil"/>
              <w:right w:val="nil"/>
            </w:tcBorders>
            <w:tcMar>
              <w:top w:w="0" w:type="dxa"/>
              <w:left w:w="62" w:type="dxa"/>
              <w:bottom w:w="0" w:type="dxa"/>
              <w:right w:w="62" w:type="dxa"/>
            </w:tcMar>
          </w:tcPr>
          <w:p w:rsidR="00000000" w:rsidP="0053683D">
            <w:pPr>
              <w:pStyle w:val="BodyText"/>
              <w:rPr>
                <w:lang w:val="en-NZ"/>
              </w:rPr>
            </w:pPr>
            <w:r w:rsidRPr="0053683D">
              <w:t>Assets received are checked for compliance with the quantity and quality as per documentation</w:t>
            </w:r>
          </w:p>
        </w:tc>
      </w:tr>
      <w:tr w:rsidTr="00485E4E">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53683D">
            <w:pPr>
              <w:pStyle w:val="BodyText"/>
              <w:rPr>
                <w:lang w:val="en-NZ"/>
              </w:rPr>
            </w:pPr>
            <w:r w:rsidRPr="0053683D">
              <w:t>2</w:t>
            </w:r>
          </w:p>
        </w:tc>
        <w:tc>
          <w:tcPr>
            <w:tcW w:w="3000" w:type="dxa"/>
            <w:vMerge w:val="restart"/>
            <w:tcBorders>
              <w:top w:val="nil"/>
              <w:left w:val="nil"/>
              <w:bottom w:val="nil"/>
              <w:right w:val="nil"/>
            </w:tcBorders>
            <w:tcMar>
              <w:top w:w="0" w:type="dxa"/>
              <w:left w:w="62" w:type="dxa"/>
              <w:bottom w:w="0" w:type="dxa"/>
              <w:right w:w="62" w:type="dxa"/>
            </w:tcMar>
          </w:tcPr>
          <w:p w:rsidR="00000000" w:rsidP="0053683D">
            <w:pPr>
              <w:pStyle w:val="BodyText"/>
              <w:rPr>
                <w:lang w:val="en-NZ"/>
              </w:rPr>
            </w:pPr>
            <w:r w:rsidRPr="0053683D">
              <w:t>Reconcile asset register and inventory records to general ledgers</w:t>
            </w:r>
          </w:p>
        </w:tc>
        <w:tc>
          <w:tcPr>
            <w:tcW w:w="500" w:type="dxa"/>
            <w:tcBorders>
              <w:top w:val="nil"/>
              <w:left w:val="nil"/>
              <w:bottom w:val="nil"/>
              <w:right w:val="nil"/>
            </w:tcBorders>
            <w:tcMar>
              <w:top w:w="0" w:type="dxa"/>
              <w:left w:w="62" w:type="dxa"/>
              <w:bottom w:w="0" w:type="dxa"/>
              <w:right w:w="62" w:type="dxa"/>
            </w:tcMar>
          </w:tcPr>
          <w:p w:rsidR="00000000" w:rsidP="0053683D">
            <w:pPr>
              <w:pStyle w:val="BodyText"/>
              <w:rPr>
                <w:lang w:val="en-NZ"/>
              </w:rPr>
            </w:pPr>
            <w:r w:rsidRPr="0053683D">
              <w:t>2.1</w:t>
            </w:r>
          </w:p>
        </w:tc>
        <w:tc>
          <w:tcPr>
            <w:tcW w:w="5100" w:type="dxa"/>
            <w:tcBorders>
              <w:top w:val="nil"/>
              <w:left w:val="nil"/>
              <w:bottom w:val="nil"/>
              <w:right w:val="nil"/>
            </w:tcBorders>
            <w:tcMar>
              <w:top w:w="0" w:type="dxa"/>
              <w:left w:w="62" w:type="dxa"/>
              <w:bottom w:w="0" w:type="dxa"/>
              <w:right w:w="62" w:type="dxa"/>
            </w:tcMar>
          </w:tcPr>
          <w:p w:rsidR="00000000" w:rsidP="0053683D">
            <w:pPr>
              <w:pStyle w:val="BodyText"/>
              <w:rPr>
                <w:lang w:val="en-NZ"/>
              </w:rPr>
            </w:pPr>
            <w:r w:rsidRPr="0053683D">
              <w:t xml:space="preserve">All </w:t>
            </w:r>
            <w:r w:rsidRPr="0053683D">
              <w:rPr>
                <w:rStyle w:val="SpecialBold"/>
              </w:rPr>
              <w:t xml:space="preserve">asset expenditures </w:t>
            </w:r>
            <w:r w:rsidRPr="0053683D">
              <w:t xml:space="preserve">are reconciled in accordance with </w:t>
            </w:r>
            <w:r w:rsidRPr="0053683D">
              <w:rPr>
                <w:rStyle w:val="SpecialBold"/>
              </w:rPr>
              <w:t xml:space="preserve">organisation's policies, procedures and practices </w:t>
            </w:r>
            <w:r w:rsidRPr="0053683D">
              <w:t>to the accounting records</w:t>
            </w:r>
          </w:p>
        </w:tc>
      </w:tr>
      <w:tr w:rsidTr="00485E4E">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53683D">
            <w:pPr>
              <w:pStyle w:val="BodyText"/>
              <w:rPr>
                <w:lang w:val="en-NZ"/>
              </w:rPr>
            </w:pPr>
            <w:r w:rsidRPr="0053683D">
              <w:t>2.2</w:t>
            </w:r>
          </w:p>
        </w:tc>
        <w:tc>
          <w:tcPr>
            <w:tcW w:w="5100" w:type="dxa"/>
            <w:tcBorders>
              <w:top w:val="nil"/>
              <w:left w:val="nil"/>
              <w:bottom w:val="nil"/>
              <w:right w:val="nil"/>
            </w:tcBorders>
            <w:tcMar>
              <w:top w:w="0" w:type="dxa"/>
              <w:left w:w="62" w:type="dxa"/>
              <w:bottom w:w="0" w:type="dxa"/>
              <w:right w:w="62" w:type="dxa"/>
            </w:tcMar>
          </w:tcPr>
          <w:p w:rsidR="00000000" w:rsidP="0053683D">
            <w:pPr>
              <w:pStyle w:val="BodyText"/>
              <w:rPr>
                <w:lang w:val="en-NZ"/>
              </w:rPr>
            </w:pPr>
            <w:r w:rsidRPr="0053683D">
              <w:t>Discrepancies are identified and actioned according to organisation's policies, procedures and practices</w:t>
            </w:r>
          </w:p>
        </w:tc>
      </w:tr>
      <w:tr w:rsidTr="00485E4E">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53683D">
            <w:pPr>
              <w:pStyle w:val="BodyText"/>
              <w:rPr>
                <w:lang w:val="en-NZ"/>
              </w:rPr>
            </w:pPr>
            <w:r w:rsidRPr="0053683D">
              <w:t>3</w:t>
            </w:r>
          </w:p>
        </w:tc>
        <w:tc>
          <w:tcPr>
            <w:tcW w:w="3000" w:type="dxa"/>
            <w:vMerge w:val="restart"/>
            <w:tcBorders>
              <w:top w:val="nil"/>
              <w:left w:val="nil"/>
              <w:bottom w:val="nil"/>
              <w:right w:val="nil"/>
            </w:tcBorders>
            <w:tcMar>
              <w:top w:w="0" w:type="dxa"/>
              <w:left w:w="62" w:type="dxa"/>
              <w:bottom w:w="0" w:type="dxa"/>
              <w:right w:w="62" w:type="dxa"/>
            </w:tcMar>
          </w:tcPr>
          <w:p w:rsidR="00000000" w:rsidP="0053683D">
            <w:pPr>
              <w:pStyle w:val="BodyText"/>
              <w:rPr>
                <w:lang w:val="en-NZ"/>
              </w:rPr>
            </w:pPr>
            <w:r w:rsidRPr="0053683D">
              <w:t>Record inventory flows</w:t>
            </w:r>
          </w:p>
        </w:tc>
        <w:tc>
          <w:tcPr>
            <w:tcW w:w="500" w:type="dxa"/>
            <w:tcBorders>
              <w:top w:val="nil"/>
              <w:left w:val="nil"/>
              <w:bottom w:val="nil"/>
              <w:right w:val="nil"/>
            </w:tcBorders>
            <w:tcMar>
              <w:top w:w="0" w:type="dxa"/>
              <w:left w:w="62" w:type="dxa"/>
              <w:bottom w:w="0" w:type="dxa"/>
              <w:right w:w="62" w:type="dxa"/>
            </w:tcMar>
          </w:tcPr>
          <w:p w:rsidR="00000000" w:rsidP="0053683D">
            <w:pPr>
              <w:pStyle w:val="BodyText"/>
              <w:rPr>
                <w:lang w:val="en-NZ"/>
              </w:rPr>
            </w:pPr>
            <w:r w:rsidRPr="0053683D">
              <w:t>3.1</w:t>
            </w:r>
          </w:p>
        </w:tc>
        <w:tc>
          <w:tcPr>
            <w:tcW w:w="5100" w:type="dxa"/>
            <w:tcBorders>
              <w:top w:val="nil"/>
              <w:left w:val="nil"/>
              <w:bottom w:val="nil"/>
              <w:right w:val="nil"/>
            </w:tcBorders>
            <w:tcMar>
              <w:top w:w="0" w:type="dxa"/>
              <w:left w:w="62" w:type="dxa"/>
              <w:bottom w:w="0" w:type="dxa"/>
              <w:right w:w="62" w:type="dxa"/>
            </w:tcMar>
          </w:tcPr>
          <w:p w:rsidR="00000000" w:rsidP="0053683D">
            <w:pPr>
              <w:pStyle w:val="BodyText"/>
              <w:rPr>
                <w:lang w:val="en-NZ"/>
              </w:rPr>
            </w:pPr>
            <w:r w:rsidRPr="0053683D">
              <w:t>Purchase of inventory is recorded in subsidiary ledger</w:t>
            </w:r>
          </w:p>
        </w:tc>
      </w:tr>
      <w:tr w:rsidTr="00485E4E">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53683D">
            <w:pPr>
              <w:pStyle w:val="BodyText"/>
              <w:rPr>
                <w:lang w:val="en-NZ"/>
              </w:rPr>
            </w:pPr>
            <w:r w:rsidRPr="0053683D">
              <w:t>3.2</w:t>
            </w:r>
          </w:p>
        </w:tc>
        <w:tc>
          <w:tcPr>
            <w:tcW w:w="5100" w:type="dxa"/>
            <w:tcBorders>
              <w:top w:val="nil"/>
              <w:left w:val="nil"/>
              <w:bottom w:val="nil"/>
              <w:right w:val="nil"/>
            </w:tcBorders>
            <w:tcMar>
              <w:top w:w="0" w:type="dxa"/>
              <w:left w:w="62" w:type="dxa"/>
              <w:bottom w:w="0" w:type="dxa"/>
              <w:right w:w="62" w:type="dxa"/>
            </w:tcMar>
          </w:tcPr>
          <w:p w:rsidR="00000000" w:rsidP="0053683D">
            <w:pPr>
              <w:pStyle w:val="BodyText"/>
              <w:rPr>
                <w:lang w:val="en-NZ"/>
              </w:rPr>
            </w:pPr>
            <w:r w:rsidRPr="0053683D">
              <w:t>Asset register is established and maintained</w:t>
            </w:r>
          </w:p>
        </w:tc>
      </w:tr>
      <w:tr w:rsidTr="00485E4E">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53683D">
            <w:pPr>
              <w:pStyle w:val="BodyText"/>
              <w:rPr>
                <w:lang w:val="en-NZ"/>
              </w:rPr>
            </w:pPr>
            <w:r w:rsidRPr="0053683D">
              <w:t>3.3</w:t>
            </w:r>
          </w:p>
        </w:tc>
        <w:tc>
          <w:tcPr>
            <w:tcW w:w="5100" w:type="dxa"/>
            <w:tcBorders>
              <w:top w:val="nil"/>
              <w:left w:val="nil"/>
              <w:bottom w:val="nil"/>
              <w:right w:val="nil"/>
            </w:tcBorders>
            <w:tcMar>
              <w:top w:w="0" w:type="dxa"/>
              <w:left w:w="62" w:type="dxa"/>
              <w:bottom w:w="0" w:type="dxa"/>
              <w:right w:w="62" w:type="dxa"/>
            </w:tcMar>
          </w:tcPr>
          <w:p w:rsidR="00000000" w:rsidP="0053683D">
            <w:pPr>
              <w:pStyle w:val="BodyText"/>
              <w:rPr>
                <w:lang w:val="en-NZ"/>
              </w:rPr>
            </w:pPr>
            <w:r w:rsidRPr="0053683D">
              <w:t>Periodic and perpetual records are maintained</w:t>
            </w:r>
          </w:p>
        </w:tc>
      </w:tr>
      <w:tr w:rsidTr="00485E4E">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RPr="0053683D" w:rsidP="0053683D">
            <w:pPr>
              <w:pStyle w:val="BodyText"/>
            </w:pPr>
            <w:r w:rsidRPr="0053683D">
              <w:t>3.4</w:t>
            </w:r>
          </w:p>
        </w:tc>
        <w:tc>
          <w:tcPr>
            <w:tcW w:w="5100" w:type="dxa"/>
            <w:tcBorders>
              <w:top w:val="nil"/>
              <w:left w:val="nil"/>
              <w:bottom w:val="nil"/>
              <w:right w:val="nil"/>
            </w:tcBorders>
            <w:tcMar>
              <w:top w:w="0" w:type="dxa"/>
              <w:left w:w="62" w:type="dxa"/>
              <w:bottom w:w="0" w:type="dxa"/>
              <w:right w:w="62" w:type="dxa"/>
            </w:tcMar>
          </w:tcPr>
          <w:p w:rsidR="00000000" w:rsidP="0053683D">
            <w:pPr>
              <w:pStyle w:val="BodyText"/>
              <w:rPr>
                <w:lang w:val="en-NZ"/>
              </w:rPr>
            </w:pPr>
            <w:r w:rsidRPr="0053683D">
              <w:rPr>
                <w:rStyle w:val="SpecialBold"/>
              </w:rPr>
              <w:t xml:space="preserve">Inventory flow assumptions </w:t>
            </w:r>
            <w:r w:rsidRPr="0053683D">
              <w:t>are applied as appropriate</w:t>
            </w:r>
          </w:p>
        </w:tc>
      </w:tr>
      <w:tr w:rsidTr="00485E4E">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53683D">
            <w:pPr>
              <w:pStyle w:val="BodyText"/>
              <w:rPr>
                <w:lang w:val="en-NZ"/>
              </w:rPr>
            </w:pPr>
            <w:r w:rsidRPr="0053683D">
              <w:t>3.5</w:t>
            </w:r>
          </w:p>
        </w:tc>
        <w:tc>
          <w:tcPr>
            <w:tcW w:w="5100" w:type="dxa"/>
            <w:tcBorders>
              <w:top w:val="nil"/>
              <w:left w:val="nil"/>
              <w:bottom w:val="nil"/>
              <w:right w:val="nil"/>
            </w:tcBorders>
            <w:tcMar>
              <w:top w:w="0" w:type="dxa"/>
              <w:left w:w="62" w:type="dxa"/>
              <w:bottom w:w="0" w:type="dxa"/>
              <w:right w:w="62" w:type="dxa"/>
            </w:tcMar>
          </w:tcPr>
          <w:p w:rsidR="00000000" w:rsidP="0053683D">
            <w:pPr>
              <w:pStyle w:val="BodyText"/>
              <w:rPr>
                <w:lang w:val="en-NZ"/>
              </w:rPr>
            </w:pPr>
            <w:r w:rsidRPr="0053683D">
              <w:t xml:space="preserve">Inventory is valued using appropriate </w:t>
            </w:r>
            <w:r w:rsidRPr="0053683D">
              <w:rPr>
                <w:rStyle w:val="SpecialBold"/>
              </w:rPr>
              <w:t>valuation rules</w:t>
            </w:r>
          </w:p>
        </w:tc>
      </w:tr>
      <w:tr w:rsidTr="00485E4E">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53683D">
            <w:pPr>
              <w:pStyle w:val="BodyText"/>
              <w:rPr>
                <w:lang w:val="en-NZ"/>
              </w:rPr>
            </w:pPr>
            <w:r w:rsidRPr="0053683D">
              <w:t>4</w:t>
            </w:r>
          </w:p>
        </w:tc>
        <w:tc>
          <w:tcPr>
            <w:tcW w:w="3000" w:type="dxa"/>
            <w:vMerge w:val="restart"/>
            <w:tcBorders>
              <w:top w:val="nil"/>
              <w:left w:val="nil"/>
              <w:bottom w:val="nil"/>
              <w:right w:val="nil"/>
            </w:tcBorders>
            <w:tcMar>
              <w:top w:w="0" w:type="dxa"/>
              <w:left w:w="62" w:type="dxa"/>
              <w:bottom w:w="0" w:type="dxa"/>
              <w:right w:w="62" w:type="dxa"/>
            </w:tcMar>
          </w:tcPr>
          <w:p w:rsidR="00000000" w:rsidP="0053683D">
            <w:pPr>
              <w:pStyle w:val="BodyText"/>
              <w:rPr>
                <w:lang w:val="en-NZ"/>
              </w:rPr>
            </w:pPr>
            <w:r w:rsidRPr="0053683D">
              <w:t>Recognise new assets and asset categories</w:t>
            </w:r>
          </w:p>
        </w:tc>
        <w:tc>
          <w:tcPr>
            <w:tcW w:w="500" w:type="dxa"/>
            <w:tcBorders>
              <w:top w:val="nil"/>
              <w:left w:val="nil"/>
              <w:bottom w:val="nil"/>
              <w:right w:val="nil"/>
            </w:tcBorders>
            <w:tcMar>
              <w:top w:w="0" w:type="dxa"/>
              <w:left w:w="62" w:type="dxa"/>
              <w:bottom w:w="0" w:type="dxa"/>
              <w:right w:w="62" w:type="dxa"/>
            </w:tcMar>
          </w:tcPr>
          <w:p w:rsidR="00000000" w:rsidP="0053683D">
            <w:pPr>
              <w:pStyle w:val="BodyText"/>
              <w:rPr>
                <w:lang w:val="en-NZ"/>
              </w:rPr>
            </w:pPr>
            <w:r w:rsidRPr="0053683D">
              <w:t>4.1</w:t>
            </w:r>
          </w:p>
        </w:tc>
        <w:tc>
          <w:tcPr>
            <w:tcW w:w="5100" w:type="dxa"/>
            <w:tcBorders>
              <w:top w:val="nil"/>
              <w:left w:val="nil"/>
              <w:bottom w:val="nil"/>
              <w:right w:val="nil"/>
            </w:tcBorders>
            <w:tcMar>
              <w:top w:w="0" w:type="dxa"/>
              <w:left w:w="62" w:type="dxa"/>
              <w:bottom w:w="0" w:type="dxa"/>
              <w:right w:w="62" w:type="dxa"/>
            </w:tcMar>
          </w:tcPr>
          <w:p w:rsidR="00000000" w:rsidP="0053683D">
            <w:pPr>
              <w:pStyle w:val="BodyText"/>
              <w:rPr>
                <w:lang w:val="en-NZ"/>
              </w:rPr>
            </w:pPr>
            <w:r w:rsidRPr="0053683D">
              <w:t>New asset categories are identified where appropriate</w:t>
            </w:r>
          </w:p>
        </w:tc>
      </w:tr>
      <w:tr w:rsidTr="00485E4E">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53683D">
            <w:pPr>
              <w:pStyle w:val="BodyText"/>
              <w:rPr>
                <w:lang w:val="en-NZ"/>
              </w:rPr>
            </w:pPr>
            <w:r w:rsidRPr="0053683D">
              <w:t>4.2</w:t>
            </w:r>
          </w:p>
        </w:tc>
        <w:tc>
          <w:tcPr>
            <w:tcW w:w="5100" w:type="dxa"/>
            <w:tcBorders>
              <w:top w:val="nil"/>
              <w:left w:val="nil"/>
              <w:bottom w:val="nil"/>
              <w:right w:val="nil"/>
            </w:tcBorders>
            <w:tcMar>
              <w:top w:w="0" w:type="dxa"/>
              <w:left w:w="62" w:type="dxa"/>
              <w:bottom w:w="0" w:type="dxa"/>
              <w:right w:w="62" w:type="dxa"/>
            </w:tcMar>
          </w:tcPr>
          <w:p w:rsidR="00000000" w:rsidP="0053683D">
            <w:pPr>
              <w:pStyle w:val="BodyText"/>
              <w:rPr>
                <w:lang w:val="en-NZ"/>
              </w:rPr>
            </w:pPr>
            <w:r w:rsidRPr="0053683D">
              <w:t>Proforma for input of asset details is prepared and processed accurately and in a timely fashion</w:t>
            </w:r>
          </w:p>
        </w:tc>
      </w:tr>
      <w:tr w:rsidTr="00485E4E">
        <w:tblPrEx>
          <w:tblW w:w="0" w:type="auto"/>
          <w:tblLayout w:type="fixed"/>
          <w:tblCellMar>
            <w:left w:w="62" w:type="dxa"/>
            <w:right w:w="62" w:type="dxa"/>
          </w:tblCellMar>
          <w:tblLook w:val="0000"/>
        </w:tblPrEx>
        <w:tc>
          <w:tcPr>
            <w:tcW w:w="400" w:type="dxa"/>
            <w:tcBorders>
              <w:top w:val="nil"/>
              <w:left w:val="nil"/>
              <w:bottom w:val="nil"/>
              <w:right w:val="nil"/>
            </w:tcBorders>
            <w:tcMar>
              <w:top w:w="0" w:type="dxa"/>
              <w:left w:w="62" w:type="dxa"/>
              <w:bottom w:w="0" w:type="dxa"/>
              <w:right w:w="62" w:type="dxa"/>
            </w:tcMar>
          </w:tcPr>
          <w:p w:rsidR="00000000" w:rsidP="0053683D">
            <w:pPr>
              <w:pStyle w:val="BodyText"/>
              <w:rPr>
                <w:lang w:val="en-NZ"/>
              </w:rPr>
            </w:pPr>
            <w:r w:rsidRPr="0053683D">
              <w:t>5</w:t>
            </w:r>
          </w:p>
        </w:tc>
        <w:tc>
          <w:tcPr>
            <w:tcW w:w="3000" w:type="dxa"/>
            <w:tcBorders>
              <w:top w:val="nil"/>
              <w:left w:val="nil"/>
              <w:bottom w:val="nil"/>
              <w:right w:val="nil"/>
            </w:tcBorders>
            <w:tcMar>
              <w:top w:w="0" w:type="dxa"/>
              <w:left w:w="62" w:type="dxa"/>
              <w:bottom w:w="0" w:type="dxa"/>
              <w:right w:w="62" w:type="dxa"/>
            </w:tcMar>
          </w:tcPr>
          <w:p w:rsidR="00000000" w:rsidP="0053683D">
            <w:pPr>
              <w:pStyle w:val="BodyText"/>
              <w:rPr>
                <w:lang w:val="en-NZ"/>
              </w:rPr>
            </w:pPr>
            <w:r w:rsidRPr="0053683D">
              <w:t>Prepare schedules and ad hoc reports</w:t>
            </w:r>
          </w:p>
        </w:tc>
        <w:tc>
          <w:tcPr>
            <w:tcW w:w="500" w:type="dxa"/>
            <w:tcBorders>
              <w:top w:val="nil"/>
              <w:left w:val="nil"/>
              <w:bottom w:val="nil"/>
              <w:right w:val="nil"/>
            </w:tcBorders>
            <w:tcMar>
              <w:top w:w="0" w:type="dxa"/>
              <w:left w:w="62" w:type="dxa"/>
              <w:bottom w:w="0" w:type="dxa"/>
              <w:right w:w="62" w:type="dxa"/>
            </w:tcMar>
          </w:tcPr>
          <w:p w:rsidR="00000000" w:rsidP="0053683D">
            <w:pPr>
              <w:pStyle w:val="BodyText"/>
              <w:rPr>
                <w:lang w:val="en-NZ"/>
              </w:rPr>
            </w:pPr>
            <w:r w:rsidRPr="0053683D">
              <w:t>5.1</w:t>
            </w:r>
          </w:p>
        </w:tc>
        <w:tc>
          <w:tcPr>
            <w:tcW w:w="5100" w:type="dxa"/>
            <w:tcBorders>
              <w:top w:val="nil"/>
              <w:left w:val="nil"/>
              <w:bottom w:val="nil"/>
              <w:right w:val="nil"/>
            </w:tcBorders>
            <w:tcMar>
              <w:top w:w="0" w:type="dxa"/>
              <w:left w:w="62" w:type="dxa"/>
              <w:bottom w:w="0" w:type="dxa"/>
              <w:right w:w="62" w:type="dxa"/>
            </w:tcMar>
          </w:tcPr>
          <w:p w:rsidR="00000000" w:rsidP="0053683D">
            <w:pPr>
              <w:pStyle w:val="BodyText"/>
              <w:rPr>
                <w:lang w:val="en-NZ"/>
              </w:rPr>
            </w:pPr>
            <w:r w:rsidRPr="0053683D">
              <w:t>Spreadsheets/</w:t>
            </w:r>
            <w:r w:rsidRPr="0053683D">
              <w:rPr>
                <w:rStyle w:val="SpecialBold"/>
              </w:rPr>
              <w:t xml:space="preserve">ad hoc reports </w:t>
            </w:r>
            <w:r w:rsidRPr="0053683D">
              <w:t>are prepared as requested</w:t>
            </w:r>
          </w:p>
        </w:tc>
      </w:tr>
      <w:tr w:rsidTr="00485E4E">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53683D">
            <w:pPr>
              <w:pStyle w:val="BodyText"/>
              <w:rPr>
                <w:lang w:val="en-NZ"/>
              </w:rPr>
            </w:pPr>
            <w:r w:rsidRPr="0053683D">
              <w:t>6</w:t>
            </w:r>
          </w:p>
        </w:tc>
        <w:tc>
          <w:tcPr>
            <w:tcW w:w="3000" w:type="dxa"/>
            <w:vMerge w:val="restart"/>
            <w:tcBorders>
              <w:top w:val="nil"/>
              <w:left w:val="nil"/>
              <w:bottom w:val="nil"/>
              <w:right w:val="nil"/>
            </w:tcBorders>
            <w:tcMar>
              <w:top w:w="0" w:type="dxa"/>
              <w:left w:w="62" w:type="dxa"/>
              <w:bottom w:w="0" w:type="dxa"/>
              <w:right w:w="62" w:type="dxa"/>
            </w:tcMar>
          </w:tcPr>
          <w:p w:rsidR="00000000" w:rsidP="0053683D">
            <w:pPr>
              <w:pStyle w:val="BodyText"/>
              <w:rPr>
                <w:lang w:val="en-NZ"/>
              </w:rPr>
            </w:pPr>
            <w:r w:rsidRPr="0053683D">
              <w:t>Record disposal of fixed assets</w:t>
            </w:r>
          </w:p>
        </w:tc>
        <w:tc>
          <w:tcPr>
            <w:tcW w:w="500" w:type="dxa"/>
            <w:tcBorders>
              <w:top w:val="nil"/>
              <w:left w:val="nil"/>
              <w:bottom w:val="nil"/>
              <w:right w:val="nil"/>
            </w:tcBorders>
            <w:tcMar>
              <w:top w:w="0" w:type="dxa"/>
              <w:left w:w="62" w:type="dxa"/>
              <w:bottom w:w="0" w:type="dxa"/>
              <w:right w:w="62" w:type="dxa"/>
            </w:tcMar>
          </w:tcPr>
          <w:p w:rsidR="00000000" w:rsidP="0053683D">
            <w:pPr>
              <w:pStyle w:val="BodyText"/>
              <w:rPr>
                <w:lang w:val="en-NZ"/>
              </w:rPr>
            </w:pPr>
            <w:r w:rsidRPr="0053683D">
              <w:t>6.1</w:t>
            </w:r>
          </w:p>
        </w:tc>
        <w:tc>
          <w:tcPr>
            <w:tcW w:w="5100" w:type="dxa"/>
            <w:tcBorders>
              <w:top w:val="nil"/>
              <w:left w:val="nil"/>
              <w:bottom w:val="nil"/>
              <w:right w:val="nil"/>
            </w:tcBorders>
            <w:tcMar>
              <w:top w:w="0" w:type="dxa"/>
              <w:left w:w="62" w:type="dxa"/>
              <w:bottom w:w="0" w:type="dxa"/>
              <w:right w:w="62" w:type="dxa"/>
            </w:tcMar>
          </w:tcPr>
          <w:p w:rsidR="00000000" w:rsidP="0053683D">
            <w:pPr>
              <w:pStyle w:val="BodyText"/>
              <w:rPr>
                <w:lang w:val="en-NZ"/>
              </w:rPr>
            </w:pPr>
            <w:r w:rsidRPr="0053683D">
              <w:t>Assets are disposed of</w:t>
            </w:r>
            <w:r w:rsidRPr="0053683D">
              <w:t xml:space="preserve"> in accordance with organisational procedures, </w:t>
            </w:r>
            <w:r w:rsidRPr="0053683D">
              <w:rPr>
                <w:rStyle w:val="SpecialBold"/>
              </w:rPr>
              <w:t xml:space="preserve">relevant legislative requirements </w:t>
            </w:r>
            <w:r w:rsidRPr="0053683D">
              <w:t>and under supervision of appropriate persons</w:t>
            </w:r>
          </w:p>
        </w:tc>
      </w:tr>
      <w:tr w:rsidTr="00485E4E">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RPr="0053683D" w:rsidP="0053683D">
            <w:pPr>
              <w:pStyle w:val="BodyText"/>
            </w:pPr>
            <w:r w:rsidRPr="0053683D">
              <w:t>6.2</w:t>
            </w:r>
          </w:p>
        </w:tc>
        <w:tc>
          <w:tcPr>
            <w:tcW w:w="5100" w:type="dxa"/>
            <w:tcBorders>
              <w:top w:val="nil"/>
              <w:left w:val="nil"/>
              <w:bottom w:val="nil"/>
              <w:right w:val="nil"/>
            </w:tcBorders>
            <w:tcMar>
              <w:top w:w="0" w:type="dxa"/>
              <w:left w:w="62" w:type="dxa"/>
              <w:bottom w:w="0" w:type="dxa"/>
              <w:right w:w="62" w:type="dxa"/>
            </w:tcMar>
          </w:tcPr>
          <w:p w:rsidR="00000000" w:rsidP="0053683D">
            <w:pPr>
              <w:pStyle w:val="BodyText"/>
              <w:rPr>
                <w:lang w:val="en-NZ"/>
              </w:rPr>
            </w:pPr>
            <w:r w:rsidRPr="0053683D">
              <w:rPr>
                <w:rStyle w:val="SpecialBold"/>
              </w:rPr>
              <w:t xml:space="preserve">Disposal price data </w:t>
            </w:r>
            <w:r w:rsidRPr="0053683D">
              <w:t>is obtained and entered into accounting records</w:t>
            </w:r>
          </w:p>
        </w:tc>
      </w:tr>
      <w:tr w:rsidTr="00485E4E">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53683D">
            <w:pPr>
              <w:pStyle w:val="BodyText"/>
              <w:rPr>
                <w:lang w:val="en-NZ"/>
              </w:rPr>
            </w:pPr>
            <w:r w:rsidRPr="0053683D">
              <w:t>6.3</w:t>
            </w:r>
          </w:p>
        </w:tc>
        <w:tc>
          <w:tcPr>
            <w:tcW w:w="5100" w:type="dxa"/>
            <w:tcBorders>
              <w:top w:val="nil"/>
              <w:left w:val="nil"/>
              <w:bottom w:val="nil"/>
              <w:right w:val="nil"/>
            </w:tcBorders>
            <w:tcMar>
              <w:top w:w="0" w:type="dxa"/>
              <w:left w:w="62" w:type="dxa"/>
              <w:bottom w:w="0" w:type="dxa"/>
              <w:right w:w="62" w:type="dxa"/>
            </w:tcMar>
          </w:tcPr>
          <w:p w:rsidR="00000000" w:rsidRPr="0053683D" w:rsidP="0053683D">
            <w:pPr>
              <w:pStyle w:val="BodyText"/>
            </w:pPr>
            <w:r w:rsidRPr="0053683D">
              <w:t>Accounting procedures are followed for the removal of assets from ledger and asset register</w:t>
            </w:r>
          </w:p>
        </w:tc>
      </w:tr>
    </w:tbl>
    <w:p w:rsidR="00000000" w:rsidRPr="0053683D" w:rsidP="0053683D">
      <w:pPr>
        <w:pStyle w:val="BodyText"/>
      </w:pPr>
    </w:p>
    <w:p w:rsidR="00000000" w:rsidRPr="0053683D" w:rsidP="0053683D">
      <w:pPr>
        <w:pStyle w:val="AllowPageBreak"/>
      </w:pPr>
    </w:p>
    <w:p w:rsidR="00000000" w:rsidRPr="0053683D" w:rsidP="0053683D">
      <w:pPr>
        <w:pStyle w:val="Heading1"/>
      </w:pPr>
      <w:bookmarkStart w:id="9" w:name="O_317930"/>
      <w:bookmarkEnd w:id="9"/>
      <w:r w:rsidRPr="0053683D">
        <w:t>Required Skills and Knowledge</w:t>
      </w:r>
    </w:p>
    <w:tbl>
      <w:tblPr>
        <w:tblW w:w="0" w:type="auto"/>
        <w:tblLayout w:type="fixed"/>
        <w:tblCellMar>
          <w:left w:w="62" w:type="dxa"/>
          <w:right w:w="62" w:type="dxa"/>
        </w:tblCellMar>
        <w:tblLook w:val="0000"/>
      </w:tblPr>
      <w:tblGrid>
        <w:gridCol w:w="9000"/>
      </w:tblGrid>
      <w:tr w:rsidTr="00485E4E">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53683D">
            <w:pPr>
              <w:pStyle w:val="BodyText"/>
              <w:rPr>
                <w:lang w:val="en-NZ"/>
              </w:rPr>
            </w:pPr>
            <w:r w:rsidRPr="0053683D">
              <w:rPr>
                <w:rStyle w:val="SpecialBold"/>
              </w:rPr>
              <w:t>REQUIRED KNOWLEDGE</w:t>
            </w:r>
            <w:r w:rsidRPr="0053683D">
              <w:t>&amp;</w:t>
            </w:r>
            <w:r w:rsidRPr="0053683D">
              <w:rPr>
                <w:rStyle w:val="SpecialBold"/>
              </w:rPr>
              <w:t>SKILLS</w:t>
            </w:r>
          </w:p>
        </w:tc>
      </w:tr>
      <w:tr w:rsidTr="00485E4E">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RPr="0053683D" w:rsidP="0053683D">
            <w:pPr>
              <w:pStyle w:val="BodyText"/>
            </w:pPr>
            <w:r w:rsidRPr="0053683D">
              <w:rPr>
                <w:rStyle w:val="SpecialBold"/>
              </w:rPr>
              <w:t>Knowledge requirements include</w:t>
            </w:r>
            <w:r w:rsidRPr="0053683D">
              <w:t xml:space="preserve">: </w:t>
            </w:r>
          </w:p>
          <w:p w:rsidR="00000000" w:rsidRPr="0053683D" w:rsidP="0053683D">
            <w:pPr>
              <w:pStyle w:val="BodyText"/>
            </w:pPr>
            <w:r w:rsidRPr="0053683D">
              <w:t>organisational procedures for asset acquisition</w:t>
            </w:r>
          </w:p>
          <w:p w:rsidR="00000000" w:rsidRPr="0053683D" w:rsidP="0053683D">
            <w:pPr>
              <w:pStyle w:val="BodyText"/>
            </w:pPr>
            <w:r w:rsidRPr="0053683D">
              <w:t>fixed asset register software - this may include adjusted software or equipment for use by people with disabilities</w:t>
            </w:r>
          </w:p>
          <w:p w:rsidR="00000000" w:rsidRPr="0053683D" w:rsidP="0053683D">
            <w:pPr>
              <w:pStyle w:val="BodyText"/>
            </w:pPr>
            <w:r w:rsidRPr="0053683D">
              <w:t>depreciation schedules</w:t>
            </w:r>
          </w:p>
          <w:p w:rsidR="00000000" w:rsidRPr="0053683D" w:rsidP="0053683D">
            <w:pPr>
              <w:pStyle w:val="BodyText"/>
            </w:pPr>
            <w:r w:rsidRPr="0053683D">
              <w:t xml:space="preserve">reconciliation process </w:t>
            </w:r>
          </w:p>
          <w:p w:rsidR="00000000" w:rsidRPr="0053683D" w:rsidP="0053683D">
            <w:pPr>
              <w:pStyle w:val="BodyText"/>
            </w:pPr>
            <w:r w:rsidRPr="0053683D">
              <w:t>banking processes</w:t>
            </w:r>
          </w:p>
          <w:p w:rsidR="00000000" w:rsidRPr="0053683D" w:rsidP="0053683D">
            <w:pPr>
              <w:pStyle w:val="BodyText"/>
            </w:pPr>
            <w:r w:rsidRPr="0053683D">
              <w:t>general ledgers</w:t>
            </w:r>
          </w:p>
          <w:p w:rsidR="00000000" w:rsidP="0053683D">
            <w:pPr>
              <w:pStyle w:val="BodyText"/>
              <w:rPr>
                <w:lang w:val="en-NZ"/>
              </w:rPr>
            </w:pPr>
            <w:r w:rsidRPr="0053683D">
              <w:t xml:space="preserve">information systems including spreadsheets </w:t>
            </w:r>
          </w:p>
        </w:tc>
      </w:tr>
      <w:tr w:rsidTr="00485E4E">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RPr="0053683D" w:rsidP="0053683D">
            <w:pPr>
              <w:pStyle w:val="BodyText"/>
            </w:pPr>
            <w:r w:rsidRPr="0053683D">
              <w:rPr>
                <w:rStyle w:val="SpecialBold"/>
              </w:rPr>
              <w:t>Skills require</w:t>
            </w:r>
            <w:r w:rsidRPr="0053683D">
              <w:rPr>
                <w:rStyle w:val="SpecialBold"/>
              </w:rPr>
              <w:t>ments include</w:t>
            </w:r>
            <w:r w:rsidRPr="0053683D">
              <w:t xml:space="preserve">: </w:t>
            </w:r>
          </w:p>
          <w:p w:rsidR="00000000" w:rsidRPr="0053683D" w:rsidP="0053683D">
            <w:pPr>
              <w:pStyle w:val="BodyText"/>
            </w:pPr>
            <w:r w:rsidRPr="0053683D">
              <w:t>organising and planning own work schedule to meet organisational priorities</w:t>
            </w:r>
          </w:p>
          <w:p w:rsidR="00000000" w:rsidRPr="0053683D" w:rsidP="0053683D">
            <w:pPr>
              <w:pStyle w:val="BodyText"/>
            </w:pPr>
            <w:r w:rsidRPr="0053683D">
              <w:t>communicating effectively to gain approval and authorisation for the purchase of assets</w:t>
            </w:r>
          </w:p>
          <w:p w:rsidR="00000000" w:rsidRPr="0053683D" w:rsidP="0053683D">
            <w:pPr>
              <w:pStyle w:val="BodyText"/>
            </w:pPr>
            <w:r w:rsidRPr="0053683D">
              <w:t>developing schedules and ad hoc reports</w:t>
            </w:r>
          </w:p>
          <w:p w:rsidR="00000000" w:rsidRPr="0053683D" w:rsidP="0053683D">
            <w:pPr>
              <w:pStyle w:val="BodyText"/>
            </w:pPr>
            <w:r w:rsidRPr="0053683D">
              <w:t>solving discrepancies in data</w:t>
            </w:r>
          </w:p>
          <w:p w:rsidR="00000000" w:rsidRPr="0053683D" w:rsidP="0053683D">
            <w:pPr>
              <w:pStyle w:val="BodyText"/>
            </w:pPr>
            <w:r w:rsidRPr="0053683D">
              <w:t>reconc</w:t>
            </w:r>
            <w:r w:rsidRPr="0053683D">
              <w:t>iling inventory records and general ledgers</w:t>
            </w:r>
          </w:p>
          <w:p w:rsidR="00000000" w:rsidRPr="0053683D" w:rsidP="0053683D">
            <w:pPr>
              <w:pStyle w:val="BodyText"/>
            </w:pPr>
            <w:r w:rsidRPr="0053683D">
              <w:t xml:space="preserve">using computers, organisational accounting software systems, spreadsheet applications and telecommunication devices </w:t>
            </w:r>
          </w:p>
        </w:tc>
      </w:tr>
    </w:tbl>
    <w:p w:rsidR="00000000" w:rsidRPr="0053683D" w:rsidP="0053683D">
      <w:pPr>
        <w:pStyle w:val="BodyText"/>
      </w:pPr>
    </w:p>
    <w:p w:rsidR="00000000" w:rsidRPr="0053683D" w:rsidP="0053683D">
      <w:pPr>
        <w:pStyle w:val="AllowPageBreak"/>
      </w:pPr>
    </w:p>
    <w:p w:rsidR="00000000" w:rsidRPr="0053683D" w:rsidP="0053683D">
      <w:pPr>
        <w:pStyle w:val="Heading1"/>
      </w:pPr>
      <w:bookmarkStart w:id="10" w:name="O_317940"/>
      <w:bookmarkEnd w:id="10"/>
      <w:r w:rsidRPr="0053683D">
        <w:t>Evidence Guide</w:t>
      </w:r>
    </w:p>
    <w:tbl>
      <w:tblPr>
        <w:tblW w:w="0" w:type="auto"/>
        <w:tblLayout w:type="fixed"/>
        <w:tblCellMar>
          <w:left w:w="62" w:type="dxa"/>
          <w:right w:w="62" w:type="dxa"/>
        </w:tblCellMar>
        <w:tblLook w:val="0000"/>
      </w:tblPr>
      <w:tblGrid>
        <w:gridCol w:w="4500"/>
        <w:gridCol w:w="4500"/>
      </w:tblGrid>
      <w:tr w:rsidTr="00485E4E">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53683D">
            <w:pPr>
              <w:pStyle w:val="BodyText"/>
              <w:rPr>
                <w:lang w:val="en-NZ"/>
              </w:rPr>
            </w:pPr>
            <w:r w:rsidRPr="0053683D">
              <w:rPr>
                <w:rStyle w:val="SpecialBold"/>
              </w:rPr>
              <w:t xml:space="preserve"> EVIDENCE GUIDE</w:t>
            </w:r>
          </w:p>
        </w:tc>
      </w:tr>
      <w:tr w:rsidTr="00485E4E">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53683D">
            <w:pPr>
              <w:pStyle w:val="BodyText"/>
              <w:rPr>
                <w:lang w:val="en-NZ"/>
              </w:rPr>
            </w:pPr>
            <w:r w:rsidRPr="0053683D">
              <w:t>Assessment of performance requirements in the unit should be undertaken in an industry context. The Evidence Guide identifies the critical aspects, knowledge and skills to be demonstrated to confirm competency for the unit. Competency is demonstrated by pe</w:t>
            </w:r>
            <w:r w:rsidRPr="0053683D">
              <w:t xml:space="preserve">rformance of all stated criteria including the Range Statement applicable to the workplace. </w:t>
            </w:r>
          </w:p>
        </w:tc>
      </w:tr>
      <w:tr w:rsidTr="00485E4E">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53683D">
            <w:pPr>
              <w:pStyle w:val="BodyText"/>
              <w:rPr>
                <w:lang w:val="en-NZ"/>
              </w:rPr>
            </w:pPr>
            <w:r w:rsidRPr="0053683D">
              <w:rPr>
                <w:rStyle w:val="SpecialBold"/>
              </w:rPr>
              <w:t>Overview of assessment requirements</w:t>
            </w:r>
          </w:p>
        </w:tc>
      </w:tr>
      <w:tr w:rsidTr="00485E4E">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RPr="0053683D" w:rsidP="0053683D">
            <w:pPr>
              <w:pStyle w:val="BodyText"/>
            </w:pPr>
            <w:r w:rsidRPr="0053683D">
              <w:t>To achieve competency in this unit, a person must be able to demonstrate:</w:t>
            </w:r>
          </w:p>
          <w:p w:rsidR="00000000" w:rsidRPr="0053683D" w:rsidP="0053683D">
            <w:pPr>
              <w:pStyle w:val="BodyText"/>
            </w:pPr>
            <w:r w:rsidRPr="0053683D">
              <w:t>knowledge of organisational policies and procedur</w:t>
            </w:r>
            <w:r w:rsidRPr="0053683D">
              <w:t>es</w:t>
            </w:r>
          </w:p>
          <w:p w:rsidR="00000000" w:rsidRPr="0053683D" w:rsidP="0053683D">
            <w:pPr>
              <w:pStyle w:val="BodyText"/>
            </w:pPr>
            <w:r w:rsidRPr="0053683D">
              <w:t>knowledge of inventory valuation rules</w:t>
            </w:r>
          </w:p>
          <w:p w:rsidR="00000000" w:rsidRPr="0053683D" w:rsidP="0053683D">
            <w:pPr>
              <w:pStyle w:val="BodyText"/>
            </w:pPr>
            <w:r w:rsidRPr="0053683D">
              <w:t>knowledge of inventory flow assumptions</w:t>
            </w:r>
          </w:p>
          <w:p w:rsidR="00000000" w:rsidRPr="0053683D" w:rsidP="0053683D">
            <w:pPr>
              <w:pStyle w:val="BodyText"/>
            </w:pPr>
            <w:r w:rsidRPr="0053683D">
              <w:t xml:space="preserve">knowledge of relevant legislation </w:t>
            </w:r>
          </w:p>
          <w:p w:rsidR="00000000" w:rsidRPr="0053683D" w:rsidP="0053683D">
            <w:pPr>
              <w:pStyle w:val="BodyText"/>
            </w:pPr>
            <w:r w:rsidRPr="0053683D">
              <w:t xml:space="preserve">ability to comply with organisational asset acquisition procedures </w:t>
            </w:r>
          </w:p>
          <w:p w:rsidR="00000000" w:rsidP="0053683D">
            <w:pPr>
              <w:pStyle w:val="BodyText"/>
              <w:rPr>
                <w:lang w:val="en-NZ"/>
              </w:rPr>
            </w:pPr>
            <w:r w:rsidRPr="0053683D">
              <w:t>ability to reconcile asset register and inventory records to general le</w:t>
            </w:r>
            <w:r w:rsidRPr="0053683D">
              <w:t xml:space="preserve">dgers </w:t>
            </w:r>
          </w:p>
        </w:tc>
      </w:tr>
      <w:tr w:rsidTr="00485E4E">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RPr="0053683D" w:rsidP="0053683D">
            <w:pPr>
              <w:pStyle w:val="BodyText"/>
            </w:pPr>
            <w:r w:rsidRPr="0053683D">
              <w:t>ability to record inventory flows</w:t>
            </w:r>
          </w:p>
          <w:p w:rsidR="00000000" w:rsidRPr="0053683D" w:rsidP="0053683D">
            <w:pPr>
              <w:pStyle w:val="BodyText"/>
            </w:pPr>
            <w:r w:rsidRPr="0053683D">
              <w:t>ability to recognise new assets and asset categories</w:t>
            </w:r>
          </w:p>
          <w:p w:rsidR="00000000" w:rsidRPr="0053683D" w:rsidP="0053683D">
            <w:pPr>
              <w:pStyle w:val="BodyText"/>
            </w:pPr>
            <w:r w:rsidRPr="0053683D">
              <w:t>ability to prepare schedules and ad hoc reports</w:t>
            </w:r>
          </w:p>
          <w:p w:rsidR="00000000" w:rsidP="0053683D">
            <w:pPr>
              <w:pStyle w:val="BodyText"/>
              <w:rPr>
                <w:lang w:val="en-NZ"/>
              </w:rPr>
            </w:pPr>
            <w:r w:rsidRPr="0053683D">
              <w:t xml:space="preserve">ability to record disposal of fixed assets </w:t>
            </w:r>
          </w:p>
        </w:tc>
      </w:tr>
      <w:tr w:rsidTr="00485E4E">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53683D">
            <w:pPr>
              <w:pStyle w:val="BodyText"/>
              <w:rPr>
                <w:lang w:val="en-NZ"/>
              </w:rPr>
            </w:pPr>
            <w:r w:rsidRPr="0053683D">
              <w:rPr>
                <w:rStyle w:val="SpecialBold"/>
              </w:rPr>
              <w:t>Critical aspects of evidence</w:t>
            </w:r>
          </w:p>
        </w:tc>
      </w:tr>
      <w:tr w:rsidTr="00485E4E">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53683D">
            <w:pPr>
              <w:pStyle w:val="BodyText"/>
              <w:rPr>
                <w:lang w:val="en-NZ"/>
              </w:rPr>
            </w:pPr>
            <w:r w:rsidRPr="0053683D">
              <w:rPr>
                <w:rStyle w:val="SpecialBold"/>
              </w:rPr>
              <w:t>Evidence required for demonstration of consistent performance</w:t>
            </w:r>
            <w:r w:rsidRPr="0053683D">
              <w:t xml:space="preserve">: </w:t>
            </w:r>
          </w:p>
        </w:tc>
        <w:tc>
          <w:tcPr>
            <w:tcW w:w="4500" w:type="dxa"/>
            <w:tcBorders>
              <w:top w:val="nil"/>
              <w:left w:val="nil"/>
              <w:bottom w:val="nil"/>
              <w:right w:val="nil"/>
            </w:tcBorders>
            <w:tcMar>
              <w:top w:w="0" w:type="dxa"/>
              <w:left w:w="62" w:type="dxa"/>
              <w:bottom w:w="0" w:type="dxa"/>
              <w:right w:w="62" w:type="dxa"/>
            </w:tcMar>
          </w:tcPr>
          <w:p w:rsidR="00000000" w:rsidP="0053683D">
            <w:pPr>
              <w:pStyle w:val="BodyText"/>
              <w:rPr>
                <w:lang w:val="en-NZ"/>
              </w:rPr>
            </w:pPr>
            <w:r w:rsidRPr="0053683D">
              <w:t xml:space="preserve">Competence in this unit must be assessed over a period of time in order to ensure consistency of performance over the Range Statement and contexts applicable to the work environment. </w:t>
            </w:r>
          </w:p>
        </w:tc>
      </w:tr>
      <w:tr w:rsidTr="00485E4E">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53683D">
            <w:pPr>
              <w:pStyle w:val="BodyText"/>
              <w:rPr>
                <w:lang w:val="en-NZ"/>
              </w:rPr>
            </w:pPr>
            <w:r w:rsidRPr="0053683D">
              <w:rPr>
                <w:rStyle w:val="SpecialBold"/>
              </w:rPr>
              <w:t>Deliver</w:t>
            </w:r>
            <w:r w:rsidRPr="0053683D">
              <w:rPr>
                <w:rStyle w:val="SpecialBold"/>
              </w:rPr>
              <w:t>y</w:t>
            </w:r>
            <w:r w:rsidRPr="0053683D">
              <w:t>/</w:t>
            </w:r>
            <w:r w:rsidRPr="0053683D">
              <w:rPr>
                <w:rStyle w:val="SpecialBold"/>
              </w:rPr>
              <w:t>assessment relationship to other units</w:t>
            </w:r>
            <w:r w:rsidRPr="0053683D">
              <w:t xml:space="preserve">: </w:t>
            </w:r>
          </w:p>
        </w:tc>
        <w:tc>
          <w:tcPr>
            <w:tcW w:w="4500" w:type="dxa"/>
            <w:tcBorders>
              <w:top w:val="nil"/>
              <w:left w:val="nil"/>
              <w:bottom w:val="nil"/>
              <w:right w:val="nil"/>
            </w:tcBorders>
            <w:tcMar>
              <w:top w:w="0" w:type="dxa"/>
              <w:left w:w="62" w:type="dxa"/>
              <w:bottom w:w="0" w:type="dxa"/>
              <w:right w:w="62" w:type="dxa"/>
            </w:tcMar>
          </w:tcPr>
          <w:p w:rsidR="00000000" w:rsidRPr="0053683D" w:rsidP="0053683D">
            <w:pPr>
              <w:pStyle w:val="BodyText"/>
            </w:pPr>
            <w:r w:rsidRPr="0053683D">
              <w:t>This unit may be assessed on its own or it may be assessed with other units that cover related skills and knowledge.</w:t>
            </w:r>
          </w:p>
          <w:p w:rsidR="00000000" w:rsidP="0053683D">
            <w:pPr>
              <w:pStyle w:val="BodyText"/>
              <w:rPr>
                <w:lang w:val="en-NZ"/>
              </w:rPr>
            </w:pPr>
            <w:r w:rsidRPr="0053683D">
              <w:t>Evidence is most relevant when provided through an integrated activity, which combines the eleme</w:t>
            </w:r>
            <w:r w:rsidRPr="0053683D">
              <w:t xml:space="preserve">nts of competency for the unit, or a cluster of units of competency. </w:t>
            </w:r>
          </w:p>
        </w:tc>
      </w:tr>
      <w:tr w:rsidTr="00485E4E">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53683D">
            <w:pPr>
              <w:pStyle w:val="BodyText"/>
              <w:rPr>
                <w:lang w:val="en-NZ"/>
              </w:rPr>
            </w:pPr>
            <w:r w:rsidRPr="0053683D">
              <w:rPr>
                <w:rStyle w:val="SpecialBold"/>
              </w:rPr>
              <w:t>Assessment requirements</w:t>
            </w:r>
          </w:p>
        </w:tc>
      </w:tr>
      <w:tr w:rsidTr="00485E4E">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53683D">
            <w:pPr>
              <w:pStyle w:val="BodyText"/>
              <w:rPr>
                <w:lang w:val="en-NZ"/>
              </w:rPr>
            </w:pPr>
            <w:r w:rsidRPr="0053683D">
              <w:rPr>
                <w:rStyle w:val="SpecialBold"/>
              </w:rPr>
              <w:t>Method of assessment</w:t>
            </w:r>
            <w:r w:rsidRPr="0053683D">
              <w:t xml:space="preserve">: </w:t>
            </w:r>
          </w:p>
        </w:tc>
        <w:tc>
          <w:tcPr>
            <w:tcW w:w="4500" w:type="dxa"/>
            <w:tcBorders>
              <w:top w:val="nil"/>
              <w:left w:val="nil"/>
              <w:bottom w:val="nil"/>
              <w:right w:val="nil"/>
            </w:tcBorders>
            <w:tcMar>
              <w:top w:w="0" w:type="dxa"/>
              <w:left w:w="62" w:type="dxa"/>
              <w:bottom w:w="0" w:type="dxa"/>
              <w:right w:w="62" w:type="dxa"/>
            </w:tcMar>
          </w:tcPr>
          <w:p w:rsidR="00000000" w:rsidRPr="0053683D" w:rsidP="0053683D">
            <w:pPr>
              <w:pStyle w:val="BodyText"/>
            </w:pPr>
            <w:r w:rsidRPr="0053683D">
              <w:t>For valid and reliable assessment of this unit, evidence should be gathered through a ran</w:t>
            </w:r>
            <w:r w:rsidRPr="0053683D">
              <w:t>ge of methods to indicate consistent performance.</w:t>
            </w:r>
          </w:p>
          <w:p w:rsidR="00000000" w:rsidRPr="0053683D" w:rsidP="0053683D">
            <w:pPr>
              <w:pStyle w:val="BodyText"/>
            </w:pPr>
            <w:r w:rsidRPr="0053683D">
              <w:t>Assessment of this unit of competence will usually include observation of processes and procedures, oral and/or written questioning on underpinning knowledge and skills and other methods as required.</w:t>
            </w:r>
          </w:p>
          <w:p w:rsidR="00000000" w:rsidP="0053683D">
            <w:pPr>
              <w:pStyle w:val="BodyText"/>
              <w:rPr>
                <w:lang w:val="en-NZ"/>
              </w:rPr>
            </w:pPr>
            <w:r w:rsidRPr="0053683D">
              <w:t>People</w:t>
            </w:r>
            <w:r w:rsidRPr="0053683D">
              <w:t xml:space="preserve"> with disabilities may use assistive technologies to demonstrate interview skills and /or receive and respond to oral and or written questioning. </w:t>
            </w:r>
          </w:p>
        </w:tc>
      </w:tr>
      <w:tr w:rsidTr="00485E4E">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53683D">
            <w:pPr>
              <w:pStyle w:val="BodyText"/>
              <w:rPr>
                <w:lang w:val="en-NZ"/>
              </w:rPr>
            </w:pPr>
            <w:r w:rsidRPr="0053683D">
              <w:rPr>
                <w:rStyle w:val="SpecialBold"/>
              </w:rPr>
              <w:t>Context of assessment</w:t>
            </w:r>
            <w:r w:rsidRPr="0053683D">
              <w:t xml:space="preserve">: </w:t>
            </w:r>
          </w:p>
        </w:tc>
        <w:tc>
          <w:tcPr>
            <w:tcW w:w="4500" w:type="dxa"/>
            <w:tcBorders>
              <w:top w:val="nil"/>
              <w:left w:val="nil"/>
              <w:bottom w:val="nil"/>
              <w:right w:val="nil"/>
            </w:tcBorders>
            <w:tcMar>
              <w:top w:w="0" w:type="dxa"/>
              <w:left w:w="62" w:type="dxa"/>
              <w:bottom w:w="0" w:type="dxa"/>
              <w:right w:w="62" w:type="dxa"/>
            </w:tcMar>
          </w:tcPr>
          <w:p w:rsidR="00000000" w:rsidRPr="0053683D" w:rsidP="0053683D">
            <w:pPr>
              <w:pStyle w:val="BodyText"/>
            </w:pPr>
            <w:r w:rsidRPr="0053683D">
              <w:t xml:space="preserve">Assessment of performance requirements in this unit should be undertaken within the </w:t>
            </w:r>
            <w:r w:rsidRPr="0053683D">
              <w:t xml:space="preserve">financial services industry context and should cover aspects of personal/financial responsibility and accountability. </w:t>
            </w:r>
          </w:p>
          <w:p w:rsidR="00000000" w:rsidP="0053683D">
            <w:pPr>
              <w:pStyle w:val="BodyText"/>
              <w:rPr>
                <w:lang w:val="en-NZ"/>
              </w:rPr>
            </w:pPr>
            <w:r w:rsidRPr="0053683D">
              <w:t>Aspects of competency, including the attainment of relevant knowledge and skills, may be assessed in a relevant workplace, a closely simu</w:t>
            </w:r>
            <w:r w:rsidRPr="0053683D">
              <w:t xml:space="preserve">lated work environment, or other appropriate means that clearly meet industry competency requirements. </w:t>
            </w:r>
          </w:p>
        </w:tc>
      </w:tr>
      <w:tr w:rsidTr="00485E4E">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53683D">
            <w:pPr>
              <w:pStyle w:val="BodyText"/>
              <w:rPr>
                <w:lang w:val="en-NZ"/>
              </w:rPr>
            </w:pPr>
            <w:r w:rsidRPr="0053683D">
              <w:rPr>
                <w:rStyle w:val="SpecialBold"/>
              </w:rPr>
              <w:t>Resources required for assessment</w:t>
            </w:r>
            <w:r w:rsidRPr="0053683D">
              <w:t xml:space="preserve">: </w:t>
            </w:r>
          </w:p>
        </w:tc>
        <w:tc>
          <w:tcPr>
            <w:tcW w:w="4500" w:type="dxa"/>
            <w:tcBorders>
              <w:top w:val="nil"/>
              <w:left w:val="nil"/>
              <w:bottom w:val="nil"/>
              <w:right w:val="nil"/>
            </w:tcBorders>
            <w:tcMar>
              <w:top w:w="0" w:type="dxa"/>
              <w:left w:w="62" w:type="dxa"/>
              <w:bottom w:w="0" w:type="dxa"/>
              <w:right w:w="62" w:type="dxa"/>
            </w:tcMar>
          </w:tcPr>
          <w:p w:rsidR="00000000" w:rsidRPr="0053683D" w:rsidP="0053683D">
            <w:pPr>
              <w:pStyle w:val="BodyText"/>
            </w:pPr>
            <w:r w:rsidRPr="0053683D">
              <w:t>Assessment of this unit of competence requires access to suitable resources to demonstrate competence.</w:t>
            </w:r>
          </w:p>
          <w:p w:rsidR="00000000" w:rsidRPr="0053683D" w:rsidP="0053683D">
            <w:pPr>
              <w:pStyle w:val="BodyText"/>
            </w:pPr>
            <w:r w:rsidRPr="0053683D">
              <w:t>Assessment i</w:t>
            </w:r>
            <w:r w:rsidRPr="0053683D">
              <w:t>nstruments, including personal planner and assessment record book.</w:t>
            </w:r>
          </w:p>
          <w:p w:rsidR="00000000" w:rsidRPr="0053683D" w:rsidP="0053683D">
            <w:pPr>
              <w:pStyle w:val="BodyText"/>
            </w:pPr>
            <w:r w:rsidRPr="0053683D">
              <w:t xml:space="preserve">Access to registered provider of assessment services. </w:t>
            </w:r>
          </w:p>
        </w:tc>
      </w:tr>
    </w:tbl>
    <w:p w:rsidR="00000000" w:rsidRPr="0053683D" w:rsidP="0053683D">
      <w:pPr>
        <w:pStyle w:val="BodyText"/>
      </w:pPr>
    </w:p>
    <w:p w:rsidR="00000000" w:rsidRPr="0053683D" w:rsidP="0053683D">
      <w:pPr>
        <w:pStyle w:val="AllowPageBreak"/>
      </w:pPr>
    </w:p>
    <w:p w:rsidR="00000000" w:rsidRPr="0053683D" w:rsidP="0053683D">
      <w:pPr>
        <w:pStyle w:val="Heading1"/>
      </w:pPr>
      <w:bookmarkStart w:id="11" w:name="O_317941"/>
      <w:bookmarkEnd w:id="11"/>
      <w:r w:rsidRPr="0053683D">
        <w:t>Range Statement</w:t>
      </w:r>
    </w:p>
    <w:tbl>
      <w:tblPr>
        <w:tblW w:w="0" w:type="auto"/>
        <w:tblLayout w:type="fixed"/>
        <w:tblCellMar>
          <w:left w:w="62" w:type="dxa"/>
          <w:right w:w="62" w:type="dxa"/>
        </w:tblCellMar>
        <w:tblLook w:val="0000"/>
      </w:tblPr>
      <w:tblGrid>
        <w:gridCol w:w="4500"/>
        <w:gridCol w:w="4500"/>
      </w:tblGrid>
      <w:tr w:rsidTr="00485E4E">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53683D">
            <w:pPr>
              <w:pStyle w:val="BodyText"/>
              <w:rPr>
                <w:lang w:val="en-NZ"/>
              </w:rPr>
            </w:pPr>
          </w:p>
        </w:tc>
      </w:tr>
      <w:tr w:rsidTr="00485E4E">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RPr="0053683D" w:rsidP="0053683D">
            <w:pPr>
              <w:pStyle w:val="BodyText"/>
            </w:pPr>
            <w:r w:rsidRPr="0053683D">
              <w:t>The Range Statement relates to the unit of competency as a whole. It allows for different work environments and situations that will affect performance.</w:t>
            </w:r>
          </w:p>
          <w:p w:rsidR="00000000" w:rsidP="0053683D">
            <w:pPr>
              <w:pStyle w:val="BodyText"/>
              <w:rPr>
                <w:lang w:val="en-NZ"/>
              </w:rPr>
            </w:pPr>
            <w:r w:rsidRPr="0053683D">
              <w:t>The following variables may be present with training and assessment depending on the work situation, ne</w:t>
            </w:r>
            <w:r w:rsidRPr="0053683D">
              <w:t xml:space="preserve">eds of the candidate, accessibility of the item, and local industry and regional contexts. If </w:t>
            </w:r>
            <w:r w:rsidRPr="0053683D">
              <w:rPr>
                <w:rStyle w:val="SpecialBold"/>
              </w:rPr>
              <w:t>bold italicised</w:t>
            </w:r>
            <w:r w:rsidRPr="0053683D">
              <w:t xml:space="preserve"> text is shown in Performance Criteria, details of the text are provided in the Range Statement. </w:t>
            </w:r>
          </w:p>
        </w:tc>
      </w:tr>
      <w:tr w:rsidTr="00485E4E">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53683D">
            <w:pPr>
              <w:pStyle w:val="BodyText"/>
              <w:rPr>
                <w:lang w:val="en-NZ"/>
              </w:rPr>
            </w:pPr>
            <w:r w:rsidRPr="0053683D">
              <w:rPr>
                <w:rStyle w:val="SpecialBold"/>
              </w:rPr>
              <w:t>Documentationmay include</w:t>
            </w:r>
            <w:r w:rsidRPr="0053683D">
              <w:t xml:space="preserve">: </w:t>
            </w:r>
          </w:p>
        </w:tc>
        <w:tc>
          <w:tcPr>
            <w:tcW w:w="4500" w:type="dxa"/>
            <w:tcBorders>
              <w:top w:val="nil"/>
              <w:left w:val="nil"/>
              <w:bottom w:val="nil"/>
              <w:right w:val="nil"/>
            </w:tcBorders>
            <w:tcMar>
              <w:top w:w="0" w:type="dxa"/>
              <w:left w:w="62" w:type="dxa"/>
              <w:bottom w:w="0" w:type="dxa"/>
              <w:right w:w="62" w:type="dxa"/>
            </w:tcMar>
          </w:tcPr>
          <w:p w:rsidR="00000000" w:rsidRPr="0053683D" w:rsidP="0053683D">
            <w:pPr>
              <w:pStyle w:val="BodyText"/>
            </w:pPr>
            <w:r w:rsidRPr="0053683D">
              <w:t>purchase requisition</w:t>
            </w:r>
            <w:r w:rsidRPr="0053683D">
              <w:t>s</w:t>
            </w:r>
          </w:p>
          <w:p w:rsidR="00000000" w:rsidRPr="0053683D" w:rsidP="0053683D">
            <w:pPr>
              <w:pStyle w:val="BodyText"/>
            </w:pPr>
            <w:r w:rsidRPr="0053683D">
              <w:t>purchase orders</w:t>
            </w:r>
          </w:p>
          <w:p w:rsidR="00000000" w:rsidRPr="0053683D" w:rsidP="0053683D">
            <w:pPr>
              <w:pStyle w:val="BodyText"/>
            </w:pPr>
            <w:r w:rsidRPr="0053683D">
              <w:t>quotes</w:t>
            </w:r>
          </w:p>
          <w:p w:rsidR="00000000" w:rsidRPr="0053683D" w:rsidP="0053683D">
            <w:pPr>
              <w:pStyle w:val="BodyText"/>
            </w:pPr>
            <w:r w:rsidRPr="0053683D">
              <w:t>delivery reports</w:t>
            </w:r>
          </w:p>
          <w:p w:rsidR="00000000" w:rsidP="0053683D">
            <w:pPr>
              <w:pStyle w:val="BodyText"/>
              <w:rPr>
                <w:lang w:val="en-NZ"/>
              </w:rPr>
            </w:pPr>
            <w:r w:rsidRPr="0053683D">
              <w:t xml:space="preserve">invoice from suppliers </w:t>
            </w:r>
          </w:p>
        </w:tc>
      </w:tr>
      <w:tr w:rsidTr="00485E4E">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53683D">
            <w:pPr>
              <w:pStyle w:val="BodyText"/>
              <w:rPr>
                <w:lang w:val="en-NZ"/>
              </w:rPr>
            </w:pPr>
            <w:r w:rsidRPr="0053683D">
              <w:rPr>
                <w:rStyle w:val="SpecialBold"/>
              </w:rPr>
              <w:t>Asset expenditures</w:t>
            </w:r>
            <w:r w:rsidRPr="0053683D">
              <w:t xml:space="preserve"> may include: </w:t>
            </w:r>
          </w:p>
        </w:tc>
        <w:tc>
          <w:tcPr>
            <w:tcW w:w="4500" w:type="dxa"/>
            <w:tcBorders>
              <w:top w:val="nil"/>
              <w:left w:val="nil"/>
              <w:bottom w:val="nil"/>
              <w:right w:val="nil"/>
            </w:tcBorders>
            <w:tcMar>
              <w:top w:w="0" w:type="dxa"/>
              <w:left w:w="62" w:type="dxa"/>
              <w:bottom w:w="0" w:type="dxa"/>
              <w:right w:w="62" w:type="dxa"/>
            </w:tcMar>
          </w:tcPr>
          <w:p w:rsidR="00000000" w:rsidRPr="0053683D" w:rsidP="0053683D">
            <w:pPr>
              <w:pStyle w:val="BodyText"/>
            </w:pPr>
            <w:r w:rsidRPr="0053683D">
              <w:t>inventory</w:t>
            </w:r>
          </w:p>
          <w:p w:rsidR="00000000" w:rsidRPr="0053683D" w:rsidP="0053683D">
            <w:pPr>
              <w:pStyle w:val="BodyText"/>
            </w:pPr>
            <w:r w:rsidRPr="0053683D">
              <w:t>materials</w:t>
            </w:r>
          </w:p>
          <w:p w:rsidR="00000000" w:rsidRPr="0053683D" w:rsidP="0053683D">
            <w:pPr>
              <w:pStyle w:val="BodyText"/>
            </w:pPr>
            <w:r w:rsidRPr="0053683D">
              <w:t>equipment</w:t>
            </w:r>
          </w:p>
          <w:p w:rsidR="00000000" w:rsidRPr="0053683D" w:rsidP="0053683D">
            <w:pPr>
              <w:pStyle w:val="BodyText"/>
            </w:pPr>
            <w:r w:rsidRPr="0053683D">
              <w:t>land and buildings</w:t>
            </w:r>
          </w:p>
          <w:p w:rsidR="00000000" w:rsidRPr="0053683D" w:rsidP="0053683D">
            <w:pPr>
              <w:pStyle w:val="BodyText"/>
            </w:pPr>
            <w:r w:rsidRPr="0053683D">
              <w:t>freight in</w:t>
            </w:r>
          </w:p>
          <w:p w:rsidR="00000000" w:rsidRPr="0053683D" w:rsidP="0053683D">
            <w:pPr>
              <w:pStyle w:val="BodyText"/>
            </w:pPr>
            <w:r w:rsidRPr="0053683D">
              <w:t>insurance in transit</w:t>
            </w:r>
          </w:p>
          <w:p w:rsidR="00000000" w:rsidP="0053683D">
            <w:pPr>
              <w:pStyle w:val="BodyText"/>
              <w:rPr>
                <w:lang w:val="en-NZ"/>
              </w:rPr>
            </w:pPr>
            <w:r w:rsidRPr="0053683D">
              <w:t xml:space="preserve">installation and testing costs </w:t>
            </w:r>
          </w:p>
        </w:tc>
      </w:tr>
      <w:tr w:rsidTr="00485E4E">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53683D">
            <w:pPr>
              <w:pStyle w:val="BodyText"/>
              <w:rPr>
                <w:lang w:val="en-NZ"/>
              </w:rPr>
            </w:pPr>
            <w:r w:rsidRPr="0053683D">
              <w:rPr>
                <w:rStyle w:val="SpecialBold"/>
              </w:rPr>
              <w:t>Organisation's policies</w:t>
            </w:r>
            <w:r w:rsidRPr="0053683D">
              <w:t xml:space="preserve">, </w:t>
            </w:r>
            <w:r w:rsidRPr="0053683D">
              <w:rPr>
                <w:rStyle w:val="SpecialBold"/>
              </w:rPr>
              <w:t>procedures and practices</w:t>
            </w:r>
            <w:r w:rsidRPr="0053683D">
              <w:t xml:space="preserve"> may include: </w:t>
            </w:r>
          </w:p>
        </w:tc>
        <w:tc>
          <w:tcPr>
            <w:tcW w:w="4500" w:type="dxa"/>
            <w:tcBorders>
              <w:top w:val="nil"/>
              <w:left w:val="nil"/>
              <w:bottom w:val="nil"/>
              <w:right w:val="nil"/>
            </w:tcBorders>
            <w:tcMar>
              <w:top w:w="0" w:type="dxa"/>
              <w:left w:w="62" w:type="dxa"/>
              <w:bottom w:w="0" w:type="dxa"/>
              <w:right w:w="62" w:type="dxa"/>
            </w:tcMar>
          </w:tcPr>
          <w:p w:rsidR="00000000" w:rsidRPr="0053683D" w:rsidP="0053683D">
            <w:pPr>
              <w:pStyle w:val="BodyText"/>
            </w:pPr>
            <w:r w:rsidRPr="0053683D">
              <w:t>maintenance of capital expenditure items</w:t>
            </w:r>
          </w:p>
          <w:p w:rsidR="00000000" w:rsidRPr="0053683D" w:rsidP="0053683D">
            <w:pPr>
              <w:pStyle w:val="BodyText"/>
            </w:pPr>
            <w:r w:rsidRPr="0053683D">
              <w:t>preparation of reconciliation reports</w:t>
            </w:r>
          </w:p>
          <w:p w:rsidR="00000000" w:rsidRPr="0053683D" w:rsidP="0053683D">
            <w:pPr>
              <w:pStyle w:val="BodyText"/>
            </w:pPr>
            <w:r w:rsidRPr="0053683D">
              <w:t>stock takes</w:t>
            </w:r>
          </w:p>
          <w:p w:rsidR="00000000" w:rsidP="0053683D">
            <w:pPr>
              <w:pStyle w:val="BodyText"/>
              <w:rPr>
                <w:lang w:val="en-NZ"/>
              </w:rPr>
            </w:pPr>
            <w:r w:rsidRPr="0053683D">
              <w:t xml:space="preserve">inventory management </w:t>
            </w:r>
          </w:p>
        </w:tc>
      </w:tr>
      <w:tr w:rsidTr="00485E4E">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53683D">
            <w:pPr>
              <w:pStyle w:val="BodyText"/>
              <w:rPr>
                <w:lang w:val="en-NZ"/>
              </w:rPr>
            </w:pPr>
            <w:r w:rsidRPr="0053683D">
              <w:rPr>
                <w:rStyle w:val="SpecialBold"/>
              </w:rPr>
              <w:t>Inventory valuation rules</w:t>
            </w:r>
            <w:r w:rsidRPr="0053683D">
              <w:t xml:space="preserve"> may include: </w:t>
            </w:r>
          </w:p>
        </w:tc>
        <w:tc>
          <w:tcPr>
            <w:tcW w:w="4500" w:type="dxa"/>
            <w:tcBorders>
              <w:top w:val="nil"/>
              <w:left w:val="nil"/>
              <w:bottom w:val="nil"/>
              <w:right w:val="nil"/>
            </w:tcBorders>
            <w:tcMar>
              <w:top w:w="0" w:type="dxa"/>
              <w:left w:w="62" w:type="dxa"/>
              <w:bottom w:w="0" w:type="dxa"/>
              <w:right w:w="62" w:type="dxa"/>
            </w:tcMar>
          </w:tcPr>
          <w:p w:rsidR="00000000" w:rsidRPr="0053683D" w:rsidP="0053683D">
            <w:pPr>
              <w:pStyle w:val="BodyText"/>
            </w:pPr>
            <w:r w:rsidRPr="0053683D">
              <w:t>first in - first out</w:t>
            </w:r>
          </w:p>
          <w:p w:rsidR="00000000" w:rsidRPr="0053683D" w:rsidP="0053683D">
            <w:pPr>
              <w:pStyle w:val="BodyText"/>
            </w:pPr>
            <w:r w:rsidRPr="0053683D">
              <w:t>weighted average</w:t>
            </w:r>
          </w:p>
          <w:p w:rsidR="00000000" w:rsidP="0053683D">
            <w:pPr>
              <w:pStyle w:val="BodyText"/>
              <w:rPr>
                <w:lang w:val="en-NZ"/>
              </w:rPr>
            </w:pPr>
            <w:r w:rsidRPr="0053683D">
              <w:t xml:space="preserve">specific identification </w:t>
            </w:r>
          </w:p>
        </w:tc>
      </w:tr>
      <w:tr w:rsidTr="00485E4E">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53683D">
            <w:pPr>
              <w:pStyle w:val="BodyText"/>
              <w:rPr>
                <w:lang w:val="en-NZ"/>
              </w:rPr>
            </w:pPr>
            <w:r w:rsidRPr="0053683D">
              <w:rPr>
                <w:rStyle w:val="SpecialBold"/>
              </w:rPr>
              <w:t>Inventory flow assumptions</w:t>
            </w:r>
            <w:r w:rsidRPr="0053683D">
              <w:t xml:space="preserve"> may include: </w:t>
            </w:r>
          </w:p>
        </w:tc>
        <w:tc>
          <w:tcPr>
            <w:tcW w:w="4500" w:type="dxa"/>
            <w:tcBorders>
              <w:top w:val="nil"/>
              <w:left w:val="nil"/>
              <w:bottom w:val="nil"/>
              <w:right w:val="nil"/>
            </w:tcBorders>
            <w:tcMar>
              <w:top w:w="0" w:type="dxa"/>
              <w:left w:w="62" w:type="dxa"/>
              <w:bottom w:w="0" w:type="dxa"/>
              <w:right w:w="62" w:type="dxa"/>
            </w:tcMar>
          </w:tcPr>
          <w:p w:rsidR="00000000" w:rsidRPr="0053683D" w:rsidP="0053683D">
            <w:pPr>
              <w:pStyle w:val="BodyText"/>
            </w:pPr>
            <w:r w:rsidRPr="0053683D">
              <w:t>cost</w:t>
            </w:r>
          </w:p>
          <w:p w:rsidR="00000000" w:rsidRPr="0053683D" w:rsidP="0053683D">
            <w:pPr>
              <w:pStyle w:val="BodyText"/>
            </w:pPr>
            <w:r w:rsidRPr="0053683D">
              <w:t>net realisable value</w:t>
            </w:r>
          </w:p>
          <w:p w:rsidR="00000000" w:rsidP="0053683D">
            <w:pPr>
              <w:pStyle w:val="BodyText"/>
              <w:rPr>
                <w:lang w:val="en-NZ"/>
              </w:rPr>
            </w:pPr>
            <w:r w:rsidRPr="0053683D">
              <w:t xml:space="preserve">calculations based on gross margins </w:t>
            </w:r>
          </w:p>
        </w:tc>
      </w:tr>
      <w:tr w:rsidTr="00485E4E">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53683D">
            <w:pPr>
              <w:pStyle w:val="BodyText"/>
              <w:rPr>
                <w:lang w:val="en-NZ"/>
              </w:rPr>
            </w:pPr>
            <w:r w:rsidRPr="0053683D">
              <w:rPr>
                <w:rStyle w:val="SpecialBold"/>
              </w:rPr>
              <w:t>Ad hoc reports</w:t>
            </w:r>
            <w:r w:rsidRPr="0053683D">
              <w:t xml:space="preserve"> may include: </w:t>
            </w:r>
          </w:p>
        </w:tc>
        <w:tc>
          <w:tcPr>
            <w:tcW w:w="4500" w:type="dxa"/>
            <w:tcBorders>
              <w:top w:val="nil"/>
              <w:left w:val="nil"/>
              <w:bottom w:val="nil"/>
              <w:right w:val="nil"/>
            </w:tcBorders>
            <w:tcMar>
              <w:top w:w="0" w:type="dxa"/>
              <w:left w:w="62" w:type="dxa"/>
              <w:bottom w:w="0" w:type="dxa"/>
              <w:right w:w="62" w:type="dxa"/>
            </w:tcMar>
          </w:tcPr>
          <w:p w:rsidR="00000000" w:rsidRPr="0053683D" w:rsidP="0053683D">
            <w:pPr>
              <w:pStyle w:val="BodyText"/>
            </w:pPr>
            <w:r w:rsidRPr="0053683D">
              <w:t>depreciation schedule</w:t>
            </w:r>
          </w:p>
          <w:p w:rsidR="00000000" w:rsidRPr="0053683D" w:rsidP="0053683D">
            <w:pPr>
              <w:pStyle w:val="BodyText"/>
            </w:pPr>
            <w:r w:rsidRPr="0053683D">
              <w:t>asset register</w:t>
            </w:r>
          </w:p>
          <w:p w:rsidR="00000000" w:rsidRPr="0053683D" w:rsidP="0053683D">
            <w:pPr>
              <w:pStyle w:val="BodyText"/>
            </w:pPr>
            <w:r w:rsidRPr="0053683D">
              <w:t>total purchase and disposals for a period</w:t>
            </w:r>
          </w:p>
          <w:p w:rsidR="00000000" w:rsidRPr="0053683D" w:rsidP="0053683D">
            <w:pPr>
              <w:pStyle w:val="BodyText"/>
            </w:pPr>
            <w:r w:rsidRPr="0053683D">
              <w:t>spreadsheets</w:t>
            </w:r>
          </w:p>
          <w:p w:rsidR="00000000" w:rsidRPr="0053683D" w:rsidP="0053683D">
            <w:pPr>
              <w:pStyle w:val="BodyText"/>
            </w:pPr>
            <w:r w:rsidRPr="0053683D">
              <w:t>output from dedicated fixed asset software</w:t>
            </w:r>
          </w:p>
          <w:p w:rsidR="00000000" w:rsidP="0053683D">
            <w:pPr>
              <w:pStyle w:val="BodyText"/>
              <w:rPr>
                <w:lang w:val="en-NZ"/>
              </w:rPr>
            </w:pPr>
            <w:r w:rsidRPr="0053683D">
              <w:t xml:space="preserve">inventory turnover analysis </w:t>
            </w:r>
          </w:p>
        </w:tc>
      </w:tr>
      <w:tr w:rsidTr="00485E4E">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53683D">
            <w:pPr>
              <w:pStyle w:val="BodyText"/>
              <w:rPr>
                <w:lang w:val="en-NZ"/>
              </w:rPr>
            </w:pPr>
            <w:r w:rsidRPr="0053683D">
              <w:rPr>
                <w:rStyle w:val="SpecialBold"/>
              </w:rPr>
              <w:t>Relevant legislation</w:t>
            </w:r>
            <w:r w:rsidRPr="0053683D">
              <w:t xml:space="preserve"> may include: </w:t>
            </w:r>
          </w:p>
        </w:tc>
        <w:tc>
          <w:tcPr>
            <w:tcW w:w="4500" w:type="dxa"/>
            <w:tcBorders>
              <w:top w:val="nil"/>
              <w:left w:val="nil"/>
              <w:bottom w:val="nil"/>
              <w:right w:val="nil"/>
            </w:tcBorders>
            <w:tcMar>
              <w:top w:w="0" w:type="dxa"/>
              <w:left w:w="62" w:type="dxa"/>
              <w:bottom w:w="0" w:type="dxa"/>
              <w:right w:w="62" w:type="dxa"/>
            </w:tcMar>
          </w:tcPr>
          <w:p w:rsidR="00000000" w:rsidRPr="0053683D" w:rsidP="0053683D">
            <w:pPr>
              <w:pStyle w:val="BodyText"/>
            </w:pPr>
            <w:r w:rsidRPr="0053683D">
              <w:t>Consumer Credit Code</w:t>
            </w:r>
          </w:p>
          <w:p w:rsidR="00000000" w:rsidRPr="0053683D" w:rsidP="0053683D">
            <w:pPr>
              <w:pStyle w:val="BodyText"/>
            </w:pPr>
            <w:r w:rsidRPr="0053683D">
              <w:t>Privacy Act</w:t>
            </w:r>
          </w:p>
          <w:p w:rsidR="00000000" w:rsidRPr="0053683D" w:rsidP="0053683D">
            <w:pPr>
              <w:pStyle w:val="BodyText"/>
            </w:pPr>
            <w:r w:rsidRPr="0053683D">
              <w:t>Secrecy Laws</w:t>
            </w:r>
          </w:p>
          <w:p w:rsidR="00000000" w:rsidP="0053683D">
            <w:pPr>
              <w:pStyle w:val="BodyText"/>
              <w:rPr>
                <w:lang w:val="en-NZ"/>
              </w:rPr>
            </w:pPr>
            <w:r w:rsidRPr="0053683D">
              <w:t xml:space="preserve">Australian Consumer and Competition Commission (ACCC) </w:t>
            </w:r>
          </w:p>
        </w:tc>
      </w:tr>
      <w:tr w:rsidTr="00485E4E">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RPr="0053683D" w:rsidP="0053683D">
            <w:pPr>
              <w:pStyle w:val="BodyText"/>
            </w:pPr>
            <w:r w:rsidRPr="0053683D">
              <w:t xml:space="preserve">Financial Institutions (FI) Code </w:t>
            </w:r>
          </w:p>
          <w:p w:rsidR="00000000" w:rsidRPr="0053683D" w:rsidP="0053683D">
            <w:pPr>
              <w:pStyle w:val="BodyText"/>
            </w:pPr>
            <w:r w:rsidRPr="0053683D">
              <w:t>Credit Refe</w:t>
            </w:r>
            <w:r w:rsidRPr="0053683D">
              <w:t>rence Association of Australia (CRAA)</w:t>
            </w:r>
          </w:p>
          <w:p w:rsidR="00000000" w:rsidRPr="0053683D" w:rsidP="0053683D">
            <w:pPr>
              <w:pStyle w:val="BodyText"/>
            </w:pPr>
            <w:r w:rsidRPr="0053683D">
              <w:t>Electronic Funds Transfer (EFT)</w:t>
            </w:r>
          </w:p>
          <w:p w:rsidR="00000000" w:rsidRPr="0053683D" w:rsidP="0053683D">
            <w:pPr>
              <w:pStyle w:val="BodyText"/>
            </w:pPr>
            <w:r w:rsidRPr="0053683D">
              <w:t>Code of Conduct</w:t>
            </w:r>
          </w:p>
          <w:p w:rsidR="00000000" w:rsidRPr="0053683D" w:rsidP="0053683D">
            <w:pPr>
              <w:pStyle w:val="BodyText"/>
            </w:pPr>
            <w:r w:rsidRPr="0053683D">
              <w:t>Financial Transaction Reports Act</w:t>
            </w:r>
          </w:p>
          <w:p w:rsidR="00000000" w:rsidRPr="0053683D" w:rsidP="0053683D">
            <w:pPr>
              <w:pStyle w:val="BodyText"/>
            </w:pPr>
            <w:r w:rsidRPr="0053683D">
              <w:t>Cheques and Payment Orders Act</w:t>
            </w:r>
          </w:p>
          <w:p w:rsidR="00000000" w:rsidRPr="0053683D" w:rsidP="0053683D">
            <w:pPr>
              <w:pStyle w:val="BodyText"/>
            </w:pPr>
            <w:r w:rsidRPr="0053683D">
              <w:t>Corporate Law</w:t>
            </w:r>
          </w:p>
          <w:p w:rsidR="00000000" w:rsidRPr="0053683D" w:rsidP="0053683D">
            <w:pPr>
              <w:pStyle w:val="BodyText"/>
            </w:pPr>
            <w:r w:rsidRPr="0053683D">
              <w:t>Commercial Tenancies Act</w:t>
            </w:r>
          </w:p>
          <w:p w:rsidR="00000000" w:rsidRPr="0053683D" w:rsidP="0053683D">
            <w:pPr>
              <w:pStyle w:val="BodyText"/>
            </w:pPr>
            <w:r w:rsidRPr="0053683D">
              <w:t>Land Tax Assessment Act</w:t>
            </w:r>
          </w:p>
          <w:p w:rsidR="00000000" w:rsidRPr="0053683D" w:rsidP="0053683D">
            <w:pPr>
              <w:pStyle w:val="BodyText"/>
            </w:pPr>
            <w:r w:rsidRPr="0053683D">
              <w:t>Prescribed Payments Act</w:t>
            </w:r>
          </w:p>
          <w:p w:rsidR="00000000" w:rsidRPr="0053683D" w:rsidP="0053683D">
            <w:pPr>
              <w:pStyle w:val="BodyText"/>
            </w:pPr>
            <w:r w:rsidRPr="0053683D">
              <w:t>Payroll Tax Assess</w:t>
            </w:r>
            <w:r w:rsidRPr="0053683D">
              <w:t>ment Act</w:t>
            </w:r>
          </w:p>
          <w:p w:rsidR="00000000" w:rsidRPr="0053683D" w:rsidP="0053683D">
            <w:pPr>
              <w:pStyle w:val="BodyText"/>
            </w:pPr>
            <w:r w:rsidRPr="0053683D">
              <w:t>Australian Accounting Standards</w:t>
            </w:r>
          </w:p>
          <w:p w:rsidR="00000000" w:rsidRPr="0053683D" w:rsidP="0053683D">
            <w:pPr>
              <w:pStyle w:val="BodyText"/>
            </w:pPr>
            <w:r w:rsidRPr="0053683D">
              <w:t>Stamp Duties Act</w:t>
            </w:r>
          </w:p>
          <w:p w:rsidR="00000000" w:rsidRPr="0053683D" w:rsidP="0053683D">
            <w:pPr>
              <w:pStyle w:val="BodyText"/>
            </w:pPr>
            <w:r w:rsidRPr="0053683D">
              <w:t>Taxation Assessment Act</w:t>
            </w:r>
          </w:p>
          <w:p w:rsidR="00000000" w:rsidP="0053683D">
            <w:pPr>
              <w:pStyle w:val="BodyText"/>
              <w:rPr>
                <w:lang w:val="en-NZ"/>
              </w:rPr>
            </w:pPr>
            <w:r w:rsidRPr="0053683D">
              <w:t xml:space="preserve">Bills of Exchange Act </w:t>
            </w:r>
          </w:p>
        </w:tc>
      </w:tr>
      <w:tr w:rsidTr="00485E4E">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53683D">
            <w:pPr>
              <w:pStyle w:val="BodyText"/>
              <w:rPr>
                <w:lang w:val="en-NZ"/>
              </w:rPr>
            </w:pPr>
            <w:r w:rsidRPr="0053683D">
              <w:rPr>
                <w:rStyle w:val="SpecialBold"/>
              </w:rPr>
              <w:t>Disposal price data</w:t>
            </w:r>
            <w:r w:rsidRPr="0053683D">
              <w:t xml:space="preserve"> may include: </w:t>
            </w:r>
          </w:p>
        </w:tc>
        <w:tc>
          <w:tcPr>
            <w:tcW w:w="4500" w:type="dxa"/>
            <w:tcBorders>
              <w:top w:val="nil"/>
              <w:left w:val="nil"/>
              <w:bottom w:val="nil"/>
              <w:right w:val="nil"/>
            </w:tcBorders>
            <w:tcMar>
              <w:top w:w="0" w:type="dxa"/>
              <w:left w:w="62" w:type="dxa"/>
              <w:bottom w:w="0" w:type="dxa"/>
              <w:right w:w="62" w:type="dxa"/>
            </w:tcMar>
          </w:tcPr>
          <w:p w:rsidR="00000000" w:rsidRPr="0053683D" w:rsidP="0053683D">
            <w:pPr>
              <w:pStyle w:val="BodyText"/>
            </w:pPr>
            <w:r w:rsidRPr="0053683D">
              <w:t>cash</w:t>
            </w:r>
          </w:p>
          <w:p w:rsidR="00000000" w:rsidRPr="0053683D" w:rsidP="0053683D">
            <w:pPr>
              <w:pStyle w:val="BodyText"/>
            </w:pPr>
            <w:r w:rsidRPr="0053683D">
              <w:t>cost of removal</w:t>
            </w:r>
          </w:p>
          <w:p w:rsidR="00000000" w:rsidRPr="0053683D" w:rsidP="0053683D">
            <w:pPr>
              <w:pStyle w:val="BodyText"/>
            </w:pPr>
            <w:r w:rsidRPr="0053683D">
              <w:t>restoration expenses</w:t>
            </w:r>
          </w:p>
          <w:p w:rsidR="00000000" w:rsidRPr="0053683D" w:rsidP="0053683D">
            <w:pPr>
              <w:pStyle w:val="BodyText"/>
            </w:pPr>
            <w:r w:rsidRPr="0053683D">
              <w:t>trade-in amount</w:t>
            </w:r>
          </w:p>
          <w:p w:rsidR="00000000" w:rsidRPr="0053683D" w:rsidP="0053683D">
            <w:pPr>
              <w:pStyle w:val="BodyText"/>
            </w:pPr>
            <w:r w:rsidRPr="0053683D">
              <w:t xml:space="preserve">other costs associated with disposal </w:t>
            </w:r>
          </w:p>
        </w:tc>
      </w:tr>
    </w:tbl>
    <w:p w:rsidR="00000000" w:rsidRPr="0053683D" w:rsidP="0053683D">
      <w:pPr>
        <w:pStyle w:val="BodyText"/>
      </w:pPr>
    </w:p>
    <w:p w:rsidR="00000000" w:rsidRPr="0053683D" w:rsidP="0053683D">
      <w:pPr>
        <w:pStyle w:val="AllowPageBreak"/>
      </w:pPr>
    </w:p>
    <w:p w:rsidR="00000000" w:rsidRPr="0053683D" w:rsidP="0053683D">
      <w:pPr>
        <w:pStyle w:val="Heading1"/>
      </w:pPr>
      <w:bookmarkStart w:id="12" w:name="O_317931"/>
      <w:bookmarkEnd w:id="12"/>
      <w:r w:rsidRPr="0053683D">
        <w:t>Unit Sector(s)</w:t>
      </w:r>
    </w:p>
    <w:p w:rsidR="00000000" w:rsidRPr="0053683D" w:rsidP="0053683D">
      <w:pPr>
        <w:pStyle w:val="BodyText"/>
      </w:pPr>
      <w:r w:rsidRPr="0053683D">
        <w:t>Not applicable.</w:t>
      </w:r>
    </w:p>
    <w:p w:rsidR="00000000" w:rsidRPr="0053683D" w:rsidP="0053683D"/>
    <w:sectPr w:rsidSect="0053683D">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3683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85E4E" w:rsidP="00485E4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3683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85E4E" w:rsidP="0053683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485E4E" w:rsidP="0053683D">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Government Skills Australia</w:t>
    </w:r>
    <w:r>
      <w:fldChar w:fldCharType="end"/>
    </w:r>
  </w:p>
  <w:p w:rsidR="00485E4E" w:rsidP="0053683D">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3683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85E4E" w:rsidP="00485E4E">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3683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85E4E" w:rsidP="0053683D">
    <w:pPr>
      <w:pStyle w:val="Header"/>
      <w:framePr w:wrap="around"/>
    </w:pPr>
    <w:r>
      <w:fldChar w:fldCharType="begin"/>
    </w:r>
    <w:r>
      <w:instrText xml:space="preserve"> TITLE   \* MERGEFORMAT </w:instrText>
    </w:r>
    <w:r>
      <w:fldChar w:fldCharType="separate"/>
    </w:r>
    <w:r>
      <w:t>FNSACCT406B Maintain asset and inventory records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485E4E" w:rsidP="0053683D">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10"/>
  </w:num>
  <w:num w:numId="10">
    <w:abstractNumId w:val="6"/>
  </w:num>
  <w:num w:numId="11">
    <w:abstractNumId w:val="9"/>
  </w:num>
  <w:num w:numId="12">
    <w:abstractNumId w:val="7"/>
  </w:num>
  <w:num w:numId="13">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3683D"/>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53683D"/>
    <w:pPr>
      <w:spacing w:before="360" w:after="60"/>
      <w:outlineLvl w:val="0"/>
    </w:pPr>
    <w:rPr>
      <w:sz w:val="32"/>
    </w:rPr>
  </w:style>
  <w:style w:type="paragraph" w:styleId="Heading2">
    <w:name w:val="heading 2"/>
    <w:basedOn w:val="HeadingBase"/>
    <w:next w:val="BodyText"/>
    <w:link w:val="Heading2Char"/>
    <w:qFormat/>
    <w:rsid w:val="0053683D"/>
    <w:pPr>
      <w:keepLines/>
      <w:spacing w:before="240" w:after="120"/>
      <w:outlineLvl w:val="1"/>
    </w:pPr>
    <w:rPr>
      <w:sz w:val="28"/>
      <w:szCs w:val="40"/>
    </w:rPr>
  </w:style>
  <w:style w:type="paragraph" w:styleId="Heading3">
    <w:name w:val="heading 3"/>
    <w:basedOn w:val="HeadingBase"/>
    <w:next w:val="BodyText"/>
    <w:link w:val="Heading3Char"/>
    <w:qFormat/>
    <w:rsid w:val="0053683D"/>
    <w:pPr>
      <w:spacing w:before="180" w:after="120"/>
      <w:outlineLvl w:val="2"/>
    </w:pPr>
    <w:rPr>
      <w:spacing w:val="-10"/>
      <w:kern w:val="32"/>
    </w:rPr>
  </w:style>
  <w:style w:type="paragraph" w:styleId="Heading4">
    <w:name w:val="heading 4"/>
    <w:basedOn w:val="HeadingBase"/>
    <w:next w:val="BodyText"/>
    <w:link w:val="Heading4Char"/>
    <w:qFormat/>
    <w:rsid w:val="0053683D"/>
    <w:pPr>
      <w:spacing w:before="160" w:after="120"/>
      <w:outlineLvl w:val="3"/>
    </w:pPr>
    <w:rPr>
      <w:sz w:val="22"/>
    </w:rPr>
  </w:style>
  <w:style w:type="paragraph" w:styleId="Heading5">
    <w:name w:val="heading 5"/>
    <w:basedOn w:val="HeadingBase"/>
    <w:next w:val="Normal"/>
    <w:link w:val="Heading5Char"/>
    <w:qFormat/>
    <w:rsid w:val="0053683D"/>
    <w:pPr>
      <w:spacing w:before="80"/>
      <w:outlineLvl w:val="4"/>
    </w:pPr>
    <w:rPr>
      <w:color w:val="918585"/>
      <w:sz w:val="20"/>
    </w:rPr>
  </w:style>
  <w:style w:type="paragraph" w:styleId="Heading6">
    <w:name w:val="heading 6"/>
    <w:basedOn w:val="HeadingBase"/>
    <w:next w:val="Normal"/>
    <w:link w:val="Heading6Char"/>
    <w:qFormat/>
    <w:rsid w:val="0053683D"/>
    <w:pPr>
      <w:spacing w:before="60"/>
      <w:outlineLvl w:val="5"/>
    </w:pPr>
    <w:rPr>
      <w:color w:val="918585"/>
      <w:sz w:val="20"/>
    </w:rPr>
  </w:style>
  <w:style w:type="paragraph" w:styleId="Heading7">
    <w:name w:val="heading 7"/>
    <w:basedOn w:val="Normal"/>
    <w:next w:val="Normal"/>
    <w:link w:val="Heading7Char"/>
    <w:qFormat/>
    <w:rsid w:val="0053683D"/>
    <w:pPr>
      <w:ind w:left="720"/>
      <w:outlineLvl w:val="6"/>
    </w:pPr>
    <w:rPr>
      <w:i/>
    </w:rPr>
  </w:style>
  <w:style w:type="paragraph" w:styleId="Heading8">
    <w:name w:val="heading 8"/>
    <w:basedOn w:val="Normal"/>
    <w:next w:val="Normal"/>
    <w:link w:val="Heading8Char"/>
    <w:qFormat/>
    <w:rsid w:val="0053683D"/>
    <w:pPr>
      <w:ind w:left="720"/>
      <w:outlineLvl w:val="7"/>
    </w:pPr>
    <w:rPr>
      <w:i/>
    </w:rPr>
  </w:style>
  <w:style w:type="paragraph" w:styleId="Heading9">
    <w:name w:val="heading 9"/>
    <w:basedOn w:val="Normal"/>
    <w:next w:val="Normal"/>
    <w:link w:val="Heading9Char"/>
    <w:qFormat/>
    <w:rsid w:val="0053683D"/>
    <w:pPr>
      <w:ind w:left="720"/>
      <w:outlineLvl w:val="8"/>
    </w:pPr>
    <w:rPr>
      <w:i/>
    </w:rPr>
  </w:style>
  <w:style w:type="character" w:default="1" w:styleId="DefaultParagraphFont">
    <w:name w:val="Default Paragraph Font"/>
    <w:uiPriority w:val="1"/>
    <w:unhideWhenUsed/>
    <w:rsid w:val="0053683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3683D"/>
  </w:style>
  <w:style w:type="character" w:customStyle="1" w:styleId="Heading1Char">
    <w:name w:val="Heading 1 Char"/>
    <w:basedOn w:val="DefaultParagraphFont"/>
    <w:link w:val="Heading1"/>
    <w:rsid w:val="0053683D"/>
    <w:rPr>
      <w:rFonts w:ascii="Times New Roman" w:eastAsia="Times New Roman" w:hAnsi="Times New Roman" w:cs="Times New Roman"/>
      <w:b/>
      <w:sz w:val="32"/>
      <w:szCs w:val="20"/>
      <w:lang w:eastAsia="en-US"/>
    </w:rPr>
  </w:style>
  <w:style w:type="paragraph" w:styleId="BodyText">
    <w:name w:val="Body Text"/>
    <w:basedOn w:val="Normal"/>
    <w:link w:val="BodyTextChar"/>
    <w:rsid w:val="0053683D"/>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53683D"/>
    <w:rPr>
      <w:rFonts w:ascii="Times New Roman" w:eastAsia="Times New Roman" w:hAnsi="Times New Roman" w:cs="Times New Roman"/>
      <w:sz w:val="24"/>
      <w:lang w:val="en-US" w:eastAsia="en-US"/>
    </w:rPr>
  </w:style>
  <w:style w:type="paragraph" w:styleId="Footer">
    <w:name w:val="footer"/>
    <w:basedOn w:val="Normal"/>
    <w:link w:val="FooterChar"/>
    <w:rsid w:val="0053683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3683D"/>
    <w:rPr>
      <w:rFonts w:ascii="Times New Roman" w:eastAsia="Times New Roman" w:hAnsi="Times New Roman" w:cs="Times New Roman"/>
      <w:sz w:val="16"/>
      <w:lang w:val="en-US" w:eastAsia="en-US"/>
    </w:rPr>
  </w:style>
  <w:style w:type="character" w:customStyle="1" w:styleId="SpecialBold">
    <w:name w:val="Special Bold"/>
    <w:basedOn w:val="DefaultParagraphFont"/>
    <w:rsid w:val="0053683D"/>
    <w:rPr>
      <w:b/>
      <w:spacing w:val="0"/>
    </w:rPr>
  </w:style>
  <w:style w:type="paragraph" w:styleId="Header">
    <w:name w:val="header"/>
    <w:basedOn w:val="Normal"/>
    <w:link w:val="HeaderChar"/>
    <w:rsid w:val="0053683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3683D"/>
    <w:rPr>
      <w:rFonts w:ascii="Times New Roman" w:eastAsia="Times New Roman" w:hAnsi="Times New Roman" w:cs="Times New Roman"/>
      <w:sz w:val="16"/>
      <w:szCs w:val="20"/>
      <w:lang w:val="en-GB" w:eastAsia="en-US"/>
    </w:rPr>
  </w:style>
  <w:style w:type="paragraph" w:customStyle="1" w:styleId="SuperHeading">
    <w:name w:val="SuperHeading"/>
    <w:basedOn w:val="Normal"/>
    <w:rsid w:val="0053683D"/>
    <w:pPr>
      <w:spacing w:before="240" w:after="120"/>
      <w:outlineLvl w:val="0"/>
    </w:pPr>
    <w:rPr>
      <w:rFonts w:ascii="Times New Roman" w:hAnsi="Times New Roman"/>
      <w:b/>
      <w:sz w:val="28"/>
    </w:rPr>
  </w:style>
  <w:style w:type="paragraph" w:customStyle="1" w:styleId="AllowPageBreak">
    <w:name w:val="AllowPageBreak"/>
    <w:rsid w:val="0053683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53683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3683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3683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3683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3683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3683D"/>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53683D"/>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53683D"/>
    <w:rPr>
      <w:rFonts w:ascii="Courier New" w:eastAsia="Times New Roman" w:hAnsi="Courier New" w:cs="Times New Roman"/>
      <w:i/>
      <w:szCs w:val="20"/>
      <w:lang w:val="en-US" w:eastAsia="en-US"/>
    </w:rPr>
  </w:style>
  <w:style w:type="paragraph" w:customStyle="1" w:styleId="HeadingBase">
    <w:name w:val="Heading Base"/>
    <w:rsid w:val="0053683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3683D"/>
    <w:pPr>
      <w:tabs>
        <w:tab w:val="right" w:leader="dot" w:pos="9072"/>
      </w:tabs>
      <w:ind w:left="567"/>
    </w:pPr>
    <w:rPr>
      <w:szCs w:val="22"/>
    </w:rPr>
  </w:style>
  <w:style w:type="paragraph" w:customStyle="1" w:styleId="TOCBase">
    <w:name w:val="TOC Base"/>
    <w:rsid w:val="0053683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3683D"/>
    <w:pPr>
      <w:tabs>
        <w:tab w:val="right" w:leader="dot" w:pos="9072"/>
      </w:tabs>
      <w:spacing w:before="40" w:after="40"/>
      <w:ind w:left="284"/>
    </w:pPr>
    <w:rPr>
      <w:rFonts w:ascii="Times New Roman" w:hAnsi="Times New Roman"/>
    </w:rPr>
  </w:style>
  <w:style w:type="paragraph" w:styleId="TOC1">
    <w:name w:val="toc 1"/>
    <w:basedOn w:val="TOCBase"/>
    <w:next w:val="Normal"/>
    <w:rsid w:val="0053683D"/>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53683D"/>
    <w:pPr>
      <w:spacing w:before="5040"/>
      <w:jc w:val="center"/>
    </w:pPr>
    <w:rPr>
      <w:sz w:val="48"/>
      <w:szCs w:val="72"/>
      <w:lang w:val="en-US"/>
    </w:rPr>
  </w:style>
  <w:style w:type="character" w:customStyle="1" w:styleId="TitleChar">
    <w:name w:val="Title Char"/>
    <w:basedOn w:val="DefaultParagraphFont"/>
    <w:link w:val="Title"/>
    <w:rsid w:val="0053683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3683D"/>
    <w:pPr>
      <w:tabs>
        <w:tab w:val="left" w:pos="3600"/>
        <w:tab w:val="left" w:pos="3958"/>
      </w:tabs>
    </w:pPr>
  </w:style>
  <w:style w:type="paragraph" w:styleId="List">
    <w:name w:val="List"/>
    <w:basedOn w:val="BodyText"/>
    <w:next w:val="BodyText"/>
    <w:rsid w:val="0053683D"/>
    <w:pPr>
      <w:tabs>
        <w:tab w:val="left" w:pos="340"/>
      </w:tabs>
      <w:spacing w:before="60" w:after="60"/>
      <w:ind w:left="340" w:hanging="340"/>
    </w:pPr>
  </w:style>
  <w:style w:type="paragraph" w:styleId="ListBullet">
    <w:name w:val="List Bullet"/>
    <w:basedOn w:val="List"/>
    <w:rsid w:val="0053683D"/>
    <w:pPr>
      <w:numPr>
        <w:numId w:val="11"/>
      </w:numPr>
      <w:tabs>
        <w:tab w:val="clear" w:pos="340"/>
      </w:tabs>
      <w:spacing w:before="40" w:after="40"/>
    </w:pPr>
  </w:style>
  <w:style w:type="paragraph" w:customStyle="1" w:styleId="Note">
    <w:name w:val="Note"/>
    <w:basedOn w:val="BodyText"/>
    <w:rsid w:val="0053683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3683D"/>
    <w:pPr>
      <w:framePr w:wrap="auto" w:hAnchor="text" w:y="6049"/>
    </w:pPr>
    <w:rPr>
      <w:color w:val="000000"/>
      <w:sz w:val="40"/>
    </w:rPr>
  </w:style>
  <w:style w:type="paragraph" w:customStyle="1" w:styleId="TOCTitle">
    <w:name w:val="TOCTitle"/>
    <w:basedOn w:val="Heading1"/>
    <w:rsid w:val="0053683D"/>
    <w:pPr>
      <w:spacing w:after="240"/>
      <w:jc w:val="center"/>
      <w:outlineLvl w:val="9"/>
    </w:pPr>
    <w:rPr>
      <w:caps/>
    </w:rPr>
  </w:style>
  <w:style w:type="paragraph" w:customStyle="1" w:styleId="Version">
    <w:name w:val="Version"/>
    <w:rsid w:val="0053683D"/>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53683D"/>
    <w:pPr>
      <w:numPr>
        <w:numId w:val="12"/>
      </w:numPr>
      <w:tabs>
        <w:tab w:val="clear" w:pos="680"/>
      </w:tabs>
    </w:pPr>
  </w:style>
  <w:style w:type="paragraph" w:styleId="Index1">
    <w:name w:val="index 1"/>
    <w:basedOn w:val="Normal"/>
    <w:next w:val="Normal"/>
    <w:semiHidden/>
    <w:rsid w:val="0053683D"/>
    <w:pPr>
      <w:keepNext w:val="0"/>
      <w:tabs>
        <w:tab w:val="right" w:pos="4176"/>
      </w:tabs>
      <w:ind w:left="198" w:hanging="198"/>
    </w:pPr>
    <w:rPr>
      <w:rFonts w:ascii="Garamond" w:hAnsi="Garamond"/>
    </w:rPr>
  </w:style>
  <w:style w:type="paragraph" w:styleId="IndexHeading">
    <w:name w:val="index heading"/>
    <w:basedOn w:val="Normal"/>
    <w:next w:val="Index1"/>
    <w:semiHidden/>
    <w:rsid w:val="0053683D"/>
    <w:pPr>
      <w:spacing w:before="120" w:after="120"/>
    </w:pPr>
    <w:rPr>
      <w:rFonts w:ascii="Arial" w:hAnsi="Arial"/>
      <w:b/>
      <w:color w:val="918585"/>
      <w:sz w:val="24"/>
    </w:rPr>
  </w:style>
  <w:style w:type="paragraph" w:customStyle="1" w:styleId="Chapter">
    <w:name w:val="Chapter"/>
    <w:basedOn w:val="Normal"/>
    <w:rsid w:val="0053683D"/>
    <w:pPr>
      <w:spacing w:before="240"/>
    </w:pPr>
    <w:rPr>
      <w:rFonts w:ascii="Times New Roman" w:hAnsi="Times New Roman"/>
      <w:smallCaps/>
      <w:spacing w:val="80"/>
      <w:sz w:val="28"/>
    </w:rPr>
  </w:style>
  <w:style w:type="paragraph" w:customStyle="1" w:styleId="InChapter">
    <w:name w:val="InChapter"/>
    <w:basedOn w:val="Heading3"/>
    <w:rsid w:val="0053683D"/>
    <w:pPr>
      <w:spacing w:after="240"/>
      <w:outlineLvl w:val="9"/>
    </w:pPr>
    <w:rPr>
      <w:noProof/>
    </w:rPr>
  </w:style>
  <w:style w:type="paragraph" w:styleId="Index2">
    <w:name w:val="index 2"/>
    <w:basedOn w:val="Normal"/>
    <w:next w:val="Normal"/>
    <w:semiHidden/>
    <w:rsid w:val="0053683D"/>
    <w:pPr>
      <w:tabs>
        <w:tab w:val="right" w:pos="4176"/>
      </w:tabs>
      <w:ind w:left="568" w:hanging="284"/>
    </w:pPr>
    <w:rPr>
      <w:rFonts w:ascii="Garamond" w:hAnsi="Garamond"/>
    </w:rPr>
  </w:style>
  <w:style w:type="paragraph" w:customStyle="1" w:styleId="Byline">
    <w:name w:val="Byline"/>
    <w:rsid w:val="0053683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3683D"/>
    <w:pPr>
      <w:tabs>
        <w:tab w:val="clear" w:pos="3600"/>
        <w:tab w:val="clear" w:pos="3958"/>
      </w:tabs>
      <w:jc w:val="right"/>
    </w:pPr>
  </w:style>
  <w:style w:type="character" w:styleId="Emphasis">
    <w:name w:val="Emphasis"/>
    <w:basedOn w:val="DefaultParagraphFont"/>
    <w:qFormat/>
    <w:rsid w:val="0053683D"/>
    <w:rPr>
      <w:i/>
    </w:rPr>
  </w:style>
  <w:style w:type="paragraph" w:styleId="Caption">
    <w:name w:val="caption"/>
    <w:basedOn w:val="BodyText"/>
    <w:next w:val="Normal"/>
    <w:qFormat/>
    <w:rsid w:val="0053683D"/>
    <w:pPr>
      <w:framePr w:w="2268" w:hSpace="181" w:vSpace="181" w:wrap="around" w:vAnchor="text" w:hAnchor="page" w:x="1135" w:y="285" w:anchorLock="1"/>
    </w:pPr>
    <w:rPr>
      <w:i/>
    </w:rPr>
  </w:style>
  <w:style w:type="paragraph" w:customStyle="1" w:styleId="MiniTOCTitle">
    <w:name w:val="MiniTOCTitle"/>
    <w:basedOn w:val="Heading4"/>
    <w:rsid w:val="0053683D"/>
    <w:pPr>
      <w:spacing w:before="240"/>
      <w:outlineLvl w:val="9"/>
    </w:pPr>
    <w:rPr>
      <w:noProof/>
      <w:sz w:val="24"/>
    </w:rPr>
  </w:style>
  <w:style w:type="paragraph" w:customStyle="1" w:styleId="MiniTOCItem">
    <w:name w:val="MiniTOCItem"/>
    <w:basedOn w:val="ListBullet"/>
    <w:rsid w:val="0053683D"/>
    <w:pPr>
      <w:numPr>
        <w:numId w:val="0"/>
      </w:numPr>
      <w:tabs>
        <w:tab w:val="right" w:leader="dot" w:pos="6521"/>
      </w:tabs>
      <w:spacing w:before="0" w:after="0"/>
    </w:pPr>
  </w:style>
  <w:style w:type="paragraph" w:customStyle="1" w:styleId="TOFTitle">
    <w:name w:val="TOFTitle"/>
    <w:basedOn w:val="TOCTitle"/>
    <w:rsid w:val="0053683D"/>
  </w:style>
  <w:style w:type="paragraph" w:styleId="TableofFigures">
    <w:name w:val="table of figures"/>
    <w:basedOn w:val="Normal"/>
    <w:next w:val="Normal"/>
    <w:semiHidden/>
    <w:rsid w:val="0053683D"/>
    <w:pPr>
      <w:tabs>
        <w:tab w:val="right" w:leader="dot" w:pos="9072"/>
      </w:tabs>
      <w:ind w:left="970" w:hanging="403"/>
    </w:pPr>
    <w:rPr>
      <w:rFonts w:ascii="Times New Roman" w:hAnsi="Times New Roman"/>
      <w:b/>
    </w:rPr>
  </w:style>
  <w:style w:type="paragraph" w:styleId="ListNumber">
    <w:name w:val="List Number"/>
    <w:basedOn w:val="List"/>
    <w:rsid w:val="0053683D"/>
    <w:pPr>
      <w:numPr>
        <w:numId w:val="9"/>
      </w:numPr>
    </w:pPr>
  </w:style>
  <w:style w:type="character" w:customStyle="1" w:styleId="WingdingSymbols">
    <w:name w:val="Wingding Symbols"/>
    <w:rsid w:val="0053683D"/>
    <w:rPr>
      <w:rFonts w:ascii="Wingdings" w:hAnsi="Wingdings"/>
    </w:rPr>
  </w:style>
  <w:style w:type="paragraph" w:customStyle="1" w:styleId="TableHeading">
    <w:name w:val="Table Heading"/>
    <w:basedOn w:val="HeadingBase"/>
    <w:rsid w:val="0053683D"/>
    <w:pPr>
      <w:keepLines/>
      <w:pBdr>
        <w:bottom w:val="single" w:sz="6" w:space="1" w:color="918585"/>
      </w:pBdr>
      <w:spacing w:before="240"/>
    </w:pPr>
  </w:style>
  <w:style w:type="character" w:customStyle="1" w:styleId="HotSpot">
    <w:name w:val="HotSpot"/>
    <w:rsid w:val="0053683D"/>
    <w:rPr>
      <w:color w:val="0033CC"/>
      <w:u w:val="none"/>
    </w:rPr>
  </w:style>
  <w:style w:type="paragraph" w:customStyle="1" w:styleId="BodyTextRight">
    <w:name w:val="Body Text Right"/>
    <w:basedOn w:val="BodyText"/>
    <w:rsid w:val="0053683D"/>
    <w:pPr>
      <w:spacing w:before="0" w:after="0"/>
      <w:jc w:val="right"/>
    </w:pPr>
  </w:style>
  <w:style w:type="paragraph" w:styleId="Index3">
    <w:name w:val="index 3"/>
    <w:basedOn w:val="ListNumber2"/>
    <w:next w:val="Normal"/>
    <w:semiHidden/>
    <w:rsid w:val="0053683D"/>
    <w:pPr>
      <w:numPr>
        <w:numId w:val="0"/>
      </w:numPr>
      <w:tabs>
        <w:tab w:val="right" w:leader="dot" w:pos="4176"/>
      </w:tabs>
    </w:pPr>
  </w:style>
  <w:style w:type="paragraph" w:styleId="ListNumber2">
    <w:name w:val="List Number 2"/>
    <w:basedOn w:val="List2"/>
    <w:rsid w:val="0053683D"/>
    <w:pPr>
      <w:numPr>
        <w:numId w:val="8"/>
      </w:numPr>
      <w:tabs>
        <w:tab w:val="clear" w:pos="1060"/>
      </w:tabs>
    </w:pPr>
  </w:style>
  <w:style w:type="paragraph" w:customStyle="1" w:styleId="MarginNote">
    <w:name w:val="Margin Note"/>
    <w:basedOn w:val="BodyText"/>
    <w:rsid w:val="0053683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3683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3683D"/>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53683D"/>
    <w:rPr>
      <w:sz w:val="32"/>
    </w:rPr>
  </w:style>
  <w:style w:type="paragraph" w:customStyle="1" w:styleId="HeadingProcedure">
    <w:name w:val="Heading Procedure"/>
    <w:basedOn w:val="HeadingBase"/>
    <w:next w:val="Normal"/>
    <w:rsid w:val="0053683D"/>
    <w:pPr>
      <w:tabs>
        <w:tab w:val="left" w:pos="0"/>
      </w:tabs>
      <w:spacing w:before="120" w:after="60"/>
    </w:pPr>
    <w:rPr>
      <w:i/>
      <w:color w:val="918585"/>
      <w:sz w:val="22"/>
    </w:rPr>
  </w:style>
  <w:style w:type="paragraph" w:customStyle="1" w:styleId="TableBodyText">
    <w:name w:val="Table Body Text"/>
    <w:basedOn w:val="BodyText"/>
    <w:rsid w:val="0053683D"/>
    <w:pPr>
      <w:spacing w:before="60" w:after="60"/>
    </w:pPr>
  </w:style>
  <w:style w:type="paragraph" w:styleId="ListContinue">
    <w:name w:val="List Continue"/>
    <w:basedOn w:val="List"/>
    <w:rsid w:val="0053683D"/>
    <w:pPr>
      <w:ind w:firstLine="0"/>
    </w:pPr>
  </w:style>
  <w:style w:type="paragraph" w:customStyle="1" w:styleId="ListNote">
    <w:name w:val="List Note"/>
    <w:basedOn w:val="List"/>
    <w:rsid w:val="0053683D"/>
    <w:pPr>
      <w:pBdr>
        <w:top w:val="single" w:sz="6" w:space="2" w:color="918585"/>
        <w:bottom w:val="single" w:sz="6" w:space="2" w:color="918585"/>
      </w:pBdr>
      <w:tabs>
        <w:tab w:val="left" w:pos="1021"/>
      </w:tabs>
      <w:ind w:firstLine="0"/>
    </w:pPr>
  </w:style>
  <w:style w:type="paragraph" w:customStyle="1" w:styleId="Warning">
    <w:name w:val="Warning"/>
    <w:basedOn w:val="BodyText"/>
    <w:rsid w:val="0053683D"/>
    <w:pPr>
      <w:shd w:val="clear" w:color="auto" w:fill="D9D9D9"/>
      <w:tabs>
        <w:tab w:val="left" w:pos="992"/>
      </w:tabs>
      <w:ind w:left="119" w:right="119"/>
    </w:pPr>
    <w:rPr>
      <w:sz w:val="20"/>
    </w:rPr>
  </w:style>
  <w:style w:type="paragraph" w:customStyle="1" w:styleId="MarginIcons">
    <w:name w:val="Margin Icons"/>
    <w:basedOn w:val="BodyText"/>
    <w:rsid w:val="0053683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3683D"/>
    <w:rPr>
      <w:rFonts w:ascii="Courier New" w:hAnsi="Courier New"/>
    </w:rPr>
  </w:style>
  <w:style w:type="paragraph" w:customStyle="1" w:styleId="NoteBullet">
    <w:name w:val="Note Bullet"/>
    <w:basedOn w:val="Note"/>
    <w:rsid w:val="0053683D"/>
    <w:pPr>
      <w:tabs>
        <w:tab w:val="clear" w:pos="680"/>
      </w:tabs>
      <w:spacing w:before="60" w:after="60"/>
    </w:pPr>
  </w:style>
  <w:style w:type="paragraph" w:customStyle="1" w:styleId="SubHeading2">
    <w:name w:val="SubHeading2"/>
    <w:basedOn w:val="HeadingBase"/>
    <w:rsid w:val="0053683D"/>
    <w:pPr>
      <w:spacing w:before="240" w:after="60"/>
    </w:pPr>
    <w:rPr>
      <w:sz w:val="20"/>
    </w:rPr>
  </w:style>
  <w:style w:type="paragraph" w:customStyle="1" w:styleId="SubHeading1">
    <w:name w:val="SubHeading1"/>
    <w:basedOn w:val="HeadingBase"/>
    <w:rsid w:val="0053683D"/>
    <w:pPr>
      <w:spacing w:before="240" w:after="60"/>
    </w:pPr>
    <w:rPr>
      <w:color w:val="918585"/>
      <w:sz w:val="22"/>
    </w:rPr>
  </w:style>
  <w:style w:type="paragraph" w:customStyle="1" w:styleId="SideHeading">
    <w:name w:val="Side Heading"/>
    <w:basedOn w:val="HeadingBase"/>
    <w:rsid w:val="0053683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3683D"/>
    <w:pPr>
      <w:numPr>
        <w:numId w:val="10"/>
      </w:numPr>
    </w:pPr>
  </w:style>
  <w:style w:type="paragraph" w:styleId="PlainText">
    <w:name w:val="Plain Text"/>
    <w:basedOn w:val="Normal"/>
    <w:link w:val="PlainTextChar"/>
    <w:rsid w:val="0053683D"/>
    <w:rPr>
      <w:sz w:val="20"/>
    </w:rPr>
  </w:style>
  <w:style w:type="character" w:customStyle="1" w:styleId="PlainTextChar">
    <w:name w:val="Plain Text Char"/>
    <w:basedOn w:val="DefaultParagraphFont"/>
    <w:link w:val="PlainText"/>
    <w:rsid w:val="0053683D"/>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53683D"/>
    <w:rPr>
      <w:b/>
      <w:smallCaps/>
    </w:rPr>
  </w:style>
  <w:style w:type="paragraph" w:customStyle="1" w:styleId="TableListNumber">
    <w:name w:val="Table List Number"/>
    <w:basedOn w:val="ListNumber"/>
    <w:rsid w:val="0053683D"/>
    <w:pPr>
      <w:numPr>
        <w:numId w:val="0"/>
      </w:numPr>
    </w:pPr>
  </w:style>
  <w:style w:type="paragraph" w:styleId="TOC4">
    <w:name w:val="toc 4"/>
    <w:basedOn w:val="TOCBase"/>
    <w:next w:val="Normal"/>
    <w:semiHidden/>
    <w:rsid w:val="0053683D"/>
    <w:pPr>
      <w:tabs>
        <w:tab w:val="right" w:leader="dot" w:pos="9071"/>
      </w:tabs>
      <w:ind w:left="1701"/>
    </w:pPr>
  </w:style>
  <w:style w:type="paragraph" w:customStyle="1" w:styleId="ListAlpha">
    <w:name w:val="List Alpha"/>
    <w:basedOn w:val="List"/>
    <w:rsid w:val="0053683D"/>
    <w:pPr>
      <w:numPr>
        <w:numId w:val="7"/>
      </w:numPr>
    </w:pPr>
  </w:style>
  <w:style w:type="paragraph" w:customStyle="1" w:styleId="ListAlpha2">
    <w:name w:val="List Alpha 2"/>
    <w:basedOn w:val="List2"/>
    <w:rsid w:val="0053683D"/>
    <w:pPr>
      <w:numPr>
        <w:numId w:val="6"/>
      </w:numPr>
    </w:pPr>
  </w:style>
  <w:style w:type="paragraph" w:styleId="List2">
    <w:name w:val="List 2"/>
    <w:basedOn w:val="BodyText"/>
    <w:rsid w:val="0053683D"/>
    <w:pPr>
      <w:tabs>
        <w:tab w:val="left" w:pos="680"/>
      </w:tabs>
      <w:spacing w:before="60" w:after="60"/>
      <w:ind w:left="680" w:hanging="340"/>
    </w:pPr>
  </w:style>
  <w:style w:type="paragraph" w:styleId="List3">
    <w:name w:val="List 3"/>
    <w:basedOn w:val="BodyText"/>
    <w:rsid w:val="0053683D"/>
    <w:pPr>
      <w:tabs>
        <w:tab w:val="left" w:pos="1021"/>
      </w:tabs>
      <w:spacing w:before="60" w:after="60"/>
      <w:ind w:left="1020" w:hanging="340"/>
    </w:pPr>
  </w:style>
  <w:style w:type="paragraph" w:styleId="List4">
    <w:name w:val="List 4"/>
    <w:basedOn w:val="BodyText"/>
    <w:rsid w:val="0053683D"/>
    <w:pPr>
      <w:tabs>
        <w:tab w:val="left" w:pos="1361"/>
      </w:tabs>
      <w:spacing w:before="60" w:after="60"/>
      <w:ind w:left="1361" w:hanging="340"/>
    </w:pPr>
  </w:style>
  <w:style w:type="paragraph" w:styleId="List5">
    <w:name w:val="List 5"/>
    <w:basedOn w:val="BodyText"/>
    <w:rsid w:val="0053683D"/>
    <w:pPr>
      <w:tabs>
        <w:tab w:val="left" w:pos="1701"/>
      </w:tabs>
      <w:spacing w:before="60" w:after="60"/>
      <w:ind w:left="1701" w:hanging="340"/>
    </w:pPr>
  </w:style>
  <w:style w:type="paragraph" w:styleId="ListBullet3">
    <w:name w:val="List Bullet 3"/>
    <w:basedOn w:val="List3"/>
    <w:rsid w:val="0053683D"/>
    <w:pPr>
      <w:numPr>
        <w:numId w:val="13"/>
      </w:numPr>
      <w:tabs>
        <w:tab w:val="clear" w:pos="1021"/>
      </w:tabs>
      <w:ind w:left="1037" w:hanging="357"/>
    </w:pPr>
  </w:style>
  <w:style w:type="paragraph" w:styleId="ListBullet4">
    <w:name w:val="List Bullet 4"/>
    <w:basedOn w:val="List4"/>
    <w:rsid w:val="0053683D"/>
    <w:pPr>
      <w:numPr>
        <w:numId w:val="1"/>
      </w:numPr>
    </w:pPr>
  </w:style>
  <w:style w:type="paragraph" w:styleId="ListBullet5">
    <w:name w:val="List Bullet 5"/>
    <w:basedOn w:val="List5"/>
    <w:rsid w:val="0053683D"/>
    <w:pPr>
      <w:numPr>
        <w:numId w:val="2"/>
      </w:numPr>
    </w:pPr>
  </w:style>
  <w:style w:type="paragraph" w:styleId="ListContinue2">
    <w:name w:val="List Continue 2"/>
    <w:basedOn w:val="List2"/>
    <w:rsid w:val="0053683D"/>
    <w:pPr>
      <w:ind w:firstLine="0"/>
    </w:pPr>
  </w:style>
  <w:style w:type="paragraph" w:styleId="ListContinue3">
    <w:name w:val="List Continue 3"/>
    <w:basedOn w:val="List3"/>
    <w:rsid w:val="0053683D"/>
    <w:pPr>
      <w:ind w:left="1021" w:firstLine="0"/>
    </w:pPr>
  </w:style>
  <w:style w:type="paragraph" w:styleId="ListContinue4">
    <w:name w:val="List Continue 4"/>
    <w:basedOn w:val="List4"/>
    <w:rsid w:val="0053683D"/>
    <w:pPr>
      <w:ind w:firstLine="0"/>
    </w:pPr>
  </w:style>
  <w:style w:type="paragraph" w:styleId="ListContinue5">
    <w:name w:val="List Continue 5"/>
    <w:basedOn w:val="List5"/>
    <w:rsid w:val="0053683D"/>
    <w:pPr>
      <w:ind w:firstLine="0"/>
    </w:pPr>
  </w:style>
  <w:style w:type="paragraph" w:styleId="ListNumber3">
    <w:name w:val="List Number 3"/>
    <w:basedOn w:val="List3"/>
    <w:rsid w:val="0053683D"/>
    <w:pPr>
      <w:numPr>
        <w:numId w:val="3"/>
      </w:numPr>
    </w:pPr>
  </w:style>
  <w:style w:type="paragraph" w:styleId="ListNumber4">
    <w:name w:val="List Number 4"/>
    <w:basedOn w:val="List4"/>
    <w:rsid w:val="0053683D"/>
    <w:pPr>
      <w:numPr>
        <w:numId w:val="4"/>
      </w:numPr>
    </w:pPr>
  </w:style>
  <w:style w:type="paragraph" w:styleId="ListNumber5">
    <w:name w:val="List Number 5"/>
    <w:basedOn w:val="List5"/>
    <w:rsid w:val="0053683D"/>
    <w:pPr>
      <w:numPr>
        <w:numId w:val="5"/>
      </w:numPr>
    </w:pPr>
  </w:style>
  <w:style w:type="paragraph" w:styleId="BlockText">
    <w:name w:val="Block Text"/>
    <w:basedOn w:val="Normal"/>
    <w:rsid w:val="0053683D"/>
    <w:pPr>
      <w:spacing w:after="120"/>
      <w:ind w:left="1440" w:right="1440"/>
    </w:pPr>
  </w:style>
  <w:style w:type="character" w:customStyle="1" w:styleId="Subscript">
    <w:name w:val="Subscript"/>
    <w:basedOn w:val="DefaultParagraphFont"/>
    <w:rsid w:val="0053683D"/>
    <w:rPr>
      <w:sz w:val="16"/>
      <w:vertAlign w:val="subscript"/>
    </w:rPr>
  </w:style>
  <w:style w:type="character" w:customStyle="1" w:styleId="Superscript">
    <w:name w:val="Superscript"/>
    <w:basedOn w:val="DefaultParagraphFont"/>
    <w:rsid w:val="0053683D"/>
    <w:rPr>
      <w:sz w:val="16"/>
      <w:vertAlign w:val="superscript"/>
    </w:rPr>
  </w:style>
  <w:style w:type="character" w:customStyle="1" w:styleId="Symbols">
    <w:name w:val="Symbols"/>
    <w:basedOn w:val="DefaultParagraphFont"/>
    <w:rsid w:val="0053683D"/>
    <w:rPr>
      <w:rFonts w:ascii="Symbol" w:hAnsi="Symbol"/>
    </w:rPr>
  </w:style>
  <w:style w:type="character" w:customStyle="1" w:styleId="MenuOptions">
    <w:name w:val="Menu Options"/>
    <w:basedOn w:val="DefaultParagraphFont"/>
    <w:rsid w:val="0053683D"/>
    <w:rPr>
      <w:rFonts w:ascii="Arial Narrow" w:hAnsi="Arial Narrow"/>
      <w:smallCaps/>
    </w:rPr>
  </w:style>
  <w:style w:type="character" w:customStyle="1" w:styleId="Buttons">
    <w:name w:val="Buttons"/>
    <w:basedOn w:val="DefaultParagraphFont"/>
    <w:rsid w:val="0053683D"/>
    <w:rPr>
      <w:b/>
    </w:rPr>
  </w:style>
  <w:style w:type="character" w:customStyle="1" w:styleId="Underlined">
    <w:name w:val="Underlined"/>
    <w:basedOn w:val="DefaultParagraphFont"/>
    <w:rsid w:val="0053683D"/>
    <w:rPr>
      <w:u w:val="single"/>
    </w:rPr>
  </w:style>
  <w:style w:type="paragraph" w:customStyle="1" w:styleId="TableBodyTextRight">
    <w:name w:val="Table Body Text Right"/>
    <w:basedOn w:val="TableBodyText"/>
    <w:rsid w:val="0053683D"/>
    <w:pPr>
      <w:widowControl w:val="0"/>
      <w:autoSpaceDE w:val="0"/>
      <w:autoSpaceDN w:val="0"/>
      <w:adjustRightInd w:val="0"/>
      <w:jc w:val="right"/>
    </w:pPr>
    <w:rPr>
      <w:rFonts w:cs="Arial"/>
      <w:szCs w:val="18"/>
    </w:rPr>
  </w:style>
  <w:style w:type="paragraph" w:customStyle="1" w:styleId="CopyrightText">
    <w:name w:val="Copyright Text"/>
    <w:basedOn w:val="BodyText"/>
    <w:rsid w:val="0053683D"/>
    <w:rPr>
      <w:sz w:val="18"/>
    </w:rPr>
  </w:style>
  <w:style w:type="paragraph" w:customStyle="1" w:styleId="BodySmallRight">
    <w:name w:val="Body Small Right"/>
    <w:basedOn w:val="BodyTextRight"/>
    <w:rsid w:val="0053683D"/>
    <w:rPr>
      <w:sz w:val="18"/>
      <w:szCs w:val="18"/>
    </w:rPr>
  </w:style>
  <w:style w:type="paragraph" w:customStyle="1" w:styleId="MarginEdition">
    <w:name w:val="Margin Edition"/>
    <w:basedOn w:val="MarginNote"/>
    <w:rsid w:val="0053683D"/>
    <w:pPr>
      <w:spacing w:before="0" w:after="0"/>
    </w:pPr>
    <w:rPr>
      <w:rFonts w:ascii="Times New Roman" w:hAnsi="Times New Roman"/>
      <w:color w:val="999999"/>
    </w:rPr>
  </w:style>
  <w:style w:type="paragraph" w:customStyle="1" w:styleId="Spacer">
    <w:name w:val="Spacer"/>
    <w:basedOn w:val="Normal"/>
    <w:rsid w:val="0053683D"/>
    <w:rPr>
      <w:sz w:val="2"/>
      <w:szCs w:val="2"/>
    </w:rPr>
  </w:style>
  <w:style w:type="character" w:customStyle="1" w:styleId="Small">
    <w:name w:val="Small"/>
    <w:basedOn w:val="DefaultParagraphFont"/>
    <w:rsid w:val="0053683D"/>
    <w:rPr>
      <w:sz w:val="16"/>
    </w:rPr>
  </w:style>
  <w:style w:type="paragraph" w:customStyle="1" w:styleId="WideTable">
    <w:name w:val="Wide Table"/>
    <w:basedOn w:val="Normal"/>
    <w:rsid w:val="0053683D"/>
    <w:pPr>
      <w:ind w:left="-1418"/>
    </w:pPr>
    <w:rPr>
      <w:sz w:val="2"/>
      <w:szCs w:val="2"/>
    </w:rPr>
  </w:style>
  <w:style w:type="character" w:styleId="PageNumber">
    <w:name w:val="page number"/>
    <w:basedOn w:val="DefaultParagraphFont"/>
    <w:rsid w:val="0053683D"/>
  </w:style>
  <w:style w:type="paragraph" w:styleId="Quote">
    <w:name w:val="Quote"/>
    <w:basedOn w:val="Heading1"/>
    <w:link w:val="QuoteChar"/>
    <w:qFormat/>
    <w:rsid w:val="0053683D"/>
    <w:rPr>
      <w:b w:val="0"/>
      <w:sz w:val="72"/>
      <w:szCs w:val="72"/>
      <w:lang w:val="en-NZ"/>
    </w:rPr>
  </w:style>
  <w:style w:type="character" w:customStyle="1" w:styleId="QuoteChar">
    <w:name w:val="Quote Char"/>
    <w:basedOn w:val="DefaultParagraphFont"/>
    <w:link w:val="Quote"/>
    <w:rsid w:val="0053683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3683D"/>
    <w:pPr>
      <w:pageBreakBefore/>
    </w:pPr>
  </w:style>
  <w:style w:type="paragraph" w:customStyle="1" w:styleId="Border">
    <w:name w:val="Border"/>
    <w:basedOn w:val="Normal"/>
    <w:qFormat/>
    <w:rsid w:val="0053683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3683D"/>
    <w:rPr>
      <w:b/>
      <w:bCs/>
      <w:i/>
      <w:iCs/>
      <w:color w:val="auto"/>
    </w:rPr>
  </w:style>
  <w:style w:type="paragraph" w:styleId="IntenseQuote">
    <w:name w:val="Intense Quote"/>
    <w:basedOn w:val="Normal"/>
    <w:next w:val="Normal"/>
    <w:link w:val="IntenseQuoteChar"/>
    <w:uiPriority w:val="30"/>
    <w:qFormat/>
    <w:rsid w:val="0053683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3683D"/>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53683D"/>
    <w:rPr>
      <w:smallCaps/>
      <w:color w:val="auto"/>
      <w:u w:val="single"/>
    </w:rPr>
  </w:style>
  <w:style w:type="character" w:styleId="IntenseReference">
    <w:name w:val="Intense Reference"/>
    <w:basedOn w:val="DefaultParagraphFont"/>
    <w:uiPriority w:val="32"/>
    <w:qFormat/>
    <w:rsid w:val="0053683D"/>
    <w:rPr>
      <w:b/>
      <w:bCs/>
      <w:smallCaps/>
      <w:color w:val="auto"/>
      <w:spacing w:val="5"/>
      <w:u w:val="single"/>
    </w:rPr>
  </w:style>
  <w:style w:type="paragraph" w:customStyle="1" w:styleId="2ColumnHeading">
    <w:name w:val="2Column Heading"/>
    <w:basedOn w:val="BodyText"/>
    <w:qFormat/>
    <w:rsid w:val="0053683D"/>
    <w:pPr>
      <w:spacing w:after="60"/>
      <w:ind w:left="-2268"/>
    </w:pPr>
    <w:rPr>
      <w:b/>
    </w:rPr>
  </w:style>
  <w:style w:type="paragraph" w:customStyle="1" w:styleId="Heading1TOC">
    <w:name w:val="Heading1 TOC"/>
    <w:basedOn w:val="Normal"/>
    <w:qFormat/>
    <w:rsid w:val="0053683D"/>
    <w:pPr>
      <w:spacing w:before="240" w:after="120"/>
    </w:pPr>
    <w:rPr>
      <w:rFonts w:ascii="Times New Roman" w:hAnsi="Times New Roman"/>
      <w:b/>
      <w:sz w:val="32"/>
    </w:rPr>
  </w:style>
  <w:style w:type="paragraph" w:customStyle="1" w:styleId="Heading2TOC">
    <w:name w:val="Heading2 TOC"/>
    <w:basedOn w:val="Normal"/>
    <w:qFormat/>
    <w:rsid w:val="0053683D"/>
    <w:pPr>
      <w:spacing w:before="240" w:after="60"/>
    </w:pPr>
    <w:rPr>
      <w:rFonts w:ascii="Times New Roman" w:hAnsi="Times New Roman"/>
      <w:b/>
      <w:sz w:val="28"/>
    </w:rPr>
  </w:style>
  <w:style w:type="character" w:customStyle="1" w:styleId="Underline">
    <w:name w:val="Underline"/>
    <w:basedOn w:val="DefaultParagraphFont"/>
    <w:qFormat/>
    <w:rsid w:val="0053683D"/>
    <w:rPr>
      <w:u w:val="single"/>
    </w:rPr>
  </w:style>
  <w:style w:type="character" w:customStyle="1" w:styleId="BoldandItalics">
    <w:name w:val="Bold and Italics"/>
    <w:qFormat/>
    <w:rsid w:val="0053683D"/>
    <w:rPr>
      <w:b/>
      <w:i/>
      <w:u w:val="none"/>
    </w:rPr>
  </w:style>
  <w:style w:type="paragraph" w:styleId="BalloonText">
    <w:name w:val="Balloon Text"/>
    <w:basedOn w:val="Normal"/>
    <w:link w:val="BalloonTextChar"/>
    <w:rsid w:val="0053683D"/>
    <w:rPr>
      <w:rFonts w:ascii="Tahoma" w:hAnsi="Tahoma" w:cs="Tahoma"/>
      <w:sz w:val="16"/>
      <w:szCs w:val="16"/>
    </w:rPr>
  </w:style>
  <w:style w:type="character" w:customStyle="1" w:styleId="BalloonTextChar">
    <w:name w:val="Balloon Text Char"/>
    <w:basedOn w:val="DefaultParagraphFont"/>
    <w:link w:val="BalloonText"/>
    <w:rsid w:val="0053683D"/>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53683D"/>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53683D"/>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1312</Words>
  <Characters>8250</Characters>
  <Application>Microsoft Office Word</Application>
  <DocSecurity>0</DocSecurity>
  <Lines>316</Lines>
  <Paragraphs>187</Paragraphs>
  <ScaleCrop>false</ScaleCrop>
  <Company>Author-it Software Corporation Ltd.</Company>
  <LinksUpToDate>false</LinksUpToDate>
  <CharactersWithSpaces>9419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FNSACCT406B Maintain asset and inventory records</dc:title>
  <dc:subject>Approved</dc:subject>
  <dc:creator>Government Skills Australia</dc:creator>
  <cp:keywords>Release: 1</cp:keywords>
  <dc:description>Copyright © 1996-2007 Author-it Software Corporation Ltd., all rights reserved.</dc:description>
  <cp:lastModifiedBy>Alex Baker</cp:lastModifiedBy>
  <cp:revision>3</cp:revision>
  <dcterms:created xsi:type="dcterms:W3CDTF">2012-05-26T06:57:00Z</dcterms:created>
  <dcterms:modified xsi:type="dcterms:W3CDTF">2012-05-26T06:57:00Z</dcterms:modified>
</cp:coreProperties>
</file>