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B3B" w:rsidP="005A4B3B">
      <w:pPr>
        <w:pStyle w:val="Title"/>
      </w:pPr>
      <w:bookmarkStart w:id="0" w:name="O_385256"/>
      <w:bookmarkEnd w:id="0"/>
      <w:r>
        <w:fldChar w:fldCharType="begin"/>
      </w:r>
      <w:r>
        <w:instrText xml:space="preserve"> TITLE   \* MERGEFORMAT </w:instrText>
      </w:r>
      <w:r>
        <w:fldChar w:fldCharType="separate"/>
      </w:r>
      <w:r>
        <w:t>FNSICORG509A Maintain integrity of financial systems</w:t>
      </w:r>
      <w:r>
        <w:fldChar w:fldCharType="end"/>
      </w:r>
    </w:p>
    <w:p w:rsidR="005A4B3B" w:rsidP="005A4B3B">
      <w:pPr>
        <w:pStyle w:val="Version"/>
        <w:sectPr w:rsidSect="00A302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0226" w:rsidP="00A30226">
      <w:pPr>
        <w:pStyle w:val="Heading1"/>
      </w:pPr>
      <w:r w:rsidRPr="00A30226">
        <w:t>Modification History</w:t>
      </w:r>
    </w:p>
    <w:p w:rsidR="00000000" w:rsidRPr="00A30226" w:rsidP="00A30226">
      <w:pPr>
        <w:pStyle w:val="BodyText"/>
      </w:pPr>
      <w:r w:rsidRPr="00A30226">
        <w:t>Not Available</w:t>
      </w:r>
    </w:p>
    <w:p w:rsidR="00000000" w:rsidRPr="00A30226" w:rsidP="00A30226">
      <w:pPr>
        <w:pStyle w:val="AllowPageBreak"/>
      </w:pPr>
    </w:p>
    <w:p w:rsidR="00000000" w:rsidRPr="00A30226" w:rsidP="00A30226">
      <w:pPr>
        <w:pStyle w:val="Heading1"/>
      </w:pPr>
      <w:bookmarkStart w:id="2" w:name="O_385257"/>
      <w:bookmarkEnd w:id="2"/>
      <w:r w:rsidRPr="00A30226">
        <w:t>INTRODUCTION</w:t>
      </w:r>
    </w:p>
    <w:p w:rsidR="00000000" w:rsidRPr="00A30226" w:rsidP="00A30226">
      <w:pPr>
        <w:pStyle w:val="BodyText"/>
      </w:pPr>
    </w:p>
    <w:tbl>
      <w:tblPr>
        <w:tblW w:w="0" w:type="auto"/>
        <w:tblCellMar>
          <w:left w:w="62" w:type="dxa"/>
          <w:right w:w="62" w:type="dxa"/>
        </w:tblCellMar>
        <w:tblLook w:val="0000"/>
      </w:tblPr>
      <w:tblGrid>
        <w:gridCol w:w="3529"/>
        <w:gridCol w:w="5667"/>
      </w:tblGrid>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BodyText"/>
              <w:rPr>
                <w:lang w:val="en-NZ"/>
              </w:rPr>
            </w:pPr>
            <w:r w:rsidRPr="00A30226">
              <w:t>Unit Descriptor</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BodyText"/>
            </w:pPr>
            <w:r w:rsidRPr="00A30226">
              <w:t>This unit describes those functions associated with the maintenance of accounting systems, including the general ledger.</w:t>
            </w:r>
          </w:p>
          <w:p w:rsidR="00000000" w:rsidRPr="00A30226" w:rsidP="00A30226">
            <w:pPr>
              <w:pStyle w:val="BodyText"/>
            </w:pPr>
            <w:r w:rsidRPr="00A30226">
              <w:t xml:space="preserve">This unit replaces FNARFS27A and </w:t>
            </w:r>
            <w:r w:rsidRPr="00A30226">
              <w:t>FNBFIN64A.</w:t>
            </w:r>
          </w:p>
          <w:p w:rsidR="00000000" w:rsidP="00A30226">
            <w:pPr>
              <w:pStyle w:val="BodyText"/>
              <w:rPr>
                <w:lang w:val="en-NZ"/>
              </w:rPr>
            </w:pPr>
          </w:p>
        </w:tc>
      </w:tr>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BodyText"/>
              <w:rPr>
                <w:lang w:val="en-NZ"/>
              </w:rPr>
            </w:pPr>
            <w:r w:rsidRPr="00A30226">
              <w:t>Prerequisite Unit(s)</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BodyText"/>
            </w:pPr>
            <w:r w:rsidRPr="00A30226">
              <w:t>FNSICACC301A Administer accounts payable FNSICORG301A Administer fixed asset register FNSRETA310A Maintain main bank account FNSRETA309A Balance cash holdings</w:t>
            </w:r>
          </w:p>
          <w:p w:rsidR="00000000" w:rsidP="00A30226">
            <w:pPr>
              <w:pStyle w:val="BodyText"/>
              <w:rPr>
                <w:lang w:val="en-NZ"/>
              </w:rPr>
            </w:pPr>
          </w:p>
        </w:tc>
      </w:tr>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BodyText"/>
              <w:rPr>
                <w:lang w:val="en-NZ"/>
              </w:rPr>
            </w:pPr>
            <w:r w:rsidRPr="00A30226">
              <w:t>Application of the Unit</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BodyText"/>
            </w:pPr>
            <w:r w:rsidRPr="00A30226">
              <w:t>This unit requires the application of general accounting knowledge and reporting skills. It may be applied within the accounts or back office section of most financial institutions.</w:t>
            </w:r>
          </w:p>
          <w:p w:rsidR="00000000" w:rsidP="00A30226">
            <w:pPr>
              <w:pStyle w:val="BodyText"/>
              <w:rPr>
                <w:lang w:val="en-NZ"/>
              </w:rPr>
            </w:pPr>
          </w:p>
        </w:tc>
      </w:tr>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BodyText"/>
              <w:rPr>
                <w:lang w:val="en-NZ"/>
              </w:rPr>
            </w:pPr>
            <w:r w:rsidRPr="00A30226">
              <w:t>Unit Sector</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BodyText"/>
            </w:pPr>
            <w:r w:rsidRPr="00A30226">
              <w:t>No sector assigned</w:t>
            </w:r>
          </w:p>
        </w:tc>
      </w:tr>
    </w:tbl>
    <w:p w:rsidR="00000000" w:rsidRPr="00A30226" w:rsidP="00A30226">
      <w:pPr>
        <w:pStyle w:val="BodyText"/>
      </w:pPr>
    </w:p>
    <w:p w:rsidR="00000000" w:rsidRPr="00A30226" w:rsidP="00A30226">
      <w:pPr>
        <w:pStyle w:val="BodyText"/>
      </w:pPr>
    </w:p>
    <w:tbl>
      <w:tblPr>
        <w:tblW w:w="0" w:type="auto"/>
        <w:tblCellMar>
          <w:left w:w="62" w:type="dxa"/>
          <w:right w:w="62" w:type="dxa"/>
        </w:tblCellMar>
        <w:tblLook w:val="0000"/>
      </w:tblPr>
      <w:tblGrid>
        <w:gridCol w:w="3542"/>
        <w:gridCol w:w="5654"/>
      </w:tblGrid>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Heading2"/>
            </w:pPr>
            <w:r w:rsidRPr="00A30226">
              <w:t>ELEMENT</w:t>
            </w:r>
          </w:p>
        </w:tc>
        <w:tc>
          <w:tcPr>
            <w:tcW w:w="0" w:type="auto"/>
            <w:tcBorders>
              <w:top w:val="nil"/>
              <w:left w:val="nil"/>
              <w:bottom w:val="nil"/>
              <w:right w:val="nil"/>
            </w:tcBorders>
            <w:tcMar>
              <w:top w:w="0" w:type="dxa"/>
              <w:left w:w="62" w:type="dxa"/>
              <w:bottom w:w="0" w:type="dxa"/>
              <w:right w:w="62" w:type="dxa"/>
            </w:tcMar>
          </w:tcPr>
          <w:p w:rsidR="00000000" w:rsidP="00A30226">
            <w:pPr>
              <w:pStyle w:val="Heading2"/>
            </w:pPr>
            <w:r w:rsidRPr="00A30226">
              <w:t>PERFORMANCE CRITERIA</w:t>
            </w:r>
          </w:p>
        </w:tc>
      </w:tr>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30226" w:rsidP="00A30226">
            <w:pPr>
              <w:pStyle w:val="List"/>
            </w:pPr>
            <w:r w:rsidRPr="00A30226">
              <w:t>1.</w:t>
            </w:r>
            <w:r w:rsidRPr="00A30226">
              <w:tab/>
            </w:r>
            <w:r w:rsidRPr="00A30226">
              <w:t>Reconcile general ledger accounts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List"/>
            </w:pPr>
            <w:r w:rsidRPr="00A30226">
              <w:t>1.1</w:t>
            </w:r>
            <w:r w:rsidRPr="00A30226">
              <w:tab/>
              <w:t>General ledger is reconciled accurately and regularly to subsidiary ledgers as determined by organisation's policies and procedures</w:t>
            </w:r>
          </w:p>
          <w:p w:rsidR="00000000" w:rsidRPr="00A30226" w:rsidP="00A30226">
            <w:pPr>
              <w:pStyle w:val="List"/>
            </w:pPr>
            <w:r w:rsidRPr="00A30226">
              <w:t>1.2</w:t>
            </w:r>
            <w:r w:rsidRPr="00A30226">
              <w:tab/>
              <w:t xml:space="preserve">Outstanding items on reconciliation are resolved and corrections are made to the </w:t>
            </w:r>
            <w:r w:rsidRPr="00A30226">
              <w:t>relevant accounts to ensure the integrity of the financial systems</w:t>
            </w:r>
          </w:p>
          <w:p w:rsidR="00000000" w:rsidRPr="00A30226" w:rsidP="00A30226">
            <w:pPr>
              <w:pStyle w:val="List"/>
            </w:pPr>
            <w:r w:rsidRPr="00A30226">
              <w:t>1.3</w:t>
            </w:r>
            <w:r w:rsidRPr="00A30226">
              <w:tab/>
              <w:t>Bank accounts are reconciled and suspense accounts are cleared to ensure reliability of the general ledger</w:t>
            </w:r>
          </w:p>
          <w:p w:rsidR="00000000" w:rsidRPr="00A30226" w:rsidP="00A30226">
            <w:pPr>
              <w:pStyle w:val="List"/>
            </w:pPr>
            <w:r w:rsidRPr="00A30226">
              <w:t>1.4</w:t>
            </w:r>
            <w:r w:rsidRPr="00A30226">
              <w:tab/>
              <w:t xml:space="preserve">Completed reconciliation is authorised by appropriate personnel according </w:t>
            </w:r>
            <w:r w:rsidRPr="00A30226">
              <w:t>to organisation's policies and procedures</w:t>
            </w:r>
          </w:p>
          <w:p w:rsidR="00000000" w:rsidP="00A30226">
            <w:pPr>
              <w:pStyle w:val="List"/>
              <w:rPr>
                <w:lang w:val="en-NZ"/>
              </w:rPr>
            </w:pPr>
          </w:p>
        </w:tc>
      </w:tr>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List"/>
              <w:rPr>
                <w:lang w:val="en-NZ"/>
              </w:rPr>
            </w:pPr>
            <w:r w:rsidRPr="00A30226">
              <w:t>2.</w:t>
            </w:r>
            <w:r w:rsidRPr="00A30226">
              <w:tab/>
              <w:t>Reconcile general ledger to related systems</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List"/>
            </w:pPr>
            <w:r w:rsidRPr="00A30226">
              <w:t>2.1</w:t>
            </w:r>
            <w:r w:rsidRPr="00A30226">
              <w:tab/>
              <w:t>Related system entries are processed promptly</w:t>
            </w:r>
          </w:p>
          <w:p w:rsidR="00000000" w:rsidRPr="00A30226" w:rsidP="00A30226">
            <w:pPr>
              <w:pStyle w:val="List"/>
            </w:pPr>
            <w:r w:rsidRPr="00A30226">
              <w:t>2.2</w:t>
            </w:r>
            <w:r w:rsidRPr="00A30226">
              <w:tab/>
              <w:t>Interfaces from related systems are reconciled accurately in accordance with organisation's policies and proced</w:t>
            </w:r>
            <w:r w:rsidRPr="00A30226">
              <w:t>ures</w:t>
            </w:r>
          </w:p>
          <w:p w:rsidR="00000000" w:rsidRPr="00A30226" w:rsidP="00A30226">
            <w:pPr>
              <w:pStyle w:val="List"/>
            </w:pPr>
            <w:r w:rsidRPr="00A30226">
              <w:t>2.3</w:t>
            </w:r>
            <w:r w:rsidRPr="00A30226">
              <w:tab/>
              <w:t>Validity and accuracy of related systems is verified to maintain integrity of accounting systems</w:t>
            </w:r>
          </w:p>
          <w:p w:rsidR="00000000" w:rsidP="00A30226">
            <w:pPr>
              <w:pStyle w:val="List"/>
              <w:rPr>
                <w:lang w:val="en-NZ"/>
              </w:rPr>
            </w:pPr>
          </w:p>
        </w:tc>
      </w:tr>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List"/>
              <w:rPr>
                <w:lang w:val="en-NZ"/>
              </w:rPr>
            </w:pPr>
            <w:r w:rsidRPr="00A30226">
              <w:t>3.</w:t>
            </w:r>
            <w:r w:rsidRPr="00A30226">
              <w:tab/>
              <w:t>Back-up systems</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List"/>
            </w:pPr>
            <w:r w:rsidRPr="00A30226">
              <w:t>3.1</w:t>
            </w:r>
            <w:r w:rsidRPr="00A30226">
              <w:tab/>
              <w:t>System back-up follows organisation schedule precisely</w:t>
            </w:r>
          </w:p>
          <w:p w:rsidR="00000000" w:rsidRPr="00A30226" w:rsidP="00A30226">
            <w:pPr>
              <w:pStyle w:val="List"/>
            </w:pPr>
            <w:r w:rsidRPr="00A30226">
              <w:t>3.2</w:t>
            </w:r>
            <w:r w:rsidRPr="00A30226">
              <w:tab/>
              <w:t>Back-ups are verified and stored in accessible location to protect</w:t>
            </w:r>
            <w:r w:rsidRPr="00A30226">
              <w:t xml:space="preserve"> integrity of system information and in accordance with audit and security requirements</w:t>
            </w:r>
          </w:p>
          <w:p w:rsidR="00000000" w:rsidP="00A30226">
            <w:pPr>
              <w:pStyle w:val="List"/>
              <w:rPr>
                <w:lang w:val="en-NZ"/>
              </w:rPr>
            </w:pPr>
          </w:p>
        </w:tc>
      </w:tr>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List"/>
              <w:rPr>
                <w:lang w:val="en-NZ"/>
              </w:rPr>
            </w:pPr>
            <w:r w:rsidRPr="00A30226">
              <w:t>4.</w:t>
            </w:r>
            <w:r w:rsidRPr="00A30226">
              <w:tab/>
              <w:t>Monitor and review integrity of financial systems</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List"/>
            </w:pPr>
            <w:r w:rsidRPr="00A30226">
              <w:t>4.1</w:t>
            </w:r>
            <w:r w:rsidRPr="00A30226">
              <w:tab/>
              <w:t>Processes are established to regularly monitor financial systems to ensure reliability, integrity and complia</w:t>
            </w:r>
            <w:r w:rsidRPr="00A30226">
              <w:t>nce with relevant regulations</w:t>
            </w:r>
          </w:p>
          <w:p w:rsidR="00000000" w:rsidRPr="00A30226" w:rsidP="00A30226">
            <w:pPr>
              <w:pStyle w:val="List"/>
            </w:pPr>
            <w:r w:rsidRPr="00A30226">
              <w:t>4.2</w:t>
            </w:r>
            <w:r w:rsidRPr="00A30226">
              <w:tab/>
              <w:t>Variations from organisation's policies and procedures are identified and assessed to determine impact on financial system and actions required</w:t>
            </w:r>
          </w:p>
          <w:p w:rsidR="00000000" w:rsidRPr="00A30226" w:rsidP="00A30226">
            <w:pPr>
              <w:pStyle w:val="List"/>
            </w:pPr>
            <w:r w:rsidRPr="00A30226">
              <w:t>4.3</w:t>
            </w:r>
            <w:r w:rsidRPr="00A30226">
              <w:tab/>
            </w:r>
            <w:r w:rsidRPr="00A30226">
              <w:t>User feedback is encouraged and reviewed to determine impact on financial system and actions required</w:t>
            </w:r>
          </w:p>
          <w:p w:rsidR="00000000" w:rsidP="00A30226">
            <w:pPr>
              <w:pStyle w:val="List"/>
              <w:rPr>
                <w:lang w:val="en-NZ"/>
              </w:rPr>
            </w:pPr>
          </w:p>
        </w:tc>
      </w:tr>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List"/>
              <w:rPr>
                <w:lang w:val="en-NZ"/>
              </w:rPr>
            </w:pPr>
            <w:r w:rsidRPr="00A30226">
              <w:t>5.</w:t>
            </w:r>
            <w:r w:rsidRPr="00A30226">
              <w:tab/>
              <w:t>Update systems for management requirements and regulations</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List"/>
            </w:pPr>
            <w:r w:rsidRPr="00A30226">
              <w:t>5.1</w:t>
            </w:r>
            <w:r w:rsidRPr="00A30226">
              <w:tab/>
              <w:t>Estimates of costs associated with changes are made in order to assess cost effectiven</w:t>
            </w:r>
            <w:r w:rsidRPr="00A30226">
              <w:t>ess</w:t>
            </w:r>
          </w:p>
          <w:p w:rsidR="00000000" w:rsidRPr="00A30226" w:rsidP="00A30226">
            <w:pPr>
              <w:pStyle w:val="List"/>
            </w:pPr>
            <w:r w:rsidRPr="00A30226">
              <w:t>5.2</w:t>
            </w:r>
            <w:r w:rsidRPr="00A30226">
              <w:tab/>
              <w:t>System updates are tested to ensure they reflect changed requirements</w:t>
            </w:r>
          </w:p>
          <w:p w:rsidR="00000000" w:rsidRPr="00A30226" w:rsidP="00A30226">
            <w:pPr>
              <w:pStyle w:val="List"/>
            </w:pPr>
            <w:r w:rsidRPr="00A30226">
              <w:t>5.3</w:t>
            </w:r>
            <w:r w:rsidRPr="00A30226">
              <w:tab/>
              <w:t>Update is comprehensive and maintains integrity of accounting systems</w:t>
            </w:r>
          </w:p>
          <w:p w:rsidR="00000000" w:rsidRPr="00A30226" w:rsidP="00A30226">
            <w:pPr>
              <w:pStyle w:val="List"/>
            </w:pPr>
            <w:r w:rsidRPr="00A30226">
              <w:t>5.4</w:t>
            </w:r>
            <w:r w:rsidRPr="00A30226">
              <w:tab/>
              <w:t>Changes are applied consistently to all affected systems to ensure report information remains valid</w:t>
            </w:r>
          </w:p>
          <w:p w:rsidR="00000000" w:rsidRPr="00A30226" w:rsidP="00A30226">
            <w:pPr>
              <w:pStyle w:val="List"/>
            </w:pPr>
            <w:r w:rsidRPr="00A30226">
              <w:t>5.5</w:t>
            </w:r>
            <w:r w:rsidRPr="00A30226">
              <w:tab/>
              <w:t>Changed or updated documentation is circulated without delay to ensure all relevant parties are fully informed of variations</w:t>
            </w:r>
          </w:p>
          <w:p w:rsidR="00000000" w:rsidRPr="00A30226" w:rsidP="00A30226">
            <w:pPr>
              <w:pStyle w:val="List"/>
            </w:pPr>
          </w:p>
        </w:tc>
      </w:tr>
    </w:tbl>
    <w:p w:rsidR="00000000" w:rsidRPr="00A30226" w:rsidP="00A30226">
      <w:pPr>
        <w:pStyle w:val="BodyText"/>
      </w:pPr>
    </w:p>
    <w:p w:rsidR="00000000" w:rsidRPr="00A30226" w:rsidP="00A30226">
      <w:pPr>
        <w:pStyle w:val="Heading2"/>
      </w:pPr>
      <w:r w:rsidRPr="00A30226">
        <w:t>REQUIRED SKILLS AND KNOWLEDGE</w:t>
      </w:r>
    </w:p>
    <w:p w:rsidR="00000000" w:rsidRPr="00A30226" w:rsidP="00A30226">
      <w:pPr>
        <w:pStyle w:val="BodyText"/>
      </w:pPr>
    </w:p>
    <w:p w:rsidR="00000000" w:rsidRPr="00A30226" w:rsidP="00A30226">
      <w:pPr>
        <w:pStyle w:val="BodyText"/>
      </w:pPr>
      <w:r w:rsidRPr="00A30226">
        <w:t>This describes the essential skills and knowledge and their level, required for this unit.</w:t>
      </w:r>
    </w:p>
    <w:p w:rsidR="00000000" w:rsidRPr="00A30226" w:rsidP="00A30226">
      <w:pPr>
        <w:pStyle w:val="BodyText"/>
      </w:pPr>
    </w:p>
    <w:tbl>
      <w:tblPr>
        <w:tblW w:w="0" w:type="auto"/>
        <w:tblCellMar>
          <w:left w:w="62" w:type="dxa"/>
          <w:right w:w="62" w:type="dxa"/>
        </w:tblCellMar>
        <w:tblLook w:val="0000"/>
      </w:tblPr>
      <w:tblGrid>
        <w:gridCol w:w="3496"/>
        <w:gridCol w:w="5700"/>
      </w:tblGrid>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BodyText"/>
              <w:rPr>
                <w:lang w:val="en-NZ"/>
              </w:rPr>
            </w:pPr>
            <w:r w:rsidRPr="00A30226">
              <w:t>K</w:t>
            </w:r>
            <w:r w:rsidRPr="00A30226">
              <w:t>nowledge requirements include:</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List"/>
            </w:pPr>
            <w:r w:rsidRPr="00A30226">
              <w:t>•</w:t>
            </w:r>
            <w:r w:rsidRPr="00A30226">
              <w:tab/>
              <w:t>accounting principles and practices</w:t>
            </w:r>
          </w:p>
          <w:p w:rsidR="00000000" w:rsidRPr="00A30226" w:rsidP="00A30226">
            <w:pPr>
              <w:pStyle w:val="List"/>
            </w:pPr>
            <w:r w:rsidRPr="00A30226">
              <w:t>•</w:t>
            </w:r>
            <w:r w:rsidRPr="00A30226">
              <w:tab/>
              <w:t>use of financial spreadsheets</w:t>
            </w:r>
          </w:p>
          <w:p w:rsidR="00000000" w:rsidRPr="00A30226" w:rsidP="00A30226">
            <w:pPr>
              <w:pStyle w:val="List"/>
            </w:pPr>
            <w:r w:rsidRPr="00A30226">
              <w:t>•</w:t>
            </w:r>
            <w:r w:rsidRPr="00A30226">
              <w:tab/>
              <w:t>systems knowledge and familiarity</w:t>
            </w:r>
          </w:p>
          <w:p w:rsidR="00000000" w:rsidRPr="00A30226" w:rsidP="00A30226">
            <w:pPr>
              <w:pStyle w:val="List"/>
            </w:pPr>
            <w:r w:rsidRPr="00A30226">
              <w:t>•</w:t>
            </w:r>
            <w:r w:rsidRPr="00A30226">
              <w:tab/>
            </w:r>
            <w:r w:rsidRPr="00A30226">
              <w:t>introductory knowledge of the finance industry, accounting principles, business communication, business law and business accounting</w:t>
            </w:r>
          </w:p>
          <w:p w:rsidR="00000000" w:rsidRPr="00A30226" w:rsidP="00A30226">
            <w:pPr>
              <w:pStyle w:val="List"/>
            </w:pPr>
            <w:r w:rsidRPr="00A30226">
              <w:t>•</w:t>
            </w:r>
            <w:r w:rsidRPr="00A30226">
              <w:tab/>
              <w:t>knowledge of working environment</w:t>
            </w:r>
          </w:p>
          <w:p w:rsidR="00000000" w:rsidRPr="00A30226" w:rsidP="00A30226">
            <w:pPr>
              <w:pStyle w:val="List"/>
            </w:pPr>
            <w:r w:rsidRPr="00A30226">
              <w:t>•</w:t>
            </w:r>
            <w:r w:rsidRPr="00A30226">
              <w:tab/>
              <w:t>information technology</w:t>
            </w:r>
          </w:p>
          <w:p w:rsidR="00000000" w:rsidP="00A30226">
            <w:pPr>
              <w:pStyle w:val="List"/>
              <w:rPr>
                <w:lang w:val="en-NZ"/>
              </w:rPr>
            </w:pPr>
          </w:p>
        </w:tc>
      </w:tr>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BodyText"/>
              <w:rPr>
                <w:lang w:val="en-NZ"/>
              </w:rPr>
            </w:pPr>
            <w:r w:rsidRPr="00A30226">
              <w:t>Skills requirements include:</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List"/>
            </w:pPr>
            <w:r w:rsidRPr="00A30226">
              <w:t>•</w:t>
            </w:r>
            <w:r w:rsidRPr="00A30226">
              <w:tab/>
              <w:t>accounting and financial manage</w:t>
            </w:r>
            <w:r w:rsidRPr="00A30226">
              <w:t>ment skills</w:t>
            </w:r>
          </w:p>
          <w:p w:rsidR="00000000" w:rsidRPr="00A30226" w:rsidP="00A30226">
            <w:pPr>
              <w:pStyle w:val="List"/>
            </w:pPr>
            <w:r w:rsidRPr="00A30226">
              <w:t>•</w:t>
            </w:r>
            <w:r w:rsidRPr="00A30226">
              <w:tab/>
              <w:t>skills in using financial spreadsheets</w:t>
            </w:r>
          </w:p>
          <w:p w:rsidR="00000000" w:rsidRPr="00A30226" w:rsidP="00A30226">
            <w:pPr>
              <w:pStyle w:val="List"/>
            </w:pPr>
            <w:r w:rsidRPr="00A30226">
              <w:t>•</w:t>
            </w:r>
            <w:r w:rsidRPr="00A30226">
              <w:tab/>
              <w:t>reporting skills</w:t>
            </w:r>
          </w:p>
          <w:p w:rsidR="00000000" w:rsidRPr="00A30226" w:rsidP="00A30226">
            <w:pPr>
              <w:pStyle w:val="List"/>
            </w:pPr>
            <w:r w:rsidRPr="00A30226">
              <w:t>•</w:t>
            </w:r>
            <w:r w:rsidRPr="00A30226">
              <w:tab/>
              <w:t>system back-up skills</w:t>
            </w:r>
          </w:p>
          <w:p w:rsidR="00000000" w:rsidRPr="00A30226" w:rsidP="00A30226">
            <w:pPr>
              <w:pStyle w:val="List"/>
            </w:pPr>
            <w:r w:rsidRPr="00A30226">
              <w:t>•</w:t>
            </w:r>
            <w:r w:rsidRPr="00A30226">
              <w:tab/>
              <w:t>financial modelling skills</w:t>
            </w:r>
          </w:p>
          <w:p w:rsidR="00000000" w:rsidRPr="00A30226" w:rsidP="00A30226">
            <w:pPr>
              <w:pStyle w:val="List"/>
            </w:pPr>
            <w:r w:rsidRPr="00A30226">
              <w:t>•</w:t>
            </w:r>
            <w:r w:rsidRPr="00A30226">
              <w:tab/>
              <w:t>written and verbal communication skills</w:t>
            </w:r>
          </w:p>
          <w:p w:rsidR="00000000" w:rsidRPr="00A30226" w:rsidP="00A30226">
            <w:pPr>
              <w:pStyle w:val="List"/>
            </w:pPr>
            <w:r w:rsidRPr="00A30226">
              <w:t>•</w:t>
            </w:r>
            <w:r w:rsidRPr="00A30226">
              <w:tab/>
              <w:t>analytical skills</w:t>
            </w:r>
          </w:p>
          <w:p w:rsidR="00000000" w:rsidRPr="00A30226" w:rsidP="00A30226">
            <w:pPr>
              <w:pStyle w:val="List"/>
            </w:pPr>
            <w:r w:rsidRPr="00A30226">
              <w:t>•</w:t>
            </w:r>
            <w:r w:rsidRPr="00A30226">
              <w:tab/>
              <w:t>problem solving skills</w:t>
            </w:r>
          </w:p>
          <w:p w:rsidR="00000000" w:rsidRPr="00A30226" w:rsidP="00A30226">
            <w:pPr>
              <w:pStyle w:val="List"/>
            </w:pPr>
            <w:r w:rsidRPr="00A30226">
              <w:t>•</w:t>
            </w:r>
            <w:r w:rsidRPr="00A30226">
              <w:tab/>
              <w:t>numeracy skills</w:t>
            </w:r>
          </w:p>
          <w:p w:rsidR="00000000" w:rsidRPr="00A30226" w:rsidP="00A30226">
            <w:pPr>
              <w:pStyle w:val="List"/>
            </w:pPr>
            <w:r w:rsidRPr="00A30226">
              <w:t>•</w:t>
            </w:r>
            <w:r w:rsidRPr="00A30226">
              <w:tab/>
              <w:t xml:space="preserve">planning and organising </w:t>
            </w:r>
            <w:r w:rsidRPr="00A30226">
              <w:t>skills</w:t>
            </w:r>
          </w:p>
          <w:p w:rsidR="00000000" w:rsidRPr="00A30226" w:rsidP="00A30226">
            <w:pPr>
              <w:pStyle w:val="List"/>
            </w:pPr>
            <w:r w:rsidRPr="00A30226">
              <w:t>•</w:t>
            </w:r>
            <w:r w:rsidRPr="00A30226">
              <w:tab/>
              <w:t>monitoring skills</w:t>
            </w:r>
          </w:p>
          <w:p w:rsidR="00000000" w:rsidRPr="00A30226" w:rsidP="00A30226">
            <w:pPr>
              <w:pStyle w:val="List"/>
            </w:pPr>
          </w:p>
        </w:tc>
      </w:tr>
    </w:tbl>
    <w:p w:rsidR="00000000" w:rsidRPr="00A30226" w:rsidP="00A30226">
      <w:pPr>
        <w:pStyle w:val="BodyText"/>
      </w:pPr>
    </w:p>
    <w:p w:rsidR="00000000" w:rsidRPr="00A30226" w:rsidP="00A30226">
      <w:pPr>
        <w:pStyle w:val="AllowPageBreak"/>
      </w:pPr>
    </w:p>
    <w:p w:rsidR="00000000" w:rsidRPr="00A30226" w:rsidP="00A30226">
      <w:pPr>
        <w:pStyle w:val="Heading1"/>
      </w:pPr>
      <w:bookmarkStart w:id="3" w:name="O_385258"/>
      <w:bookmarkEnd w:id="3"/>
      <w:r w:rsidRPr="00A30226">
        <w:t>RANGE STATEMENT</w:t>
      </w:r>
    </w:p>
    <w:p w:rsidR="00000000" w:rsidRPr="00A30226" w:rsidP="00A30226">
      <w:pPr>
        <w:pStyle w:val="BodyText"/>
      </w:pPr>
    </w:p>
    <w:p w:rsidR="00000000" w:rsidRPr="00A30226" w:rsidP="00A30226">
      <w:pPr>
        <w:pStyle w:val="BodyText"/>
      </w:pPr>
      <w:r w:rsidRPr="00A30226">
        <w:t>The range statement relates to the unit of competency as a whole. It allows for different work environments and situations that will affect performance.</w:t>
      </w:r>
    </w:p>
    <w:p w:rsidR="00000000" w:rsidRPr="00A30226" w:rsidP="00A30226">
      <w:pPr>
        <w:pStyle w:val="BodyText"/>
      </w:pPr>
    </w:p>
    <w:p w:rsidR="00000000" w:rsidRPr="00A30226" w:rsidP="00A30226">
      <w:pPr>
        <w:pStyle w:val="BodyText"/>
      </w:pPr>
      <w:r w:rsidRPr="00A30226">
        <w:t>The following variables may be present with training and assessment depending on the work situation, needs of the candidate, accessibility of the item, and local industry and regional contexts. If bold italicised text is shown in Performance Criteria, deta</w:t>
      </w:r>
      <w:r w:rsidRPr="00A30226">
        <w:t>ils of the text are provided in the Range Statement.</w:t>
      </w:r>
    </w:p>
    <w:p w:rsidR="00000000" w:rsidRPr="00A30226" w:rsidP="00A30226">
      <w:pPr>
        <w:pStyle w:val="BodyText"/>
      </w:pPr>
    </w:p>
    <w:tbl>
      <w:tblPr>
        <w:tblW w:w="0" w:type="auto"/>
        <w:tblCellMar>
          <w:left w:w="62" w:type="dxa"/>
          <w:right w:w="62" w:type="dxa"/>
        </w:tblCellMar>
        <w:tblLook w:val="0000"/>
      </w:tblPr>
      <w:tblGrid>
        <w:gridCol w:w="3609"/>
        <w:gridCol w:w="5587"/>
      </w:tblGrid>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BodyText"/>
              <w:rPr>
                <w:lang w:val="en-NZ"/>
              </w:rPr>
            </w:pPr>
            <w:r w:rsidRPr="00A30226">
              <w:t>Organisation policies and procedures may include:</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List"/>
            </w:pPr>
            <w:r w:rsidRPr="00A30226">
              <w:t>•</w:t>
            </w:r>
            <w:r w:rsidRPr="00A30226">
              <w:tab/>
              <w:t>operations manuals</w:t>
            </w:r>
          </w:p>
          <w:p w:rsidR="00000000" w:rsidRPr="00A30226" w:rsidP="00A30226">
            <w:pPr>
              <w:pStyle w:val="List"/>
            </w:pPr>
            <w:r w:rsidRPr="00A30226">
              <w:t>•</w:t>
            </w:r>
            <w:r w:rsidRPr="00A30226">
              <w:tab/>
              <w:t>internal control guidelines</w:t>
            </w:r>
          </w:p>
          <w:p w:rsidR="00000000" w:rsidRPr="00A30226" w:rsidP="00A30226">
            <w:pPr>
              <w:pStyle w:val="List"/>
            </w:pPr>
            <w:r w:rsidRPr="00A30226">
              <w:t>•</w:t>
            </w:r>
            <w:r w:rsidRPr="00A30226">
              <w:tab/>
              <w:t>computer system documentation</w:t>
            </w:r>
          </w:p>
          <w:p w:rsidR="00000000" w:rsidP="00A30226">
            <w:pPr>
              <w:pStyle w:val="List"/>
              <w:rPr>
                <w:lang w:val="en-NZ"/>
              </w:rPr>
            </w:pPr>
          </w:p>
        </w:tc>
      </w:tr>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BodyText"/>
              <w:rPr>
                <w:lang w:val="en-NZ"/>
              </w:rPr>
            </w:pPr>
            <w:r w:rsidRPr="00A30226">
              <w:t>Appropriate personnel may include:</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List"/>
            </w:pPr>
            <w:r w:rsidRPr="00A30226">
              <w:t>•</w:t>
            </w:r>
            <w:r w:rsidRPr="00A30226">
              <w:tab/>
              <w:t>accounting personnel</w:t>
            </w:r>
          </w:p>
          <w:p w:rsidR="00000000" w:rsidRPr="00A30226" w:rsidP="00A30226">
            <w:pPr>
              <w:pStyle w:val="List"/>
            </w:pPr>
            <w:r w:rsidRPr="00A30226">
              <w:t>•</w:t>
            </w:r>
            <w:r w:rsidRPr="00A30226">
              <w:tab/>
            </w:r>
            <w:r w:rsidRPr="00A30226">
              <w:t>business unit or departmental managers</w:t>
            </w:r>
          </w:p>
          <w:p w:rsidR="00000000" w:rsidP="00A30226">
            <w:pPr>
              <w:pStyle w:val="List"/>
              <w:rPr>
                <w:lang w:val="en-NZ"/>
              </w:rPr>
            </w:pPr>
          </w:p>
        </w:tc>
      </w:tr>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BodyText"/>
              <w:rPr>
                <w:lang w:val="en-NZ"/>
              </w:rPr>
            </w:pPr>
            <w:r w:rsidRPr="00A30226">
              <w:t>Related systems may include:</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List"/>
            </w:pPr>
            <w:r w:rsidRPr="00A30226">
              <w:t>•</w:t>
            </w:r>
            <w:r w:rsidRPr="00A30226">
              <w:tab/>
              <w:t>suspense accounts</w:t>
            </w:r>
          </w:p>
          <w:p w:rsidR="00000000" w:rsidRPr="00A30226" w:rsidP="00A30226">
            <w:pPr>
              <w:pStyle w:val="List"/>
            </w:pPr>
            <w:r w:rsidRPr="00A30226">
              <w:t>•</w:t>
            </w:r>
            <w:r w:rsidRPr="00A30226">
              <w:tab/>
              <w:t>cost centre accounts</w:t>
            </w:r>
          </w:p>
          <w:p w:rsidR="00000000" w:rsidRPr="00A30226" w:rsidP="00A30226">
            <w:pPr>
              <w:pStyle w:val="List"/>
            </w:pPr>
            <w:r w:rsidRPr="00A30226">
              <w:t>•</w:t>
            </w:r>
            <w:r w:rsidRPr="00A30226">
              <w:tab/>
              <w:t>investments register</w:t>
            </w:r>
          </w:p>
          <w:p w:rsidR="00000000" w:rsidP="00A30226">
            <w:pPr>
              <w:pStyle w:val="List"/>
              <w:rPr>
                <w:lang w:val="en-NZ"/>
              </w:rPr>
            </w:pPr>
          </w:p>
        </w:tc>
      </w:tr>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BodyText"/>
              <w:rPr>
                <w:lang w:val="en-NZ"/>
              </w:rPr>
            </w:pPr>
            <w:r w:rsidRPr="00A30226">
              <w:t>Back-up schedules may be:</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List"/>
            </w:pPr>
            <w:r w:rsidRPr="00A30226">
              <w:t>•</w:t>
            </w:r>
            <w:r w:rsidRPr="00A30226">
              <w:tab/>
              <w:t>daily, weekly or monthly</w:t>
            </w:r>
          </w:p>
          <w:p w:rsidR="00000000" w:rsidRPr="00A30226" w:rsidP="00A30226">
            <w:pPr>
              <w:pStyle w:val="List"/>
            </w:pPr>
            <w:r w:rsidRPr="00A30226">
              <w:t>•</w:t>
            </w:r>
            <w:r w:rsidRPr="00A30226">
              <w:tab/>
              <w:t>usually prescribed in organisation's procedures/system operatio</w:t>
            </w:r>
            <w:r w:rsidRPr="00A30226">
              <w:t>nal procedures</w:t>
            </w:r>
          </w:p>
          <w:p w:rsidR="00000000" w:rsidP="00A30226">
            <w:pPr>
              <w:pStyle w:val="List"/>
              <w:rPr>
                <w:lang w:val="en-NZ"/>
              </w:rPr>
            </w:pPr>
          </w:p>
        </w:tc>
      </w:tr>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BodyText"/>
              <w:rPr>
                <w:lang w:val="en-NZ"/>
              </w:rPr>
            </w:pPr>
            <w:r w:rsidRPr="00A30226">
              <w:t>Management requirements and regulations may include:</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List"/>
            </w:pPr>
            <w:r w:rsidRPr="00A30226">
              <w:t>•</w:t>
            </w:r>
            <w:r w:rsidRPr="00A30226">
              <w:tab/>
              <w:t>authority levels, classification systems, cost centre definitions, new expenditure accounts, reinsurance returns, audit trails</w:t>
            </w:r>
          </w:p>
          <w:p w:rsidR="00000000" w:rsidP="00A30226">
            <w:pPr>
              <w:pStyle w:val="List"/>
              <w:rPr>
                <w:lang w:val="en-NZ"/>
              </w:rPr>
            </w:pPr>
          </w:p>
        </w:tc>
      </w:tr>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BodyText"/>
              <w:rPr>
                <w:lang w:val="en-NZ"/>
              </w:rPr>
            </w:pPr>
            <w:r w:rsidRPr="00A30226">
              <w:t>Feedback may be obtained from:</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List"/>
            </w:pPr>
            <w:r w:rsidRPr="00A30226">
              <w:t>•</w:t>
            </w:r>
            <w:r w:rsidRPr="00A30226">
              <w:tab/>
              <w:t>other ac</w:t>
            </w:r>
            <w:r w:rsidRPr="00A30226">
              <w:t>counting personnel</w:t>
            </w:r>
          </w:p>
          <w:p w:rsidR="00000000" w:rsidRPr="00A30226" w:rsidP="00A30226">
            <w:pPr>
              <w:pStyle w:val="List"/>
            </w:pPr>
            <w:r w:rsidRPr="00A30226">
              <w:t>•</w:t>
            </w:r>
            <w:r w:rsidRPr="00A30226">
              <w:tab/>
              <w:t>managers and organisational staff using financial systems</w:t>
            </w:r>
          </w:p>
          <w:p w:rsidR="00000000" w:rsidP="00A30226">
            <w:pPr>
              <w:pStyle w:val="List"/>
              <w:rPr>
                <w:lang w:val="en-NZ"/>
              </w:rPr>
            </w:pPr>
          </w:p>
        </w:tc>
      </w:tr>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BodyText"/>
              <w:rPr>
                <w:lang w:val="en-NZ"/>
              </w:rPr>
            </w:pPr>
            <w:r w:rsidRPr="00A30226">
              <w:t>Relevant parties may include:</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List"/>
            </w:pPr>
            <w:r w:rsidRPr="00A30226">
              <w:t>•</w:t>
            </w:r>
            <w:r w:rsidRPr="00A30226">
              <w:tab/>
              <w:t>management</w:t>
            </w:r>
          </w:p>
          <w:p w:rsidR="00000000" w:rsidRPr="00A30226" w:rsidP="00A30226">
            <w:pPr>
              <w:pStyle w:val="List"/>
            </w:pPr>
            <w:r w:rsidRPr="00A30226">
              <w:t>•</w:t>
            </w:r>
            <w:r w:rsidRPr="00A30226">
              <w:tab/>
              <w:t>other accounting personnel and organisational staff</w:t>
            </w:r>
          </w:p>
          <w:p w:rsidR="00000000" w:rsidP="00A30226">
            <w:pPr>
              <w:pStyle w:val="List"/>
              <w:rPr>
                <w:lang w:val="en-NZ"/>
              </w:rPr>
            </w:pPr>
          </w:p>
        </w:tc>
      </w:tr>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BodyText"/>
              <w:rPr>
                <w:lang w:val="en-NZ"/>
              </w:rPr>
            </w:pPr>
            <w:r w:rsidRPr="00A30226">
              <w:t>Relevant legislation may include:</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List"/>
            </w:pPr>
            <w:r w:rsidRPr="00A30226">
              <w:t>•</w:t>
            </w:r>
            <w:r w:rsidRPr="00A30226">
              <w:tab/>
              <w:t>Consumer</w:t>
            </w:r>
          </w:p>
          <w:p w:rsidR="00000000" w:rsidRPr="00A30226" w:rsidP="00A30226">
            <w:pPr>
              <w:pStyle w:val="List2"/>
            </w:pPr>
            <w:r w:rsidRPr="00A30226">
              <w:t>•</w:t>
            </w:r>
            <w:r w:rsidRPr="00A30226">
              <w:tab/>
              <w:t>Consumer Credit Code</w:t>
            </w:r>
          </w:p>
          <w:p w:rsidR="00000000" w:rsidRPr="00A30226" w:rsidP="00A30226">
            <w:pPr>
              <w:pStyle w:val="List2"/>
            </w:pPr>
            <w:r w:rsidRPr="00A30226">
              <w:t>•</w:t>
            </w:r>
            <w:r w:rsidRPr="00A30226">
              <w:tab/>
              <w:t>Privac</w:t>
            </w:r>
            <w:r w:rsidRPr="00A30226">
              <w:t>y Act</w:t>
            </w:r>
          </w:p>
          <w:p w:rsidR="00000000" w:rsidRPr="00A30226" w:rsidP="00A30226">
            <w:pPr>
              <w:pStyle w:val="List2"/>
            </w:pPr>
            <w:r w:rsidRPr="00A30226">
              <w:t>•</w:t>
            </w:r>
            <w:r w:rsidRPr="00A30226">
              <w:tab/>
              <w:t>Secrecy Laws</w:t>
            </w:r>
          </w:p>
          <w:p w:rsidR="00000000" w:rsidRPr="00A30226" w:rsidP="00A30226">
            <w:pPr>
              <w:pStyle w:val="List2"/>
            </w:pPr>
            <w:r w:rsidRPr="00A30226">
              <w:t>•</w:t>
            </w:r>
            <w:r w:rsidRPr="00A30226">
              <w:tab/>
              <w:t>codes of practice</w:t>
            </w:r>
          </w:p>
          <w:p w:rsidR="00000000" w:rsidRPr="00A30226" w:rsidP="00A30226">
            <w:pPr>
              <w:pStyle w:val="List"/>
            </w:pPr>
            <w:r w:rsidRPr="00A30226">
              <w:t>•</w:t>
            </w:r>
            <w:r w:rsidRPr="00A30226">
              <w:tab/>
              <w:t>Competition</w:t>
            </w:r>
          </w:p>
          <w:p w:rsidR="00000000" w:rsidRPr="00A30226" w:rsidP="00A30226">
            <w:pPr>
              <w:pStyle w:val="List"/>
            </w:pPr>
            <w:r w:rsidRPr="00A30226">
              <w:t>•</w:t>
            </w:r>
            <w:r w:rsidRPr="00A30226">
              <w:tab/>
              <w:t>Australian Competition and Consumer Commission (ACCC)</w:t>
            </w:r>
          </w:p>
          <w:p w:rsidR="00000000" w:rsidRPr="00A30226" w:rsidP="00A30226">
            <w:pPr>
              <w:pStyle w:val="List"/>
            </w:pPr>
            <w:r w:rsidRPr="00A30226">
              <w:t>•</w:t>
            </w:r>
            <w:r w:rsidRPr="00A30226">
              <w:tab/>
              <w:t>Prudential</w:t>
            </w:r>
          </w:p>
          <w:p w:rsidR="00000000" w:rsidRPr="00A30226" w:rsidP="00A30226">
            <w:pPr>
              <w:pStyle w:val="List2"/>
            </w:pPr>
            <w:r w:rsidRPr="00A30226">
              <w:t>•</w:t>
            </w:r>
            <w:r w:rsidRPr="00A30226">
              <w:tab/>
              <w:t>Financial Institutions (FI) Code of Conduct</w:t>
            </w:r>
          </w:p>
          <w:p w:rsidR="00000000" w:rsidRPr="00A30226" w:rsidP="00A30226">
            <w:pPr>
              <w:pStyle w:val="List2"/>
            </w:pPr>
            <w:r w:rsidRPr="00A30226">
              <w:t>•</w:t>
            </w:r>
            <w:r w:rsidRPr="00A30226">
              <w:tab/>
              <w:t>Credit Reference Association of Australia (CRAA)</w:t>
            </w:r>
          </w:p>
          <w:p w:rsidR="00000000" w:rsidRPr="00A30226" w:rsidP="00A30226">
            <w:pPr>
              <w:pStyle w:val="List2"/>
            </w:pPr>
            <w:r w:rsidRPr="00A30226">
              <w:t>•</w:t>
            </w:r>
            <w:r w:rsidRPr="00A30226">
              <w:tab/>
            </w:r>
            <w:r w:rsidRPr="00A30226">
              <w:t>Electronic Funds Transfer (EFT) Code of Conduct</w:t>
            </w:r>
          </w:p>
          <w:p w:rsidR="00000000" w:rsidRPr="00A30226" w:rsidP="00A30226">
            <w:pPr>
              <w:pStyle w:val="List2"/>
            </w:pPr>
            <w:r w:rsidRPr="00A30226">
              <w:t>•</w:t>
            </w:r>
            <w:r w:rsidRPr="00A30226">
              <w:tab/>
              <w:t>Financial Transaction reports Act</w:t>
            </w:r>
          </w:p>
          <w:p w:rsidR="00000000" w:rsidRPr="00A30226" w:rsidP="00A30226">
            <w:pPr>
              <w:pStyle w:val="List2"/>
            </w:pPr>
            <w:r w:rsidRPr="00A30226">
              <w:t>•</w:t>
            </w:r>
            <w:r w:rsidRPr="00A30226">
              <w:tab/>
              <w:t>Cheques and Payment Orders act</w:t>
            </w:r>
          </w:p>
          <w:p w:rsidR="00000000" w:rsidRPr="00A30226" w:rsidP="00A30226">
            <w:pPr>
              <w:pStyle w:val="List2"/>
            </w:pPr>
            <w:r w:rsidRPr="00A30226">
              <w:t>•</w:t>
            </w:r>
            <w:r w:rsidRPr="00A30226">
              <w:tab/>
              <w:t>Corporate Law</w:t>
            </w:r>
          </w:p>
          <w:p w:rsidR="00000000" w:rsidRPr="00A30226" w:rsidP="00A30226">
            <w:pPr>
              <w:pStyle w:val="List2"/>
            </w:pPr>
            <w:r w:rsidRPr="00A30226">
              <w:t>•</w:t>
            </w:r>
            <w:r w:rsidRPr="00A30226">
              <w:tab/>
              <w:t>Commercial Tenancies Act</w:t>
            </w:r>
          </w:p>
          <w:p w:rsidR="00000000" w:rsidRPr="00A30226" w:rsidP="00A30226">
            <w:pPr>
              <w:pStyle w:val="List2"/>
            </w:pPr>
            <w:r w:rsidRPr="00A30226">
              <w:t>•</w:t>
            </w:r>
            <w:r w:rsidRPr="00A30226">
              <w:tab/>
              <w:t>Land Tax Assessment Act</w:t>
            </w:r>
          </w:p>
          <w:p w:rsidR="00000000" w:rsidRPr="00A30226" w:rsidP="00A30226">
            <w:pPr>
              <w:pStyle w:val="List2"/>
            </w:pPr>
            <w:r w:rsidRPr="00A30226">
              <w:t>•</w:t>
            </w:r>
            <w:r w:rsidRPr="00A30226">
              <w:tab/>
              <w:t>Prescribed Payments Act</w:t>
            </w:r>
          </w:p>
          <w:p w:rsidR="00000000" w:rsidRPr="00A30226" w:rsidP="00A30226">
            <w:pPr>
              <w:pStyle w:val="List2"/>
            </w:pPr>
            <w:r w:rsidRPr="00A30226">
              <w:t>•</w:t>
            </w:r>
            <w:r w:rsidRPr="00A30226">
              <w:tab/>
              <w:t>Payroll Tax Assessment Act</w:t>
            </w:r>
          </w:p>
          <w:p w:rsidR="00000000" w:rsidRPr="00A30226" w:rsidP="00A30226">
            <w:pPr>
              <w:pStyle w:val="List2"/>
            </w:pPr>
            <w:r w:rsidRPr="00A30226">
              <w:t>•</w:t>
            </w:r>
            <w:r w:rsidRPr="00A30226">
              <w:tab/>
              <w:t xml:space="preserve">Stamp Duties </w:t>
            </w:r>
            <w:r w:rsidRPr="00A30226">
              <w:t>Act</w:t>
            </w:r>
          </w:p>
          <w:p w:rsidR="00000000" w:rsidRPr="00A30226" w:rsidP="00A30226">
            <w:pPr>
              <w:pStyle w:val="List2"/>
            </w:pPr>
            <w:r w:rsidRPr="00A30226">
              <w:t>•</w:t>
            </w:r>
            <w:r w:rsidRPr="00A30226">
              <w:tab/>
              <w:t>Taxation Assessment Act</w:t>
            </w:r>
          </w:p>
          <w:p w:rsidR="00000000" w:rsidRPr="00A30226" w:rsidP="00A30226">
            <w:pPr>
              <w:pStyle w:val="List2"/>
            </w:pPr>
            <w:r w:rsidRPr="00A30226">
              <w:t>•</w:t>
            </w:r>
            <w:r w:rsidRPr="00A30226">
              <w:tab/>
              <w:t>Bills of Exchange Act</w:t>
            </w:r>
          </w:p>
          <w:p w:rsidR="00000000" w:rsidRPr="00A30226" w:rsidP="00A30226">
            <w:pPr>
              <w:pStyle w:val="List"/>
            </w:pPr>
          </w:p>
        </w:tc>
      </w:tr>
    </w:tbl>
    <w:p w:rsidR="00000000" w:rsidRPr="00A30226" w:rsidP="00A30226">
      <w:pPr>
        <w:pStyle w:val="BodyText"/>
      </w:pPr>
    </w:p>
    <w:p w:rsidR="00000000" w:rsidRPr="00A30226" w:rsidP="00A30226">
      <w:pPr>
        <w:pStyle w:val="AllowPageBreak"/>
      </w:pPr>
    </w:p>
    <w:p w:rsidR="00000000" w:rsidRPr="00A30226" w:rsidP="00A30226">
      <w:pPr>
        <w:pStyle w:val="Heading1"/>
      </w:pPr>
      <w:bookmarkStart w:id="4" w:name="O_385259"/>
      <w:bookmarkEnd w:id="4"/>
      <w:r w:rsidRPr="00A30226">
        <w:t>EVIDENCE GUIDE</w:t>
      </w:r>
    </w:p>
    <w:p w:rsidR="00000000" w:rsidRPr="00A30226" w:rsidP="00A30226">
      <w:pPr>
        <w:pStyle w:val="BodyText"/>
      </w:pPr>
    </w:p>
    <w:p w:rsidR="00000000" w:rsidRPr="00A30226" w:rsidP="00A30226">
      <w:pPr>
        <w:pStyle w:val="BodyText"/>
      </w:pPr>
      <w:r w:rsidRPr="00A30226">
        <w:t>Assessment of performance requirements in the unit should be undertaken in an industry context. The Evidence Guide identifies the critical aspects, knowledge and skills to be demonstrated to confirm competency for the unit. Competency is demonstrated by pe</w:t>
      </w:r>
      <w:r w:rsidRPr="00A30226">
        <w:t>rformance of all stated criteria including the Range of Variables applicable to the workplace.</w:t>
      </w:r>
    </w:p>
    <w:p w:rsidR="00000000" w:rsidRPr="00A30226" w:rsidP="00A30226">
      <w:pPr>
        <w:pStyle w:val="BodyText"/>
      </w:pPr>
    </w:p>
    <w:tbl>
      <w:tblPr>
        <w:tblW w:w="0" w:type="auto"/>
        <w:tblCellMar>
          <w:left w:w="62" w:type="dxa"/>
          <w:right w:w="62" w:type="dxa"/>
        </w:tblCellMar>
        <w:tblLook w:val="0000"/>
      </w:tblPr>
      <w:tblGrid>
        <w:gridCol w:w="3529"/>
        <w:gridCol w:w="5667"/>
      </w:tblGrid>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BodyText"/>
              <w:rPr>
                <w:lang w:val="en-NZ"/>
              </w:rPr>
            </w:pPr>
            <w:r w:rsidRPr="00A30226">
              <w:t>Overview of assessment requirements</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BodyText"/>
            </w:pPr>
            <w:r w:rsidRPr="00A30226">
              <w:t>To achieve competency in this unit, a person must be able to demonstrate:</w:t>
            </w:r>
          </w:p>
          <w:p w:rsidR="00000000" w:rsidRPr="00A30226" w:rsidP="00A30226">
            <w:pPr>
              <w:pStyle w:val="ListBullet"/>
            </w:pPr>
            <w:r w:rsidRPr="00A30226">
              <w:t>thorough checking of reconciliation items with re</w:t>
            </w:r>
            <w:r w:rsidRPr="00A30226">
              <w:t>lated system entries detailed knowledge of relevant legislation</w:t>
            </w:r>
          </w:p>
          <w:p w:rsidR="00000000" w:rsidRPr="00A30226" w:rsidP="00A30226">
            <w:pPr>
              <w:pStyle w:val="ListBullet"/>
            </w:pPr>
            <w:r w:rsidRPr="00A30226">
              <w:t>comprehensive knowledge of accounting procedures and practices</w:t>
            </w:r>
          </w:p>
          <w:p w:rsidR="00000000" w:rsidRPr="00A30226" w:rsidP="00A30226">
            <w:pPr>
              <w:pStyle w:val="ListBullet"/>
            </w:pPr>
            <w:r w:rsidRPr="00A30226">
              <w:t>sound communication skills in liaising with departmental managers and creditors/ suppliers</w:t>
            </w:r>
          </w:p>
          <w:p w:rsidR="00000000" w:rsidRPr="00A30226" w:rsidP="00A30226">
            <w:pPr>
              <w:pStyle w:val="ListBullet"/>
            </w:pPr>
            <w:r w:rsidRPr="00A30226">
              <w:t>thorough understanding of bank account</w:t>
            </w:r>
            <w:r w:rsidRPr="00A30226">
              <w:t xml:space="preserve"> reconciliation process</w:t>
            </w:r>
          </w:p>
          <w:p w:rsidR="00000000" w:rsidRPr="00A30226" w:rsidP="00A30226">
            <w:pPr>
              <w:pStyle w:val="ListBullet"/>
            </w:pPr>
            <w:r w:rsidRPr="00A30226">
              <w:t>ability to back-up and update financial systems</w:t>
            </w:r>
          </w:p>
          <w:p w:rsidR="00000000" w:rsidRPr="00A30226" w:rsidP="00A30226">
            <w:pPr>
              <w:pStyle w:val="ListBullet"/>
            </w:pPr>
            <w:r w:rsidRPr="00A30226">
              <w:t>ability to use relevant data entry and office equipment</w:t>
            </w:r>
          </w:p>
          <w:p w:rsidR="00000000" w:rsidP="00A30226">
            <w:pPr>
              <w:pStyle w:val="ListBullet"/>
              <w:rPr>
                <w:lang w:val="en-NZ"/>
              </w:rPr>
            </w:pPr>
          </w:p>
        </w:tc>
      </w:tr>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BodyText"/>
              <w:rPr>
                <w:lang w:val="en-NZ"/>
              </w:rPr>
            </w:pPr>
            <w:r w:rsidRPr="00A30226">
              <w:t>Evidence required for demonstration of consistent performance:</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List"/>
            </w:pPr>
            <w:r w:rsidRPr="00A30226">
              <w:t>•</w:t>
            </w:r>
            <w:r w:rsidRPr="00A30226">
              <w:tab/>
            </w:r>
            <w:r w:rsidRPr="00A30226">
              <w:t>Assessment of performance requirements in the unit should be undertaken in an industry context. Competency is demonstrated by performance of all stated criteria according to the Range of Variables applicable to the workplace.</w:t>
            </w:r>
          </w:p>
          <w:p w:rsidR="00000000" w:rsidP="00A30226">
            <w:pPr>
              <w:pStyle w:val="BodyText"/>
              <w:rPr>
                <w:lang w:val="en-NZ"/>
              </w:rPr>
            </w:pPr>
          </w:p>
        </w:tc>
      </w:tr>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BodyText"/>
              <w:rPr>
                <w:lang w:val="en-NZ"/>
              </w:rPr>
            </w:pPr>
            <w:r w:rsidRPr="00A30226">
              <w:t>Delivery/assessment relation</w:t>
            </w:r>
            <w:r w:rsidRPr="00A30226">
              <w:t>ship to other units:</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List"/>
            </w:pPr>
            <w:r w:rsidRPr="00A30226">
              <w:t>•</w:t>
            </w:r>
            <w:r w:rsidRPr="00A30226">
              <w:tab/>
              <w:t>This unit should be assessed after competency has been demonstrated in units:</w:t>
            </w:r>
          </w:p>
          <w:p w:rsidR="00000000" w:rsidRPr="00A30226" w:rsidP="00A30226">
            <w:pPr>
              <w:pStyle w:val="List2"/>
            </w:pPr>
            <w:r w:rsidRPr="00A30226">
              <w:t>•</w:t>
            </w:r>
            <w:r w:rsidRPr="00A30226">
              <w:tab/>
              <w:t>FNSRETA309A Balance cash holdings</w:t>
            </w:r>
          </w:p>
          <w:p w:rsidR="00000000" w:rsidRPr="00A30226" w:rsidP="00A30226">
            <w:pPr>
              <w:pStyle w:val="List2"/>
            </w:pPr>
            <w:r w:rsidRPr="00A30226">
              <w:t>•</w:t>
            </w:r>
            <w:r w:rsidRPr="00A30226">
              <w:tab/>
              <w:t>FNSRETA310A Maintain main bank account</w:t>
            </w:r>
          </w:p>
          <w:p w:rsidR="00000000" w:rsidRPr="00A30226" w:rsidP="00A30226">
            <w:pPr>
              <w:pStyle w:val="List2"/>
            </w:pPr>
            <w:r w:rsidRPr="00A30226">
              <w:t>•</w:t>
            </w:r>
            <w:r w:rsidRPr="00A30226">
              <w:tab/>
              <w:t>FNSICORG301A Administer fixed asset register</w:t>
            </w:r>
          </w:p>
          <w:p w:rsidR="00000000" w:rsidRPr="00A30226" w:rsidP="00A30226">
            <w:pPr>
              <w:pStyle w:val="List2"/>
            </w:pPr>
            <w:r w:rsidRPr="00A30226">
              <w:t>•</w:t>
            </w:r>
            <w:r w:rsidRPr="00A30226">
              <w:tab/>
              <w:t>FNSICACC301A Administer accou</w:t>
            </w:r>
            <w:r w:rsidRPr="00A30226">
              <w:t>nts payable.</w:t>
            </w:r>
          </w:p>
          <w:p w:rsidR="00000000" w:rsidP="00A30226">
            <w:pPr>
              <w:pStyle w:val="BodyText"/>
              <w:rPr>
                <w:lang w:val="en-NZ"/>
              </w:rPr>
            </w:pPr>
          </w:p>
        </w:tc>
      </w:tr>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BodyText"/>
              <w:rPr>
                <w:lang w:val="en-NZ"/>
              </w:rPr>
            </w:pPr>
            <w:r w:rsidRPr="00A30226">
              <w:t>Method of assessment:</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List"/>
            </w:pPr>
            <w:r w:rsidRPr="00A30226">
              <w:t>•</w:t>
            </w:r>
            <w:r w:rsidRPr="00A30226">
              <w:tab/>
              <w:t>For valid and reliable assessment of this unit, evidence should be gathered through a range of methods to indicate consistent performance.</w:t>
            </w:r>
          </w:p>
          <w:p w:rsidR="00000000" w:rsidRPr="00A30226" w:rsidP="00A30226">
            <w:pPr>
              <w:pStyle w:val="List"/>
            </w:pPr>
            <w:r w:rsidRPr="00A30226">
              <w:t>•</w:t>
            </w:r>
            <w:r w:rsidRPr="00A30226">
              <w:tab/>
              <w:t>Assessment of this unit of competence will usually include observation of pr</w:t>
            </w:r>
            <w:r w:rsidRPr="00A30226">
              <w:t>ocesses and procedures, oral and/or written questioning on underpinning knowledge and skills and other methods as required.</w:t>
            </w:r>
          </w:p>
          <w:p w:rsidR="00000000" w:rsidP="00A30226">
            <w:pPr>
              <w:pStyle w:val="List"/>
              <w:rPr>
                <w:lang w:val="en-NZ"/>
              </w:rPr>
            </w:pPr>
          </w:p>
        </w:tc>
      </w:tr>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BodyText"/>
              <w:rPr>
                <w:lang w:val="en-NZ"/>
              </w:rPr>
            </w:pPr>
            <w:r w:rsidRPr="00A30226">
              <w:t>Context of assessment:</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List"/>
            </w:pPr>
            <w:r w:rsidRPr="00A30226">
              <w:t>•</w:t>
            </w:r>
            <w:r w:rsidRPr="00A30226">
              <w:tab/>
              <w:t>This unit may be assessed in the workplace or in a simulated environment.</w:t>
            </w:r>
          </w:p>
          <w:p w:rsidR="00000000" w:rsidP="00A30226">
            <w:pPr>
              <w:pStyle w:val="List"/>
              <w:rPr>
                <w:lang w:val="en-NZ"/>
              </w:rPr>
            </w:pPr>
          </w:p>
        </w:tc>
      </w:tr>
      <w:tr w:rsidTr="005A4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0226">
            <w:pPr>
              <w:pStyle w:val="BodyText"/>
              <w:rPr>
                <w:lang w:val="en-NZ"/>
              </w:rPr>
            </w:pPr>
            <w:r w:rsidRPr="00A30226">
              <w:t>Resources required for assessment:</w:t>
            </w:r>
          </w:p>
        </w:tc>
        <w:tc>
          <w:tcPr>
            <w:tcW w:w="0" w:type="auto"/>
            <w:tcBorders>
              <w:top w:val="nil"/>
              <w:left w:val="nil"/>
              <w:bottom w:val="nil"/>
              <w:right w:val="nil"/>
            </w:tcBorders>
            <w:tcMar>
              <w:top w:w="0" w:type="dxa"/>
              <w:left w:w="62" w:type="dxa"/>
              <w:bottom w:w="0" w:type="dxa"/>
              <w:right w:w="62" w:type="dxa"/>
            </w:tcMar>
          </w:tcPr>
          <w:p w:rsidR="00000000" w:rsidRPr="00A30226" w:rsidP="00A30226">
            <w:pPr>
              <w:pStyle w:val="List"/>
            </w:pPr>
            <w:r w:rsidRPr="00A30226">
              <w:t>•</w:t>
            </w:r>
            <w:r w:rsidRPr="00A30226">
              <w:tab/>
              <w:t>Assessment of this unit of competence requires access to company policies and practices, relevant IT systems and the databases of the financial services company.</w:t>
            </w:r>
          </w:p>
          <w:p w:rsidR="00000000" w:rsidRPr="00A30226" w:rsidP="00A30226">
            <w:pPr>
              <w:pStyle w:val="List"/>
            </w:pPr>
          </w:p>
        </w:tc>
      </w:tr>
    </w:tbl>
    <w:p w:rsidR="00000000" w:rsidRPr="00A30226" w:rsidP="00A30226">
      <w:pPr>
        <w:pStyle w:val="BodyText"/>
      </w:pPr>
    </w:p>
    <w:p w:rsidR="00000000" w:rsidRPr="00A30226" w:rsidP="00A30226">
      <w:pPr>
        <w:pStyle w:val="AllowPageBreak"/>
      </w:pPr>
    </w:p>
    <w:p w:rsidR="00000000" w:rsidRPr="00A30226" w:rsidP="00A30226">
      <w:pPr>
        <w:pStyle w:val="Heading1"/>
      </w:pPr>
      <w:bookmarkStart w:id="5" w:name="O_385260"/>
      <w:bookmarkEnd w:id="5"/>
      <w:r w:rsidRPr="00A30226">
        <w:t>KEY COMPETENCY LEVELS</w:t>
      </w:r>
    </w:p>
    <w:p w:rsidR="00000000" w:rsidRPr="00A30226" w:rsidP="00A30226">
      <w:pPr>
        <w:pStyle w:val="BodyText"/>
      </w:pPr>
    </w:p>
    <w:p w:rsidR="00000000" w:rsidRPr="00A30226" w:rsidP="00A30226">
      <w:pPr>
        <w:pStyle w:val="BodyText"/>
      </w:pPr>
      <w:r w:rsidRPr="00A30226">
        <w:t>The seven key competencies represent generic skills considered for effective work participation. The numbering against each of the key competencies indicates the performance level required in this unit.</w:t>
      </w:r>
    </w:p>
    <w:p w:rsidR="00000000" w:rsidRPr="00A30226" w:rsidP="00A30226">
      <w:pPr>
        <w:pStyle w:val="BodyText"/>
      </w:pPr>
    </w:p>
    <w:p w:rsidR="00000000" w:rsidRPr="00A30226" w:rsidP="00A30226">
      <w:pPr>
        <w:pStyle w:val="BodyText"/>
      </w:pPr>
      <w:r w:rsidRPr="00A30226">
        <w:t>Performance Level 1 - at this level, the candidate i</w:t>
      </w:r>
      <w:r w:rsidRPr="00A30226">
        <w:t>s required to undertake tasks effectively. Performance Level 2 - at this level, the candidate is required to manage tasks. Performance Level 3 - at this level, the candidate is required to use concepts for evaluating and reshaping tasks.</w:t>
      </w:r>
    </w:p>
    <w:p w:rsidR="00000000" w:rsidRPr="00A30226" w:rsidP="00A30226">
      <w:pPr>
        <w:pStyle w:val="BodyText"/>
      </w:pPr>
    </w:p>
    <w:p w:rsidR="00000000" w:rsidRPr="00A30226" w:rsidP="00A30226">
      <w:pPr>
        <w:pStyle w:val="BodyText"/>
      </w:pPr>
    </w:p>
    <w:tbl>
      <w:tblPr>
        <w:tblW w:w="0" w:type="auto"/>
        <w:tblCellMar>
          <w:left w:w="62" w:type="dxa"/>
          <w:right w:w="62" w:type="dxa"/>
        </w:tblCellMar>
        <w:tblLook w:val="0000"/>
      </w:tblPr>
      <w:tblGrid>
        <w:gridCol w:w="3193"/>
        <w:gridCol w:w="2344"/>
        <w:gridCol w:w="3659"/>
      </w:tblGrid>
      <w:tr w:rsidTr="005A4B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226">
            <w:pPr>
              <w:pStyle w:val="BodyText"/>
              <w:rPr>
                <w:lang w:val="en-NZ"/>
              </w:rPr>
            </w:pPr>
            <w:r w:rsidRPr="00A30226">
              <w:t>Key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226">
            <w:pPr>
              <w:pStyle w:val="BodyText"/>
              <w:rPr>
                <w:lang w:val="en-NZ"/>
              </w:rPr>
            </w:pPr>
            <w:r w:rsidRPr="00A30226">
              <w:t>P</w:t>
            </w:r>
            <w:r w:rsidRPr="00A30226">
              <w:t>erformance Level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226">
            <w:pPr>
              <w:pStyle w:val="BodyText"/>
              <w:rPr>
                <w:lang w:val="en-NZ"/>
              </w:rPr>
            </w:pPr>
            <w:r w:rsidRPr="00A30226">
              <w:t>Example of Application</w:t>
            </w:r>
          </w:p>
        </w:tc>
      </w:tr>
      <w:tr w:rsidTr="005A4B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226">
            <w:pPr>
              <w:pStyle w:val="BodyText"/>
              <w:rPr>
                <w:lang w:val="en-NZ"/>
              </w:rPr>
            </w:pPr>
            <w:r w:rsidRPr="00A30226">
              <w:t>Communicating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226">
            <w:pPr>
              <w:pStyle w:val="BodyText"/>
              <w:rPr>
                <w:lang w:val="en-NZ"/>
              </w:rPr>
            </w:pPr>
            <w:r w:rsidRPr="00A3022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226">
            <w:pPr>
              <w:pStyle w:val="BodyText"/>
              <w:rPr>
                <w:lang w:val="en-NZ"/>
              </w:rPr>
            </w:pPr>
            <w:r w:rsidRPr="00A30226">
              <w:t>Liaising with management and other relevant personnel as appropriate will require the ability to communicate ideas and information.</w:t>
            </w:r>
          </w:p>
        </w:tc>
      </w:tr>
      <w:tr w:rsidTr="005A4B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226">
            <w:pPr>
              <w:pStyle w:val="BodyText"/>
              <w:rPr>
                <w:lang w:val="en-NZ"/>
              </w:rPr>
            </w:pPr>
            <w:r w:rsidRPr="00A30226">
              <w:t>Collecting analysing and organising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226">
            <w:pPr>
              <w:pStyle w:val="BodyText"/>
              <w:rPr>
                <w:lang w:val="en-NZ"/>
              </w:rPr>
            </w:pPr>
            <w:r w:rsidRPr="00A3022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226">
            <w:pPr>
              <w:pStyle w:val="BodyText"/>
              <w:rPr>
                <w:lang w:val="en-NZ"/>
              </w:rPr>
            </w:pPr>
            <w:r w:rsidRPr="00A30226">
              <w:t>Collecting and assessing user feedback will require information to be collected, analysed and organised.</w:t>
            </w:r>
          </w:p>
        </w:tc>
      </w:tr>
      <w:tr w:rsidTr="005A4B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226">
            <w:pPr>
              <w:pStyle w:val="BodyText"/>
              <w:rPr>
                <w:lang w:val="en-NZ"/>
              </w:rPr>
            </w:pPr>
            <w:r w:rsidRPr="00A30226">
              <w:t>Planning and organising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226">
            <w:pPr>
              <w:pStyle w:val="BodyText"/>
              <w:rPr>
                <w:lang w:val="en-NZ"/>
              </w:rPr>
            </w:pPr>
            <w:r w:rsidRPr="00A3022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226">
            <w:pPr>
              <w:pStyle w:val="BodyText"/>
              <w:rPr>
                <w:lang w:val="en-NZ"/>
              </w:rPr>
            </w:pPr>
            <w:r w:rsidRPr="00A30226">
              <w:t>Establishing processes to regularly monitor financial systems a</w:t>
            </w:r>
            <w:r w:rsidRPr="00A30226">
              <w:t>nd completing all associated tasks in accordance with relevant procedures will require activities to be planned and organised.</w:t>
            </w:r>
          </w:p>
        </w:tc>
      </w:tr>
      <w:tr w:rsidTr="005A4B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226">
            <w:pPr>
              <w:pStyle w:val="BodyText"/>
              <w:rPr>
                <w:lang w:val="en-NZ"/>
              </w:rPr>
            </w:pPr>
            <w:r w:rsidRPr="00A30226">
              <w:t>Working with others and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226">
            <w:pPr>
              <w:pStyle w:val="BodyText"/>
              <w:rPr>
                <w:lang w:val="en-NZ"/>
              </w:rPr>
            </w:pPr>
            <w:r w:rsidRPr="00A3022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226">
            <w:pPr>
              <w:pStyle w:val="BodyText"/>
              <w:rPr>
                <w:lang w:val="en-NZ"/>
              </w:rPr>
            </w:pPr>
            <w:r w:rsidRPr="00A30226">
              <w:t>Establishing processes to monitor financial systems may require the ability to work in and ac</w:t>
            </w:r>
            <w:r w:rsidRPr="00A30226">
              <w:t>ross teams.</w:t>
            </w:r>
          </w:p>
        </w:tc>
      </w:tr>
      <w:tr w:rsidTr="005A4B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226">
            <w:pPr>
              <w:pStyle w:val="BodyText"/>
              <w:rPr>
                <w:lang w:val="en-NZ"/>
              </w:rPr>
            </w:pPr>
            <w:r w:rsidRPr="00A30226">
              <w:t>Using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226">
            <w:pPr>
              <w:pStyle w:val="BodyText"/>
              <w:rPr>
                <w:lang w:val="en-NZ"/>
              </w:rPr>
            </w:pPr>
            <w:r w:rsidRPr="00A3022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226">
            <w:pPr>
              <w:pStyle w:val="BodyText"/>
              <w:rPr>
                <w:lang w:val="en-NZ"/>
              </w:rPr>
            </w:pPr>
            <w:r w:rsidRPr="00A30226">
              <w:t>Reconciling bank, general ledger and suspense accounts, calculating and rectifying errors and estimating costs associated with changes will require the use of mathematical ideas and techniques.</w:t>
            </w:r>
          </w:p>
        </w:tc>
      </w:tr>
      <w:tr w:rsidTr="005A4B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226">
            <w:pPr>
              <w:pStyle w:val="BodyText"/>
              <w:rPr>
                <w:lang w:val="en-NZ"/>
              </w:rPr>
            </w:pPr>
            <w:r w:rsidRPr="00A30226">
              <w:t>Solvin</w:t>
            </w:r>
            <w:r w:rsidRPr="00A30226">
              <w:t>g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226">
            <w:pPr>
              <w:pStyle w:val="BodyText"/>
              <w:rPr>
                <w:lang w:val="en-NZ"/>
              </w:rPr>
            </w:pPr>
            <w:r w:rsidRPr="00A3022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226">
            <w:pPr>
              <w:pStyle w:val="BodyText"/>
              <w:rPr>
                <w:lang w:val="en-NZ"/>
              </w:rPr>
            </w:pPr>
            <w:r w:rsidRPr="00A30226">
              <w:t>Resolving outstanding items, correcting relevant accounts and identifying and resolving discrepancies will require problem solving skills.</w:t>
            </w:r>
          </w:p>
        </w:tc>
      </w:tr>
      <w:tr w:rsidTr="005A4B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226">
            <w:pPr>
              <w:pStyle w:val="BodyText"/>
              <w:rPr>
                <w:lang w:val="en-NZ"/>
              </w:rPr>
            </w:pPr>
            <w:r w:rsidRPr="00A30226">
              <w:t>Using 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226">
            <w:pPr>
              <w:pStyle w:val="BodyText"/>
              <w:rPr>
                <w:lang w:val="en-NZ"/>
              </w:rPr>
            </w:pPr>
            <w:r w:rsidRPr="00A3022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226" w:rsidP="00A30226">
            <w:pPr>
              <w:pStyle w:val="BodyText"/>
            </w:pPr>
            <w:r w:rsidRPr="00A30226">
              <w:t xml:space="preserve">Conducting system back-ups and verifying the </w:t>
            </w:r>
            <w:r w:rsidRPr="00A30226">
              <w:t>validity and accuracy of financial systems will require the ability to use technology.</w:t>
            </w:r>
          </w:p>
        </w:tc>
      </w:tr>
    </w:tbl>
    <w:p w:rsidR="00000000" w:rsidRPr="00A30226" w:rsidP="00A30226">
      <w:pPr>
        <w:pStyle w:val="BodyText"/>
      </w:pPr>
    </w:p>
    <w:p w:rsidR="00000000" w:rsidRPr="00A30226" w:rsidP="00A30226"/>
    <w:sectPr w:rsidSect="00A302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2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B3B" w:rsidP="005A4B3B">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2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B3B" w:rsidP="00A302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A4B3B" w:rsidP="00A302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A4B3B" w:rsidP="00A302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2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B3B" w:rsidP="005A4B3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2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B3B" w:rsidP="00A30226">
    <w:pPr>
      <w:pStyle w:val="Header"/>
      <w:framePr w:wrap="around"/>
    </w:pPr>
    <w:r>
      <w:fldChar w:fldCharType="begin"/>
    </w:r>
    <w:r>
      <w:instrText xml:space="preserve"> TITLE   \* MERGEFORMAT </w:instrText>
    </w:r>
    <w:r>
      <w:fldChar w:fldCharType="separate"/>
    </w:r>
    <w:r>
      <w:t>FNSICORG509A Maintain integrity of financial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A4B3B" w:rsidP="00A302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1674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2EC2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2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0226"/>
    <w:pPr>
      <w:spacing w:before="360" w:after="60"/>
      <w:outlineLvl w:val="0"/>
    </w:pPr>
    <w:rPr>
      <w:sz w:val="32"/>
    </w:rPr>
  </w:style>
  <w:style w:type="paragraph" w:styleId="Heading2">
    <w:name w:val="heading 2"/>
    <w:basedOn w:val="HeadingBase"/>
    <w:next w:val="BodyText"/>
    <w:link w:val="Heading2Char"/>
    <w:qFormat/>
    <w:rsid w:val="00A30226"/>
    <w:pPr>
      <w:keepLines/>
      <w:spacing w:before="240" w:after="120"/>
      <w:outlineLvl w:val="1"/>
    </w:pPr>
    <w:rPr>
      <w:sz w:val="28"/>
      <w:szCs w:val="40"/>
    </w:rPr>
  </w:style>
  <w:style w:type="paragraph" w:styleId="Heading3">
    <w:name w:val="heading 3"/>
    <w:basedOn w:val="HeadingBase"/>
    <w:next w:val="BodyText"/>
    <w:link w:val="Heading3Char"/>
    <w:qFormat/>
    <w:rsid w:val="00A30226"/>
    <w:pPr>
      <w:spacing w:before="180" w:after="120"/>
      <w:outlineLvl w:val="2"/>
    </w:pPr>
    <w:rPr>
      <w:spacing w:val="-10"/>
      <w:kern w:val="32"/>
    </w:rPr>
  </w:style>
  <w:style w:type="paragraph" w:styleId="Heading4">
    <w:name w:val="heading 4"/>
    <w:basedOn w:val="HeadingBase"/>
    <w:next w:val="BodyText"/>
    <w:link w:val="Heading4Char"/>
    <w:qFormat/>
    <w:rsid w:val="00A30226"/>
    <w:pPr>
      <w:spacing w:before="160" w:after="120"/>
      <w:outlineLvl w:val="3"/>
    </w:pPr>
    <w:rPr>
      <w:sz w:val="22"/>
    </w:rPr>
  </w:style>
  <w:style w:type="paragraph" w:styleId="Heading5">
    <w:name w:val="heading 5"/>
    <w:basedOn w:val="HeadingBase"/>
    <w:next w:val="Normal"/>
    <w:link w:val="Heading5Char"/>
    <w:qFormat/>
    <w:rsid w:val="00A30226"/>
    <w:pPr>
      <w:spacing w:before="80"/>
      <w:outlineLvl w:val="4"/>
    </w:pPr>
    <w:rPr>
      <w:color w:val="918585"/>
      <w:sz w:val="20"/>
    </w:rPr>
  </w:style>
  <w:style w:type="paragraph" w:styleId="Heading6">
    <w:name w:val="heading 6"/>
    <w:basedOn w:val="HeadingBase"/>
    <w:next w:val="Normal"/>
    <w:link w:val="Heading6Char"/>
    <w:qFormat/>
    <w:rsid w:val="00A30226"/>
    <w:pPr>
      <w:spacing w:before="60"/>
      <w:outlineLvl w:val="5"/>
    </w:pPr>
    <w:rPr>
      <w:color w:val="918585"/>
      <w:sz w:val="20"/>
    </w:rPr>
  </w:style>
  <w:style w:type="paragraph" w:styleId="Heading7">
    <w:name w:val="heading 7"/>
    <w:basedOn w:val="Normal"/>
    <w:next w:val="Normal"/>
    <w:link w:val="Heading7Char"/>
    <w:qFormat/>
    <w:rsid w:val="00A30226"/>
    <w:pPr>
      <w:ind w:left="720"/>
      <w:outlineLvl w:val="6"/>
    </w:pPr>
    <w:rPr>
      <w:i/>
    </w:rPr>
  </w:style>
  <w:style w:type="paragraph" w:styleId="Heading8">
    <w:name w:val="heading 8"/>
    <w:basedOn w:val="Normal"/>
    <w:next w:val="Normal"/>
    <w:link w:val="Heading8Char"/>
    <w:qFormat/>
    <w:rsid w:val="00A30226"/>
    <w:pPr>
      <w:ind w:left="720"/>
      <w:outlineLvl w:val="7"/>
    </w:pPr>
    <w:rPr>
      <w:i/>
    </w:rPr>
  </w:style>
  <w:style w:type="paragraph" w:styleId="Heading9">
    <w:name w:val="heading 9"/>
    <w:basedOn w:val="Normal"/>
    <w:next w:val="Normal"/>
    <w:link w:val="Heading9Char"/>
    <w:qFormat/>
    <w:rsid w:val="00A30226"/>
    <w:pPr>
      <w:ind w:left="720"/>
      <w:outlineLvl w:val="8"/>
    </w:pPr>
    <w:rPr>
      <w:i/>
    </w:rPr>
  </w:style>
  <w:style w:type="character" w:default="1" w:styleId="DefaultParagraphFont">
    <w:name w:val="Default Paragraph Font"/>
    <w:uiPriority w:val="1"/>
    <w:unhideWhenUsed/>
    <w:rsid w:val="00A302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226"/>
  </w:style>
  <w:style w:type="character" w:customStyle="1" w:styleId="Heading1Char">
    <w:name w:val="Heading 1 Char"/>
    <w:link w:val="Heading1"/>
    <w:rsid w:val="00A30226"/>
    <w:rPr>
      <w:rFonts w:ascii="Times New Roman" w:eastAsia="Times New Roman" w:hAnsi="Times New Roman" w:cs="Times New Roman"/>
      <w:b/>
      <w:sz w:val="32"/>
      <w:szCs w:val="20"/>
      <w:lang w:eastAsia="en-US"/>
    </w:rPr>
  </w:style>
  <w:style w:type="character" w:customStyle="1" w:styleId="Heading2Char">
    <w:name w:val="Heading 2 Char"/>
    <w:link w:val="Heading2"/>
    <w:rsid w:val="00A30226"/>
    <w:rPr>
      <w:rFonts w:ascii="Times New Roman" w:eastAsia="Times New Roman" w:hAnsi="Times New Roman" w:cs="Times New Roman"/>
      <w:b/>
      <w:sz w:val="28"/>
      <w:szCs w:val="40"/>
      <w:lang w:eastAsia="en-US"/>
    </w:rPr>
  </w:style>
  <w:style w:type="paragraph" w:styleId="BodyText">
    <w:name w:val="Body Text"/>
    <w:basedOn w:val="Normal"/>
    <w:link w:val="BodyTextChar"/>
    <w:rsid w:val="00A30226"/>
    <w:pPr>
      <w:spacing w:before="120" w:after="120"/>
      <w:contextualSpacing/>
    </w:pPr>
    <w:rPr>
      <w:rFonts w:ascii="Times New Roman" w:hAnsi="Times New Roman"/>
      <w:sz w:val="24"/>
      <w:szCs w:val="22"/>
    </w:rPr>
  </w:style>
  <w:style w:type="character" w:customStyle="1" w:styleId="BodyTextChar">
    <w:name w:val="Body Text Char"/>
    <w:link w:val="BodyText"/>
    <w:rsid w:val="00A30226"/>
    <w:rPr>
      <w:rFonts w:ascii="Times New Roman" w:eastAsia="Times New Roman" w:hAnsi="Times New Roman" w:cs="Times New Roman"/>
      <w:sz w:val="24"/>
      <w:lang w:val="en-US" w:eastAsia="en-US"/>
    </w:rPr>
  </w:style>
  <w:style w:type="paragraph" w:styleId="Footer">
    <w:name w:val="footer"/>
    <w:basedOn w:val="Normal"/>
    <w:link w:val="FooterChar"/>
    <w:rsid w:val="00A302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30226"/>
    <w:rPr>
      <w:rFonts w:ascii="Times New Roman" w:eastAsia="Times New Roman" w:hAnsi="Times New Roman" w:cs="Times New Roman"/>
      <w:sz w:val="16"/>
      <w:lang w:val="en-US" w:eastAsia="en-US"/>
    </w:rPr>
  </w:style>
  <w:style w:type="paragraph" w:styleId="List">
    <w:name w:val="List"/>
    <w:basedOn w:val="BodyText"/>
    <w:next w:val="BodyText"/>
    <w:rsid w:val="00A30226"/>
    <w:pPr>
      <w:tabs>
        <w:tab w:val="left" w:pos="340"/>
      </w:tabs>
      <w:spacing w:before="60" w:after="60"/>
      <w:ind w:left="340" w:hanging="340"/>
    </w:pPr>
  </w:style>
  <w:style w:type="paragraph" w:styleId="ListBullet">
    <w:name w:val="List Bullet"/>
    <w:basedOn w:val="List"/>
    <w:rsid w:val="00A30226"/>
    <w:pPr>
      <w:numPr>
        <w:numId w:val="12"/>
      </w:numPr>
      <w:tabs>
        <w:tab w:val="clear" w:pos="340"/>
      </w:tabs>
      <w:spacing w:before="40" w:after="40"/>
    </w:pPr>
  </w:style>
  <w:style w:type="paragraph" w:styleId="Header">
    <w:name w:val="header"/>
    <w:basedOn w:val="Normal"/>
    <w:link w:val="HeaderChar"/>
    <w:rsid w:val="00A302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30226"/>
    <w:rPr>
      <w:rFonts w:ascii="Times New Roman" w:eastAsia="Times New Roman" w:hAnsi="Times New Roman" w:cs="Times New Roman"/>
      <w:sz w:val="16"/>
      <w:szCs w:val="20"/>
      <w:lang w:val="en-GB" w:eastAsia="en-US"/>
    </w:rPr>
  </w:style>
  <w:style w:type="paragraph" w:customStyle="1" w:styleId="AllowPageBreak">
    <w:name w:val="AllowPageBreak"/>
    <w:rsid w:val="00A302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0226"/>
    <w:pPr>
      <w:tabs>
        <w:tab w:val="left" w:pos="680"/>
      </w:tabs>
      <w:spacing w:before="60" w:after="60"/>
      <w:ind w:left="680" w:hanging="340"/>
    </w:pPr>
  </w:style>
  <w:style w:type="character" w:customStyle="1" w:styleId="Heading3Char">
    <w:name w:val="Heading 3 Char"/>
    <w:link w:val="Heading3"/>
    <w:rsid w:val="00A3022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30226"/>
    <w:rPr>
      <w:rFonts w:ascii="Times New Roman" w:eastAsia="Times New Roman" w:hAnsi="Times New Roman" w:cs="Times New Roman"/>
      <w:b/>
      <w:szCs w:val="20"/>
      <w:lang w:eastAsia="en-US"/>
    </w:rPr>
  </w:style>
  <w:style w:type="character" w:customStyle="1" w:styleId="Heading5Char">
    <w:name w:val="Heading 5 Char"/>
    <w:link w:val="Heading5"/>
    <w:rsid w:val="00A3022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302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2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02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0226"/>
    <w:rPr>
      <w:rFonts w:ascii="Courier New" w:eastAsia="Times New Roman" w:hAnsi="Courier New" w:cs="Times New Roman"/>
      <w:i/>
      <w:szCs w:val="20"/>
      <w:lang w:val="en-US" w:eastAsia="en-US"/>
    </w:rPr>
  </w:style>
  <w:style w:type="paragraph" w:customStyle="1" w:styleId="HeadingBase">
    <w:name w:val="Heading Base"/>
    <w:rsid w:val="00A302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226"/>
    <w:pPr>
      <w:tabs>
        <w:tab w:val="right" w:leader="dot" w:pos="9072"/>
      </w:tabs>
      <w:ind w:left="567"/>
    </w:pPr>
    <w:rPr>
      <w:szCs w:val="22"/>
    </w:rPr>
  </w:style>
  <w:style w:type="paragraph" w:customStyle="1" w:styleId="TOCBase">
    <w:name w:val="TOC Base"/>
    <w:rsid w:val="00A302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226"/>
    <w:pPr>
      <w:tabs>
        <w:tab w:val="right" w:leader="dot" w:pos="9072"/>
      </w:tabs>
      <w:spacing w:before="40" w:after="40"/>
      <w:ind w:left="284"/>
    </w:pPr>
    <w:rPr>
      <w:rFonts w:ascii="Times New Roman" w:hAnsi="Times New Roman"/>
    </w:rPr>
  </w:style>
  <w:style w:type="paragraph" w:styleId="TOC1">
    <w:name w:val="toc 1"/>
    <w:basedOn w:val="TOCBase"/>
    <w:next w:val="Normal"/>
    <w:rsid w:val="00A302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0226"/>
    <w:pPr>
      <w:spacing w:before="5040"/>
      <w:jc w:val="center"/>
    </w:pPr>
    <w:rPr>
      <w:sz w:val="48"/>
      <w:szCs w:val="72"/>
      <w:lang w:val="en-US"/>
    </w:rPr>
  </w:style>
  <w:style w:type="character" w:customStyle="1" w:styleId="TitleChar">
    <w:name w:val="Title Char"/>
    <w:link w:val="Title"/>
    <w:rsid w:val="00A302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226"/>
    <w:pPr>
      <w:tabs>
        <w:tab w:val="left" w:pos="3600"/>
        <w:tab w:val="left" w:pos="3958"/>
      </w:tabs>
    </w:pPr>
  </w:style>
  <w:style w:type="paragraph" w:customStyle="1" w:styleId="Note">
    <w:name w:val="Note"/>
    <w:basedOn w:val="BodyText"/>
    <w:rsid w:val="00A302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A30226"/>
    <w:rPr>
      <w:b/>
      <w:spacing w:val="0"/>
    </w:rPr>
  </w:style>
  <w:style w:type="paragraph" w:customStyle="1" w:styleId="SuperTitle">
    <w:name w:val="SuperTitle"/>
    <w:basedOn w:val="Title"/>
    <w:rsid w:val="00A30226"/>
    <w:pPr>
      <w:framePr w:wrap="auto" w:hAnchor="text" w:y="6049"/>
    </w:pPr>
    <w:rPr>
      <w:color w:val="000000"/>
      <w:sz w:val="40"/>
    </w:rPr>
  </w:style>
  <w:style w:type="paragraph" w:customStyle="1" w:styleId="TOCTitle">
    <w:name w:val="TOCTitle"/>
    <w:basedOn w:val="Heading1"/>
    <w:rsid w:val="00A30226"/>
    <w:pPr>
      <w:spacing w:after="240"/>
      <w:jc w:val="center"/>
      <w:outlineLvl w:val="9"/>
    </w:pPr>
    <w:rPr>
      <w:caps/>
    </w:rPr>
  </w:style>
  <w:style w:type="paragraph" w:customStyle="1" w:styleId="Version">
    <w:name w:val="Version"/>
    <w:rsid w:val="00A302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0226"/>
    <w:pPr>
      <w:numPr>
        <w:numId w:val="13"/>
      </w:numPr>
      <w:tabs>
        <w:tab w:val="clear" w:pos="680"/>
      </w:tabs>
    </w:pPr>
  </w:style>
  <w:style w:type="paragraph" w:styleId="Index1">
    <w:name w:val="index 1"/>
    <w:basedOn w:val="Normal"/>
    <w:next w:val="Normal"/>
    <w:semiHidden/>
    <w:rsid w:val="00A30226"/>
    <w:pPr>
      <w:keepNext w:val="0"/>
      <w:tabs>
        <w:tab w:val="right" w:pos="4176"/>
      </w:tabs>
      <w:ind w:left="198" w:hanging="198"/>
    </w:pPr>
    <w:rPr>
      <w:rFonts w:ascii="Garamond" w:hAnsi="Garamond"/>
    </w:rPr>
  </w:style>
  <w:style w:type="paragraph" w:styleId="IndexHeading">
    <w:name w:val="index heading"/>
    <w:basedOn w:val="Normal"/>
    <w:next w:val="Index1"/>
    <w:semiHidden/>
    <w:rsid w:val="00A30226"/>
    <w:pPr>
      <w:spacing w:before="120" w:after="120"/>
    </w:pPr>
    <w:rPr>
      <w:rFonts w:ascii="Arial" w:hAnsi="Arial"/>
      <w:b/>
      <w:color w:val="918585"/>
      <w:sz w:val="24"/>
    </w:rPr>
  </w:style>
  <w:style w:type="paragraph" w:customStyle="1" w:styleId="Chapter">
    <w:name w:val="Chapter"/>
    <w:basedOn w:val="Normal"/>
    <w:rsid w:val="00A30226"/>
    <w:pPr>
      <w:spacing w:before="240"/>
    </w:pPr>
    <w:rPr>
      <w:rFonts w:ascii="Times New Roman" w:hAnsi="Times New Roman"/>
      <w:smallCaps/>
      <w:spacing w:val="80"/>
      <w:sz w:val="28"/>
    </w:rPr>
  </w:style>
  <w:style w:type="paragraph" w:customStyle="1" w:styleId="InChapter">
    <w:name w:val="InChapter"/>
    <w:basedOn w:val="Heading3"/>
    <w:rsid w:val="00A30226"/>
    <w:pPr>
      <w:spacing w:after="240"/>
      <w:outlineLvl w:val="9"/>
    </w:pPr>
    <w:rPr>
      <w:noProof/>
    </w:rPr>
  </w:style>
  <w:style w:type="paragraph" w:styleId="Index2">
    <w:name w:val="index 2"/>
    <w:basedOn w:val="Normal"/>
    <w:next w:val="Normal"/>
    <w:semiHidden/>
    <w:rsid w:val="00A30226"/>
    <w:pPr>
      <w:tabs>
        <w:tab w:val="right" w:pos="4176"/>
      </w:tabs>
      <w:ind w:left="568" w:hanging="284"/>
    </w:pPr>
    <w:rPr>
      <w:rFonts w:ascii="Garamond" w:hAnsi="Garamond"/>
    </w:rPr>
  </w:style>
  <w:style w:type="paragraph" w:customStyle="1" w:styleId="Byline">
    <w:name w:val="Byline"/>
    <w:rsid w:val="00A302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226"/>
    <w:pPr>
      <w:tabs>
        <w:tab w:val="clear" w:pos="3600"/>
        <w:tab w:val="clear" w:pos="3958"/>
      </w:tabs>
      <w:jc w:val="right"/>
    </w:pPr>
  </w:style>
  <w:style w:type="character" w:styleId="Emphasis">
    <w:name w:val="Emphasis"/>
    <w:qFormat/>
    <w:rsid w:val="00A30226"/>
    <w:rPr>
      <w:i/>
    </w:rPr>
  </w:style>
  <w:style w:type="paragraph" w:styleId="Caption">
    <w:name w:val="caption"/>
    <w:basedOn w:val="BodyText"/>
    <w:next w:val="Normal"/>
    <w:qFormat/>
    <w:rsid w:val="00A30226"/>
    <w:pPr>
      <w:framePr w:w="2268" w:hSpace="181" w:vSpace="181" w:wrap="around" w:vAnchor="text" w:hAnchor="page" w:x="1135" w:y="285" w:anchorLock="1"/>
    </w:pPr>
    <w:rPr>
      <w:i/>
    </w:rPr>
  </w:style>
  <w:style w:type="paragraph" w:customStyle="1" w:styleId="MiniTOCTitle">
    <w:name w:val="MiniTOCTitle"/>
    <w:basedOn w:val="Heading4"/>
    <w:rsid w:val="00A30226"/>
    <w:pPr>
      <w:spacing w:before="240"/>
      <w:outlineLvl w:val="9"/>
    </w:pPr>
    <w:rPr>
      <w:noProof/>
      <w:sz w:val="24"/>
    </w:rPr>
  </w:style>
  <w:style w:type="paragraph" w:customStyle="1" w:styleId="SuperHeading">
    <w:name w:val="SuperHeading"/>
    <w:basedOn w:val="Normal"/>
    <w:rsid w:val="00A30226"/>
    <w:pPr>
      <w:spacing w:before="240" w:after="120"/>
      <w:outlineLvl w:val="0"/>
    </w:pPr>
    <w:rPr>
      <w:rFonts w:ascii="Times New Roman" w:hAnsi="Times New Roman"/>
      <w:b/>
      <w:sz w:val="28"/>
    </w:rPr>
  </w:style>
  <w:style w:type="paragraph" w:customStyle="1" w:styleId="MiniTOCItem">
    <w:name w:val="MiniTOCItem"/>
    <w:basedOn w:val="ListBullet"/>
    <w:rsid w:val="00A30226"/>
    <w:pPr>
      <w:numPr>
        <w:numId w:val="0"/>
      </w:numPr>
      <w:tabs>
        <w:tab w:val="right" w:leader="dot" w:pos="6521"/>
      </w:tabs>
      <w:spacing w:before="0" w:after="0"/>
    </w:pPr>
  </w:style>
  <w:style w:type="paragraph" w:customStyle="1" w:styleId="TOFTitle">
    <w:name w:val="TOFTitle"/>
    <w:basedOn w:val="TOCTitle"/>
    <w:rsid w:val="00A30226"/>
  </w:style>
  <w:style w:type="paragraph" w:styleId="TableofFigures">
    <w:name w:val="table of figures"/>
    <w:basedOn w:val="Normal"/>
    <w:next w:val="Normal"/>
    <w:semiHidden/>
    <w:rsid w:val="00A30226"/>
    <w:pPr>
      <w:tabs>
        <w:tab w:val="right" w:leader="dot" w:pos="9072"/>
      </w:tabs>
      <w:ind w:left="970" w:hanging="403"/>
    </w:pPr>
    <w:rPr>
      <w:rFonts w:ascii="Times New Roman" w:hAnsi="Times New Roman"/>
      <w:b/>
    </w:rPr>
  </w:style>
  <w:style w:type="paragraph" w:styleId="ListNumber">
    <w:name w:val="List Number"/>
    <w:basedOn w:val="List"/>
    <w:rsid w:val="00A30226"/>
    <w:pPr>
      <w:numPr>
        <w:numId w:val="10"/>
      </w:numPr>
    </w:pPr>
  </w:style>
  <w:style w:type="character" w:customStyle="1" w:styleId="WingdingSymbols">
    <w:name w:val="Wingding Symbols"/>
    <w:rsid w:val="00A30226"/>
    <w:rPr>
      <w:rFonts w:ascii="Wingdings" w:hAnsi="Wingdings"/>
    </w:rPr>
  </w:style>
  <w:style w:type="paragraph" w:customStyle="1" w:styleId="TableHeading">
    <w:name w:val="Table Heading"/>
    <w:basedOn w:val="HeadingBase"/>
    <w:rsid w:val="00A30226"/>
    <w:pPr>
      <w:keepLines/>
      <w:pBdr>
        <w:bottom w:val="single" w:sz="6" w:space="1" w:color="918585"/>
      </w:pBdr>
      <w:spacing w:before="240"/>
    </w:pPr>
  </w:style>
  <w:style w:type="character" w:customStyle="1" w:styleId="HotSpot">
    <w:name w:val="HotSpot"/>
    <w:rsid w:val="00A30226"/>
    <w:rPr>
      <w:color w:val="0033CC"/>
      <w:u w:val="none"/>
    </w:rPr>
  </w:style>
  <w:style w:type="paragraph" w:customStyle="1" w:styleId="BodyTextRight">
    <w:name w:val="Body Text Right"/>
    <w:basedOn w:val="BodyText"/>
    <w:rsid w:val="00A30226"/>
    <w:pPr>
      <w:spacing w:before="0" w:after="0"/>
      <w:jc w:val="right"/>
    </w:pPr>
  </w:style>
  <w:style w:type="paragraph" w:styleId="Index3">
    <w:name w:val="index 3"/>
    <w:basedOn w:val="ListNumber2"/>
    <w:next w:val="Normal"/>
    <w:semiHidden/>
    <w:rsid w:val="00A30226"/>
    <w:pPr>
      <w:numPr>
        <w:numId w:val="0"/>
      </w:numPr>
      <w:tabs>
        <w:tab w:val="right" w:leader="dot" w:pos="4176"/>
      </w:tabs>
    </w:pPr>
  </w:style>
  <w:style w:type="paragraph" w:styleId="ListNumber2">
    <w:name w:val="List Number 2"/>
    <w:basedOn w:val="List2"/>
    <w:rsid w:val="00A30226"/>
    <w:pPr>
      <w:numPr>
        <w:numId w:val="9"/>
      </w:numPr>
      <w:tabs>
        <w:tab w:val="clear" w:pos="1060"/>
      </w:tabs>
    </w:pPr>
  </w:style>
  <w:style w:type="paragraph" w:customStyle="1" w:styleId="MarginNote">
    <w:name w:val="Margin Note"/>
    <w:basedOn w:val="BodyText"/>
    <w:rsid w:val="00A302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2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302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0226"/>
    <w:rPr>
      <w:sz w:val="32"/>
    </w:rPr>
  </w:style>
  <w:style w:type="paragraph" w:customStyle="1" w:styleId="HeadingProcedure">
    <w:name w:val="Heading Procedure"/>
    <w:basedOn w:val="HeadingBase"/>
    <w:next w:val="Normal"/>
    <w:rsid w:val="00A30226"/>
    <w:pPr>
      <w:tabs>
        <w:tab w:val="left" w:pos="0"/>
      </w:tabs>
      <w:spacing w:before="120" w:after="60"/>
    </w:pPr>
    <w:rPr>
      <w:i/>
      <w:color w:val="918585"/>
      <w:sz w:val="22"/>
    </w:rPr>
  </w:style>
  <w:style w:type="paragraph" w:customStyle="1" w:styleId="TableBodyText">
    <w:name w:val="Table Body Text"/>
    <w:basedOn w:val="BodyText"/>
    <w:rsid w:val="00A30226"/>
    <w:pPr>
      <w:spacing w:before="60" w:after="60"/>
    </w:pPr>
  </w:style>
  <w:style w:type="paragraph" w:styleId="ListContinue">
    <w:name w:val="List Continue"/>
    <w:basedOn w:val="List"/>
    <w:rsid w:val="00A30226"/>
    <w:pPr>
      <w:ind w:firstLine="0"/>
    </w:pPr>
  </w:style>
  <w:style w:type="paragraph" w:customStyle="1" w:styleId="ListNote">
    <w:name w:val="List Note"/>
    <w:basedOn w:val="List"/>
    <w:rsid w:val="00A30226"/>
    <w:pPr>
      <w:pBdr>
        <w:top w:val="single" w:sz="6" w:space="2" w:color="918585"/>
        <w:bottom w:val="single" w:sz="6" w:space="2" w:color="918585"/>
      </w:pBdr>
      <w:tabs>
        <w:tab w:val="left" w:pos="1021"/>
      </w:tabs>
      <w:ind w:firstLine="0"/>
    </w:pPr>
  </w:style>
  <w:style w:type="paragraph" w:customStyle="1" w:styleId="Warning">
    <w:name w:val="Warning"/>
    <w:basedOn w:val="BodyText"/>
    <w:rsid w:val="00A30226"/>
    <w:pPr>
      <w:shd w:val="clear" w:color="auto" w:fill="D9D9D9"/>
      <w:tabs>
        <w:tab w:val="left" w:pos="992"/>
      </w:tabs>
      <w:ind w:left="119" w:right="119"/>
    </w:pPr>
    <w:rPr>
      <w:sz w:val="20"/>
    </w:rPr>
  </w:style>
  <w:style w:type="paragraph" w:customStyle="1" w:styleId="MarginIcons">
    <w:name w:val="Margin Icons"/>
    <w:basedOn w:val="BodyText"/>
    <w:rsid w:val="00A3022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30226"/>
    <w:rPr>
      <w:rFonts w:ascii="Courier New" w:hAnsi="Courier New"/>
    </w:rPr>
  </w:style>
  <w:style w:type="paragraph" w:customStyle="1" w:styleId="NoteBullet">
    <w:name w:val="Note Bullet"/>
    <w:basedOn w:val="Note"/>
    <w:rsid w:val="00A30226"/>
    <w:pPr>
      <w:tabs>
        <w:tab w:val="clear" w:pos="680"/>
      </w:tabs>
      <w:spacing w:before="60" w:after="60"/>
    </w:pPr>
  </w:style>
  <w:style w:type="paragraph" w:customStyle="1" w:styleId="SubHeading2">
    <w:name w:val="SubHeading2"/>
    <w:basedOn w:val="HeadingBase"/>
    <w:rsid w:val="00A30226"/>
    <w:pPr>
      <w:spacing w:before="240" w:after="60"/>
    </w:pPr>
    <w:rPr>
      <w:sz w:val="20"/>
    </w:rPr>
  </w:style>
  <w:style w:type="paragraph" w:customStyle="1" w:styleId="SubHeading1">
    <w:name w:val="SubHeading1"/>
    <w:basedOn w:val="HeadingBase"/>
    <w:rsid w:val="00A30226"/>
    <w:pPr>
      <w:spacing w:before="240" w:after="60"/>
    </w:pPr>
    <w:rPr>
      <w:color w:val="918585"/>
      <w:sz w:val="22"/>
    </w:rPr>
  </w:style>
  <w:style w:type="paragraph" w:customStyle="1" w:styleId="SideHeading">
    <w:name w:val="Side Heading"/>
    <w:basedOn w:val="HeadingBase"/>
    <w:rsid w:val="00A302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226"/>
    <w:pPr>
      <w:tabs>
        <w:tab w:val="num" w:pos="360"/>
      </w:tabs>
    </w:pPr>
  </w:style>
  <w:style w:type="paragraph" w:styleId="PlainText">
    <w:name w:val="Plain Text"/>
    <w:basedOn w:val="Normal"/>
    <w:link w:val="PlainTextChar"/>
    <w:rsid w:val="00A30226"/>
    <w:rPr>
      <w:sz w:val="20"/>
    </w:rPr>
  </w:style>
  <w:style w:type="character" w:customStyle="1" w:styleId="PlainTextChar">
    <w:name w:val="Plain Text Char"/>
    <w:basedOn w:val="DefaultParagraphFont"/>
    <w:link w:val="PlainText"/>
    <w:rsid w:val="00A30226"/>
    <w:rPr>
      <w:rFonts w:ascii="Courier New" w:eastAsia="Times New Roman" w:hAnsi="Courier New" w:cs="Times New Roman"/>
      <w:sz w:val="20"/>
      <w:szCs w:val="20"/>
      <w:lang w:val="en-US" w:eastAsia="en-US"/>
    </w:rPr>
  </w:style>
  <w:style w:type="character" w:customStyle="1" w:styleId="MenuOption">
    <w:name w:val="Menu Option"/>
    <w:rsid w:val="00A30226"/>
    <w:rPr>
      <w:b/>
      <w:smallCaps/>
    </w:rPr>
  </w:style>
  <w:style w:type="paragraph" w:customStyle="1" w:styleId="TableListNumber">
    <w:name w:val="Table List Number"/>
    <w:basedOn w:val="ListNumber"/>
    <w:rsid w:val="00A30226"/>
    <w:pPr>
      <w:numPr>
        <w:numId w:val="0"/>
      </w:numPr>
    </w:pPr>
  </w:style>
  <w:style w:type="paragraph" w:styleId="TOC4">
    <w:name w:val="toc 4"/>
    <w:basedOn w:val="TOCBase"/>
    <w:next w:val="Normal"/>
    <w:semiHidden/>
    <w:rsid w:val="00A30226"/>
    <w:pPr>
      <w:tabs>
        <w:tab w:val="right" w:leader="dot" w:pos="9071"/>
      </w:tabs>
      <w:ind w:left="1701"/>
    </w:pPr>
  </w:style>
  <w:style w:type="paragraph" w:customStyle="1" w:styleId="ListAlpha">
    <w:name w:val="List Alpha"/>
    <w:basedOn w:val="List"/>
    <w:rsid w:val="00A30226"/>
    <w:pPr>
      <w:numPr>
        <w:numId w:val="8"/>
      </w:numPr>
    </w:pPr>
  </w:style>
  <w:style w:type="paragraph" w:customStyle="1" w:styleId="ListAlpha2">
    <w:name w:val="List Alpha 2"/>
    <w:basedOn w:val="List2"/>
    <w:rsid w:val="00A30226"/>
    <w:pPr>
      <w:numPr>
        <w:numId w:val="7"/>
      </w:numPr>
    </w:pPr>
  </w:style>
  <w:style w:type="paragraph" w:styleId="List3">
    <w:name w:val="List 3"/>
    <w:basedOn w:val="BodyText"/>
    <w:rsid w:val="00A30226"/>
    <w:pPr>
      <w:tabs>
        <w:tab w:val="left" w:pos="1021"/>
      </w:tabs>
      <w:spacing w:before="60" w:after="60"/>
      <w:ind w:left="1020" w:hanging="340"/>
    </w:pPr>
  </w:style>
  <w:style w:type="paragraph" w:styleId="List4">
    <w:name w:val="List 4"/>
    <w:basedOn w:val="BodyText"/>
    <w:rsid w:val="00A30226"/>
    <w:pPr>
      <w:tabs>
        <w:tab w:val="left" w:pos="1361"/>
      </w:tabs>
      <w:spacing w:before="60" w:after="60"/>
      <w:ind w:left="1361" w:hanging="340"/>
    </w:pPr>
  </w:style>
  <w:style w:type="paragraph" w:styleId="List5">
    <w:name w:val="List 5"/>
    <w:basedOn w:val="BodyText"/>
    <w:rsid w:val="00A30226"/>
    <w:pPr>
      <w:tabs>
        <w:tab w:val="left" w:pos="1701"/>
      </w:tabs>
      <w:spacing w:before="60" w:after="60"/>
      <w:ind w:left="1701" w:hanging="340"/>
    </w:pPr>
  </w:style>
  <w:style w:type="paragraph" w:styleId="ListBullet3">
    <w:name w:val="List Bullet 3"/>
    <w:basedOn w:val="List3"/>
    <w:rsid w:val="00A30226"/>
    <w:pPr>
      <w:numPr>
        <w:numId w:val="14"/>
      </w:numPr>
      <w:tabs>
        <w:tab w:val="clear" w:pos="1021"/>
      </w:tabs>
      <w:ind w:left="1037" w:hanging="357"/>
    </w:pPr>
  </w:style>
  <w:style w:type="paragraph" w:styleId="ListBullet4">
    <w:name w:val="List Bullet 4"/>
    <w:basedOn w:val="List4"/>
    <w:rsid w:val="00A30226"/>
    <w:pPr>
      <w:numPr>
        <w:numId w:val="2"/>
      </w:numPr>
    </w:pPr>
  </w:style>
  <w:style w:type="paragraph" w:styleId="ListBullet5">
    <w:name w:val="List Bullet 5"/>
    <w:basedOn w:val="List5"/>
    <w:rsid w:val="00A30226"/>
    <w:pPr>
      <w:numPr>
        <w:numId w:val="3"/>
      </w:numPr>
    </w:pPr>
  </w:style>
  <w:style w:type="paragraph" w:styleId="ListContinue2">
    <w:name w:val="List Continue 2"/>
    <w:basedOn w:val="List2"/>
    <w:rsid w:val="00A30226"/>
    <w:pPr>
      <w:ind w:firstLine="0"/>
    </w:pPr>
  </w:style>
  <w:style w:type="paragraph" w:styleId="ListContinue3">
    <w:name w:val="List Continue 3"/>
    <w:basedOn w:val="List3"/>
    <w:rsid w:val="00A30226"/>
    <w:pPr>
      <w:ind w:left="1021" w:firstLine="0"/>
    </w:pPr>
  </w:style>
  <w:style w:type="paragraph" w:styleId="ListContinue4">
    <w:name w:val="List Continue 4"/>
    <w:basedOn w:val="List4"/>
    <w:rsid w:val="00A30226"/>
    <w:pPr>
      <w:ind w:firstLine="0"/>
    </w:pPr>
  </w:style>
  <w:style w:type="paragraph" w:styleId="ListContinue5">
    <w:name w:val="List Continue 5"/>
    <w:basedOn w:val="List5"/>
    <w:rsid w:val="00A30226"/>
    <w:pPr>
      <w:ind w:firstLine="0"/>
    </w:pPr>
  </w:style>
  <w:style w:type="paragraph" w:styleId="ListNumber3">
    <w:name w:val="List Number 3"/>
    <w:basedOn w:val="List3"/>
    <w:rsid w:val="00A30226"/>
    <w:pPr>
      <w:numPr>
        <w:numId w:val="4"/>
      </w:numPr>
    </w:pPr>
  </w:style>
  <w:style w:type="paragraph" w:styleId="ListNumber4">
    <w:name w:val="List Number 4"/>
    <w:basedOn w:val="List4"/>
    <w:rsid w:val="00A30226"/>
    <w:pPr>
      <w:numPr>
        <w:numId w:val="5"/>
      </w:numPr>
    </w:pPr>
  </w:style>
  <w:style w:type="paragraph" w:styleId="ListNumber5">
    <w:name w:val="List Number 5"/>
    <w:basedOn w:val="List5"/>
    <w:rsid w:val="00A30226"/>
    <w:pPr>
      <w:numPr>
        <w:numId w:val="6"/>
      </w:numPr>
    </w:pPr>
  </w:style>
  <w:style w:type="paragraph" w:styleId="BlockText">
    <w:name w:val="Block Text"/>
    <w:basedOn w:val="Normal"/>
    <w:rsid w:val="00A30226"/>
    <w:pPr>
      <w:spacing w:after="120"/>
      <w:ind w:left="1440" w:right="1440"/>
    </w:pPr>
  </w:style>
  <w:style w:type="character" w:customStyle="1" w:styleId="Subscript">
    <w:name w:val="Subscript"/>
    <w:rsid w:val="00A30226"/>
    <w:rPr>
      <w:sz w:val="16"/>
      <w:vertAlign w:val="subscript"/>
    </w:rPr>
  </w:style>
  <w:style w:type="character" w:customStyle="1" w:styleId="Superscript">
    <w:name w:val="Superscript"/>
    <w:rsid w:val="00A30226"/>
    <w:rPr>
      <w:sz w:val="16"/>
      <w:vertAlign w:val="superscript"/>
    </w:rPr>
  </w:style>
  <w:style w:type="character" w:customStyle="1" w:styleId="Symbols">
    <w:name w:val="Symbols"/>
    <w:rsid w:val="00A30226"/>
    <w:rPr>
      <w:rFonts w:ascii="Symbol" w:hAnsi="Symbol"/>
    </w:rPr>
  </w:style>
  <w:style w:type="character" w:customStyle="1" w:styleId="MenuOptions">
    <w:name w:val="Menu Options"/>
    <w:rsid w:val="00A30226"/>
    <w:rPr>
      <w:rFonts w:ascii="Arial Narrow" w:hAnsi="Arial Narrow"/>
      <w:smallCaps/>
    </w:rPr>
  </w:style>
  <w:style w:type="character" w:customStyle="1" w:styleId="Buttons">
    <w:name w:val="Buttons"/>
    <w:rsid w:val="00A30226"/>
    <w:rPr>
      <w:b/>
    </w:rPr>
  </w:style>
  <w:style w:type="character" w:customStyle="1" w:styleId="Underlined">
    <w:name w:val="Underlined"/>
    <w:rsid w:val="00A30226"/>
    <w:rPr>
      <w:u w:val="single"/>
    </w:rPr>
  </w:style>
  <w:style w:type="paragraph" w:customStyle="1" w:styleId="TableBodyTextRight">
    <w:name w:val="Table Body Text Right"/>
    <w:basedOn w:val="TableBodyText"/>
    <w:rsid w:val="00A30226"/>
    <w:pPr>
      <w:widowControl w:val="0"/>
      <w:autoSpaceDE w:val="0"/>
      <w:autoSpaceDN w:val="0"/>
      <w:adjustRightInd w:val="0"/>
      <w:jc w:val="right"/>
    </w:pPr>
    <w:rPr>
      <w:rFonts w:cs="Arial"/>
      <w:szCs w:val="18"/>
    </w:rPr>
  </w:style>
  <w:style w:type="paragraph" w:customStyle="1" w:styleId="CopyrightText">
    <w:name w:val="Copyright Text"/>
    <w:basedOn w:val="BodyText"/>
    <w:rsid w:val="00A30226"/>
    <w:rPr>
      <w:sz w:val="18"/>
    </w:rPr>
  </w:style>
  <w:style w:type="paragraph" w:customStyle="1" w:styleId="BodySmallRight">
    <w:name w:val="Body Small Right"/>
    <w:basedOn w:val="BodyTextRight"/>
    <w:rsid w:val="00A30226"/>
    <w:rPr>
      <w:sz w:val="18"/>
      <w:szCs w:val="18"/>
    </w:rPr>
  </w:style>
  <w:style w:type="paragraph" w:customStyle="1" w:styleId="MarginEdition">
    <w:name w:val="Margin Edition"/>
    <w:basedOn w:val="MarginNote"/>
    <w:rsid w:val="00A30226"/>
    <w:pPr>
      <w:spacing w:before="0" w:after="0"/>
    </w:pPr>
    <w:rPr>
      <w:rFonts w:ascii="Times New Roman" w:hAnsi="Times New Roman"/>
      <w:color w:val="999999"/>
    </w:rPr>
  </w:style>
  <w:style w:type="paragraph" w:customStyle="1" w:styleId="Spacer">
    <w:name w:val="Spacer"/>
    <w:basedOn w:val="Normal"/>
    <w:rsid w:val="00A30226"/>
    <w:rPr>
      <w:sz w:val="2"/>
      <w:szCs w:val="2"/>
    </w:rPr>
  </w:style>
  <w:style w:type="character" w:customStyle="1" w:styleId="Small">
    <w:name w:val="Small"/>
    <w:rsid w:val="00A30226"/>
    <w:rPr>
      <w:sz w:val="16"/>
    </w:rPr>
  </w:style>
  <w:style w:type="paragraph" w:customStyle="1" w:styleId="WideTable">
    <w:name w:val="Wide Table"/>
    <w:basedOn w:val="Normal"/>
    <w:rsid w:val="00A30226"/>
    <w:pPr>
      <w:ind w:left="-1418"/>
    </w:pPr>
    <w:rPr>
      <w:sz w:val="2"/>
      <w:szCs w:val="2"/>
    </w:rPr>
  </w:style>
  <w:style w:type="character" w:styleId="PageNumber">
    <w:name w:val="page number"/>
    <w:rsid w:val="00A30226"/>
  </w:style>
  <w:style w:type="paragraph" w:styleId="Quote">
    <w:name w:val="Quote"/>
    <w:basedOn w:val="Heading1"/>
    <w:link w:val="QuoteChar"/>
    <w:qFormat/>
    <w:rsid w:val="00A30226"/>
    <w:rPr>
      <w:b w:val="0"/>
      <w:sz w:val="72"/>
      <w:szCs w:val="72"/>
      <w:lang w:val="en-NZ"/>
    </w:rPr>
  </w:style>
  <w:style w:type="character" w:customStyle="1" w:styleId="QuoteChar">
    <w:name w:val="Quote Char"/>
    <w:link w:val="Quote"/>
    <w:rsid w:val="00A302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226"/>
    <w:pPr>
      <w:pageBreakBefore/>
    </w:pPr>
  </w:style>
  <w:style w:type="paragraph" w:customStyle="1" w:styleId="Border">
    <w:name w:val="Border"/>
    <w:basedOn w:val="Normal"/>
    <w:qFormat/>
    <w:rsid w:val="00A30226"/>
    <w:pPr>
      <w:pBdr>
        <w:top w:val="single" w:sz="18" w:space="1" w:color="auto"/>
      </w:pBdr>
    </w:pPr>
    <w:rPr>
      <w:rFonts w:ascii="Times New Roman" w:hAnsi="Times New Roman"/>
      <w:color w:val="FFFFFF"/>
      <w:sz w:val="2"/>
    </w:rPr>
  </w:style>
  <w:style w:type="character" w:styleId="IntenseEmphasis">
    <w:name w:val="Intense Emphasis"/>
    <w:uiPriority w:val="21"/>
    <w:qFormat/>
    <w:rsid w:val="00A30226"/>
    <w:rPr>
      <w:b/>
      <w:bCs/>
      <w:i/>
      <w:iCs/>
      <w:color w:val="auto"/>
    </w:rPr>
  </w:style>
  <w:style w:type="paragraph" w:styleId="IntenseQuote">
    <w:name w:val="Intense Quote"/>
    <w:basedOn w:val="Normal"/>
    <w:next w:val="Normal"/>
    <w:link w:val="IntenseQuoteChar"/>
    <w:uiPriority w:val="30"/>
    <w:qFormat/>
    <w:rsid w:val="00A3022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30226"/>
    <w:rPr>
      <w:rFonts w:ascii="Courier New" w:eastAsia="Times New Roman" w:hAnsi="Courier New" w:cs="Times New Roman"/>
      <w:b/>
      <w:bCs/>
      <w:i/>
      <w:iCs/>
      <w:szCs w:val="20"/>
      <w:lang w:val="en-US" w:eastAsia="en-US"/>
    </w:rPr>
  </w:style>
  <w:style w:type="character" w:styleId="SubtleReference">
    <w:name w:val="Subtle Reference"/>
    <w:uiPriority w:val="31"/>
    <w:qFormat/>
    <w:rsid w:val="00A30226"/>
    <w:rPr>
      <w:smallCaps/>
      <w:color w:val="auto"/>
      <w:u w:val="single"/>
    </w:rPr>
  </w:style>
  <w:style w:type="character" w:styleId="IntenseReference">
    <w:name w:val="Intense Reference"/>
    <w:uiPriority w:val="32"/>
    <w:qFormat/>
    <w:rsid w:val="00A30226"/>
    <w:rPr>
      <w:b/>
      <w:bCs/>
      <w:smallCaps/>
      <w:color w:val="auto"/>
      <w:spacing w:val="5"/>
      <w:u w:val="single"/>
    </w:rPr>
  </w:style>
  <w:style w:type="paragraph" w:customStyle="1" w:styleId="2ColumnHeading">
    <w:name w:val="2Column Heading"/>
    <w:basedOn w:val="BodyText"/>
    <w:qFormat/>
    <w:rsid w:val="00A30226"/>
    <w:pPr>
      <w:spacing w:after="60"/>
      <w:ind w:left="-2268"/>
    </w:pPr>
    <w:rPr>
      <w:b/>
    </w:rPr>
  </w:style>
  <w:style w:type="paragraph" w:customStyle="1" w:styleId="Heading1TOC">
    <w:name w:val="Heading1 TOC"/>
    <w:basedOn w:val="Normal"/>
    <w:qFormat/>
    <w:rsid w:val="00A30226"/>
    <w:pPr>
      <w:spacing w:before="240" w:after="120"/>
    </w:pPr>
    <w:rPr>
      <w:rFonts w:ascii="Times New Roman" w:hAnsi="Times New Roman"/>
      <w:b/>
      <w:sz w:val="32"/>
    </w:rPr>
  </w:style>
  <w:style w:type="paragraph" w:customStyle="1" w:styleId="Heading2TOC">
    <w:name w:val="Heading2 TOC"/>
    <w:basedOn w:val="Normal"/>
    <w:qFormat/>
    <w:rsid w:val="00A30226"/>
    <w:pPr>
      <w:spacing w:before="240" w:after="60"/>
    </w:pPr>
    <w:rPr>
      <w:rFonts w:ascii="Times New Roman" w:hAnsi="Times New Roman"/>
      <w:b/>
      <w:sz w:val="28"/>
    </w:rPr>
  </w:style>
  <w:style w:type="character" w:customStyle="1" w:styleId="Underline">
    <w:name w:val="Underline"/>
    <w:qFormat/>
    <w:rsid w:val="00A30226"/>
    <w:rPr>
      <w:u w:val="single"/>
    </w:rPr>
  </w:style>
  <w:style w:type="character" w:customStyle="1" w:styleId="BoldandItalics">
    <w:name w:val="Bold and Italics"/>
    <w:qFormat/>
    <w:rsid w:val="00A30226"/>
    <w:rPr>
      <w:b/>
      <w:i/>
      <w:u w:val="none"/>
    </w:rPr>
  </w:style>
  <w:style w:type="paragraph" w:styleId="BalloonText">
    <w:name w:val="Balloon Text"/>
    <w:basedOn w:val="Normal"/>
    <w:link w:val="BalloonTextChar"/>
    <w:rsid w:val="00A30226"/>
    <w:rPr>
      <w:rFonts w:ascii="Tahoma" w:hAnsi="Tahoma" w:cs="Tahoma"/>
      <w:sz w:val="16"/>
      <w:szCs w:val="16"/>
    </w:rPr>
  </w:style>
  <w:style w:type="character" w:customStyle="1" w:styleId="BalloonTextChar">
    <w:name w:val="Balloon Text Char"/>
    <w:link w:val="BalloonText"/>
    <w:rsid w:val="00A302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022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3022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1282</Words>
  <Characters>8210</Characters>
  <Application>Microsoft Office Word</Application>
  <DocSecurity>0</DocSecurity>
  <Lines>306</Lines>
  <Paragraphs>158</Paragraphs>
  <ScaleCrop>false</ScaleCrop>
  <Company>Author-it Software Corporation Ltd.</Company>
  <LinksUpToDate>false</LinksUpToDate>
  <CharactersWithSpaces>9403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FNSICORG509A Maintain integrity of financial systems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2012-05-26T03:53:00Z</dcterms:created>
  <dcterms:modified xsi:type="dcterms:W3CDTF">2012-05-26T03:53:00Z</dcterms:modified>
</cp:coreProperties>
</file>