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F11" w:rsidP="008B2F11">
      <w:pPr>
        <w:pStyle w:val="Title"/>
      </w:pPr>
      <w:bookmarkStart w:id="0" w:name="O_385245"/>
      <w:bookmarkEnd w:id="0"/>
      <w:r>
        <w:fldChar w:fldCharType="begin"/>
      </w:r>
      <w:r>
        <w:instrText xml:space="preserve"> TITLE   \* MERGEFORMAT </w:instrText>
      </w:r>
      <w:r>
        <w:fldChar w:fldCharType="separate"/>
      </w:r>
      <w:r>
        <w:t>FNSICACC307A Reconcile and monitor accounts receivable</w:t>
      </w:r>
      <w:r>
        <w:fldChar w:fldCharType="end"/>
      </w:r>
    </w:p>
    <w:p w:rsidR="008B2F11" w:rsidP="008B2F11">
      <w:pPr>
        <w:pStyle w:val="Version"/>
        <w:sectPr w:rsidSect="00CF2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770" w:rsidP="00CF2770">
      <w:pPr>
        <w:pStyle w:val="Heading1"/>
      </w:pPr>
      <w:r w:rsidRPr="00CF2770">
        <w:t>Modification History</w:t>
      </w:r>
    </w:p>
    <w:p w:rsidR="00000000" w:rsidRPr="00CF2770" w:rsidP="00CF2770">
      <w:pPr>
        <w:pStyle w:val="BodyText"/>
      </w:pPr>
      <w:r w:rsidRPr="00CF2770">
        <w:t>Not Available</w:t>
      </w:r>
    </w:p>
    <w:p w:rsidR="00000000" w:rsidRPr="00CF2770" w:rsidP="00CF2770">
      <w:pPr>
        <w:pStyle w:val="AllowPageBreak"/>
      </w:pPr>
    </w:p>
    <w:p w:rsidR="00000000" w:rsidRPr="00CF2770" w:rsidP="00CF2770">
      <w:pPr>
        <w:pStyle w:val="Heading1"/>
      </w:pPr>
      <w:bookmarkStart w:id="2" w:name="O_385246"/>
      <w:bookmarkEnd w:id="2"/>
      <w:r w:rsidRPr="00CF2770">
        <w:t>INTRODUCTION</w:t>
      </w:r>
    </w:p>
    <w:p w:rsidR="00000000" w:rsidRPr="00CF2770" w:rsidP="00CF2770">
      <w:pPr>
        <w:pStyle w:val="BodyText"/>
      </w:pPr>
    </w:p>
    <w:tbl>
      <w:tblPr>
        <w:tblW w:w="0" w:type="auto"/>
        <w:tblCellMar>
          <w:left w:w="62" w:type="dxa"/>
          <w:right w:w="62" w:type="dxa"/>
        </w:tblCellMar>
        <w:tblLook w:val="0000"/>
      </w:tblPr>
      <w:tblGrid>
        <w:gridCol w:w="3542"/>
        <w:gridCol w:w="5654"/>
      </w:tblGrid>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Unit Descriptor</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BodyText"/>
            </w:pPr>
            <w:r w:rsidRPr="00CF2770">
              <w:t>This unit describes the functions involved in reconciling and monitoring a financial accounts receivable system.</w:t>
            </w:r>
          </w:p>
          <w:p w:rsidR="00000000" w:rsidP="00CF2770">
            <w:pPr>
              <w:pStyle w:val="BodyText"/>
              <w:rPr>
                <w:lang w:val="en-NZ"/>
              </w:rPr>
            </w:pPr>
            <w:r w:rsidRPr="00CF2770">
              <w:t>This unit replaces FNBFIN66A</w:t>
            </w: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Application of the Unit</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BodyText"/>
            </w:pPr>
            <w:r w:rsidRPr="00CF2770">
              <w:t xml:space="preserve">This unit requires the application of skills and knowledge required to reconcile and monitor accounts receivables. The unit encompasses reviewing </w:t>
            </w:r>
            <w:r w:rsidRPr="00CF2770">
              <w:t>accounts receivable processes, identifying bad and doubtful debts, reviewing compliance terms and conditions, planning a recovery action and preparing reports and filing documentation.</w:t>
            </w:r>
          </w:p>
          <w:p w:rsidR="00000000" w:rsidRPr="00CF2770" w:rsidP="00CF2770">
            <w:pPr>
              <w:pStyle w:val="BodyText"/>
            </w:pPr>
            <w:r w:rsidRPr="00CF2770">
              <w:t>This unit may be applied to a range of financial services sectors and c</w:t>
            </w:r>
            <w:r w:rsidRPr="00CF2770">
              <w:t>an be utilised by job positions with an accounts receivable function.</w:t>
            </w:r>
          </w:p>
          <w:p w:rsidR="00000000" w:rsidP="00CF2770">
            <w:pPr>
              <w:pStyle w:val="BodyTex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Unit Sector</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BodyText"/>
            </w:pPr>
            <w:r w:rsidRPr="00CF2770">
              <w:t>No sector assigned</w:t>
            </w:r>
          </w:p>
          <w:p w:rsidR="00000000" w:rsidRPr="00CF2770" w:rsidP="00CF2770">
            <w:pPr>
              <w:pStyle w:val="BodyText"/>
            </w:pPr>
          </w:p>
        </w:tc>
      </w:tr>
    </w:tbl>
    <w:p w:rsidR="00000000" w:rsidRPr="00CF2770" w:rsidP="00CF2770">
      <w:pPr>
        <w:pStyle w:val="BodyText"/>
      </w:pPr>
    </w:p>
    <w:p w:rsidR="00000000" w:rsidRPr="00CF2770" w:rsidP="00CF2770">
      <w:pPr>
        <w:pStyle w:val="BodyText"/>
      </w:pPr>
    </w:p>
    <w:tbl>
      <w:tblPr>
        <w:tblW w:w="0" w:type="auto"/>
        <w:tblCellMar>
          <w:left w:w="62" w:type="dxa"/>
          <w:right w:w="62" w:type="dxa"/>
        </w:tblCellMar>
        <w:tblLook w:val="0000"/>
      </w:tblPr>
      <w:tblGrid>
        <w:gridCol w:w="3662"/>
        <w:gridCol w:w="5534"/>
      </w:tblGrid>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Heading2"/>
            </w:pPr>
            <w:r w:rsidRPr="00CF2770">
              <w:t>ELEMENT</w:t>
            </w:r>
          </w:p>
        </w:tc>
        <w:tc>
          <w:tcPr>
            <w:tcW w:w="0" w:type="auto"/>
            <w:tcBorders>
              <w:top w:val="nil"/>
              <w:left w:val="nil"/>
              <w:bottom w:val="nil"/>
              <w:right w:val="nil"/>
            </w:tcBorders>
            <w:tcMar>
              <w:top w:w="0" w:type="dxa"/>
              <w:left w:w="62" w:type="dxa"/>
              <w:bottom w:w="0" w:type="dxa"/>
              <w:right w:w="62" w:type="dxa"/>
            </w:tcMar>
          </w:tcPr>
          <w:p w:rsidR="00000000" w:rsidP="00CF2770">
            <w:pPr>
              <w:pStyle w:val="Heading2"/>
            </w:pPr>
            <w:r w:rsidRPr="00CF2770">
              <w:t>PERFORMANCE CRITERIA</w:t>
            </w: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List"/>
              <w:rPr>
                <w:lang w:val="en-NZ"/>
              </w:rPr>
            </w:pPr>
            <w:r w:rsidRPr="00CF2770">
              <w:t>1.</w:t>
            </w:r>
            <w:r w:rsidRPr="00CF2770">
              <w:tab/>
              <w:t>Review accounts receivable process</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1.1</w:t>
            </w:r>
            <w:r w:rsidRPr="00CF2770">
              <w:tab/>
            </w:r>
            <w:r w:rsidRPr="00CF2770">
              <w:t>Receipts entered into accounts receivable system are checked for accuracy, consistency and thoroughness</w:t>
            </w:r>
          </w:p>
          <w:p w:rsidR="00000000" w:rsidRPr="00CF2770" w:rsidP="00CF2770">
            <w:pPr>
              <w:pStyle w:val="List"/>
            </w:pPr>
            <w:r w:rsidRPr="00CF2770">
              <w:t>1.2</w:t>
            </w:r>
            <w:r w:rsidRPr="00CF2770">
              <w:tab/>
              <w:t>Incorrect entries are identified and accurately recorded according to type and source of receipt</w:t>
            </w:r>
          </w:p>
          <w:p w:rsidR="00000000" w:rsidRPr="00CF2770" w:rsidP="00CF2770">
            <w:pPr>
              <w:pStyle w:val="List"/>
            </w:pPr>
            <w:r w:rsidRPr="00CF2770">
              <w:t>1.3</w:t>
            </w:r>
            <w:r w:rsidRPr="00CF2770">
              <w:tab/>
              <w:t>Discrepancies between monies owed and monies pa</w:t>
            </w:r>
            <w:r w:rsidRPr="00CF2770">
              <w:t>id are identified and investigated according to company policy and established procedures</w:t>
            </w:r>
          </w:p>
          <w:p w:rsidR="00000000" w:rsidRPr="00CF2770" w:rsidP="00CF2770">
            <w:pPr>
              <w:pStyle w:val="List"/>
            </w:pPr>
            <w:r w:rsidRPr="00CF2770">
              <w:t>1.4</w:t>
            </w:r>
            <w:r w:rsidRPr="00CF2770">
              <w:tab/>
              <w:t>Receipts entered into accounts receivable system are amended according to established procedures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List"/>
              <w:rPr>
                <w:lang w:val="en-NZ"/>
              </w:rPr>
            </w:pPr>
            <w:r w:rsidRPr="00CF2770">
              <w:t>2.</w:t>
            </w:r>
            <w:r w:rsidRPr="00CF2770">
              <w:tab/>
              <w:t>Identify bad and doubtful debts</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2.1</w:t>
            </w:r>
            <w:r w:rsidRPr="00CF2770">
              <w:tab/>
              <w:t>Debtor's ledger is regul</w:t>
            </w:r>
            <w:r w:rsidRPr="00CF2770">
              <w:t>arly reviewed in accordance with company policy and guidelines to identify outstanding monies</w:t>
            </w:r>
          </w:p>
          <w:p w:rsidR="00000000" w:rsidRPr="00CF2770" w:rsidP="00CF2770">
            <w:pPr>
              <w:pStyle w:val="List"/>
            </w:pPr>
            <w:r w:rsidRPr="00CF2770">
              <w:t>2.2</w:t>
            </w:r>
            <w:r w:rsidRPr="00CF2770">
              <w:tab/>
              <w:t>Further information required is sought from relevant sources</w:t>
            </w:r>
          </w:p>
          <w:p w:rsidR="00000000" w:rsidRPr="00CF2770" w:rsidP="00CF2770">
            <w:pPr>
              <w:pStyle w:val="List"/>
            </w:pPr>
            <w:r w:rsidRPr="00CF2770">
              <w:t>2.3</w:t>
            </w:r>
            <w:r w:rsidRPr="00CF2770">
              <w:tab/>
              <w:t>Bad or doubtful debt status is verified through liaison with debtors</w:t>
            </w:r>
          </w:p>
          <w:p w:rsidR="00000000" w:rsidRPr="00CF2770" w:rsidP="00CF2770">
            <w:pPr>
              <w:pStyle w:val="List"/>
            </w:pPr>
            <w:r w:rsidRPr="00CF2770">
              <w:t>2.4</w:t>
            </w:r>
            <w:r w:rsidRPr="00CF2770">
              <w:tab/>
              <w:t>Reporting procedures</w:t>
            </w:r>
            <w:r w:rsidRPr="00CF2770">
              <w:t xml:space="preserve"> and appropriate documentation for bad and doubtful debts is completed in accordance with company policy and guidelines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List"/>
              <w:rPr>
                <w:lang w:val="en-NZ"/>
              </w:rPr>
            </w:pPr>
            <w:r w:rsidRPr="00CF2770">
              <w:t>3.</w:t>
            </w:r>
            <w:r w:rsidRPr="00CF2770">
              <w:tab/>
              <w:t>Review compliance with terms and conditions</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3.1</w:t>
            </w:r>
            <w:r w:rsidRPr="00CF2770">
              <w:tab/>
              <w:t>Clients in default of trading terms are correctly identified according to company o</w:t>
            </w:r>
            <w:r w:rsidRPr="00CF2770">
              <w:t>perating procedures</w:t>
            </w:r>
          </w:p>
          <w:p w:rsidR="00000000" w:rsidRPr="00CF2770" w:rsidP="00CF2770">
            <w:pPr>
              <w:pStyle w:val="List"/>
            </w:pPr>
            <w:r w:rsidRPr="00CF2770">
              <w:t>3.2</w:t>
            </w:r>
            <w:r w:rsidRPr="00CF2770">
              <w:tab/>
              <w:t>Clients in default are contacted promptly and courteously to make satisfactory arrangements to pay monies outstanding</w:t>
            </w:r>
          </w:p>
          <w:p w:rsidR="00000000" w:rsidRPr="00CF2770" w:rsidP="00CF2770">
            <w:pPr>
              <w:pStyle w:val="List"/>
            </w:pPr>
            <w:r w:rsidRPr="00CF2770">
              <w:t>3.3</w:t>
            </w:r>
            <w:r w:rsidRPr="00CF2770">
              <w:tab/>
              <w:t xml:space="preserve">Monies owing that constitute breaches of company credit policy are actioned in accordance with company policy </w:t>
            </w:r>
            <w:r w:rsidRPr="00CF2770">
              <w:t>and procedures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List"/>
              <w:rPr>
                <w:lang w:val="en-NZ"/>
              </w:rPr>
            </w:pPr>
            <w:r w:rsidRPr="00CF2770">
              <w:t>4.</w:t>
            </w:r>
            <w:r w:rsidRPr="00CF2770">
              <w:tab/>
              <w:t>Plan recovery action</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4.1</w:t>
            </w:r>
            <w:r w:rsidRPr="00CF2770">
              <w:tab/>
              <w:t>Previous activities and communication with clients are thoroughly reviewed to establish adequacy of follow-up procedures, and whether all usual company recovery avenues have been exhausted</w:t>
            </w:r>
          </w:p>
          <w:p w:rsidR="00000000" w:rsidRPr="00CF2770" w:rsidP="00CF2770">
            <w:pPr>
              <w:pStyle w:val="List"/>
            </w:pPr>
            <w:r w:rsidRPr="00CF2770">
              <w:t>4.2</w:t>
            </w:r>
            <w:r w:rsidRPr="00CF2770">
              <w:tab/>
              <w:t>Plans to pursue de</w:t>
            </w:r>
            <w:r w:rsidRPr="00CF2770">
              <w:t>bt recovery or to initiate legal action are developed in accordance with company policy and guidelines</w:t>
            </w:r>
          </w:p>
          <w:p w:rsidR="00000000" w:rsidRPr="00CF2770" w:rsidP="00CF2770">
            <w:pPr>
              <w:pStyle w:val="List"/>
            </w:pPr>
            <w:r w:rsidRPr="00CF2770">
              <w:t>4.3</w:t>
            </w:r>
            <w:r w:rsidRPr="00CF2770">
              <w:tab/>
              <w:t>Measures to collect monies are completed within company guidelines and timelines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List"/>
              <w:rPr>
                <w:lang w:val="en-NZ"/>
              </w:rPr>
            </w:pPr>
            <w:r w:rsidRPr="00CF2770">
              <w:t>5.</w:t>
            </w:r>
            <w:r w:rsidRPr="00CF2770">
              <w:tab/>
              <w:t>Prepare reports and file documentation</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5.1</w:t>
            </w:r>
            <w:r w:rsidRPr="00CF2770">
              <w:tab/>
            </w:r>
            <w:r w:rsidRPr="00CF2770">
              <w:t>Reports are prepared which document accounts receivable debt recovery type, cause and recovery plan</w:t>
            </w:r>
          </w:p>
          <w:p w:rsidR="00000000" w:rsidRPr="00CF2770" w:rsidP="00CF2770">
            <w:pPr>
              <w:pStyle w:val="List"/>
            </w:pPr>
            <w:r w:rsidRPr="00CF2770">
              <w:t>5.2</w:t>
            </w:r>
            <w:r w:rsidRPr="00CF2770">
              <w:tab/>
              <w:t>Reports are distributed to supervisors, managers and other relevant parties</w:t>
            </w:r>
          </w:p>
          <w:p w:rsidR="00000000" w:rsidRPr="00CF2770" w:rsidP="00CF2770">
            <w:pPr>
              <w:pStyle w:val="List"/>
            </w:pPr>
            <w:r w:rsidRPr="00CF2770">
              <w:t>5.3</w:t>
            </w:r>
            <w:r w:rsidRPr="00CF2770">
              <w:tab/>
              <w:t>Documentation is filed promptly in accordance with company policy and pr</w:t>
            </w:r>
            <w:r w:rsidRPr="00CF2770">
              <w:t>ocedures</w:t>
            </w:r>
          </w:p>
          <w:p w:rsidR="00000000" w:rsidRPr="00CF2770" w:rsidP="00CF2770">
            <w:pPr>
              <w:pStyle w:val="List"/>
            </w:pPr>
          </w:p>
        </w:tc>
      </w:tr>
    </w:tbl>
    <w:p w:rsidR="008B2F11" w:rsidP="00CF2770">
      <w:pPr>
        <w:pStyle w:val="BodyText"/>
      </w:pPr>
    </w:p>
    <w:p w:rsidR="008B2F11" w:rsidP="00CF2770">
      <w:pPr>
        <w:pStyle w:val="BodyText"/>
      </w:pPr>
    </w:p>
    <w:p w:rsidR="00000000" w:rsidRPr="00CF2770" w:rsidP="00CF2770">
      <w:pPr>
        <w:pStyle w:val="Heading1"/>
      </w:pPr>
      <w:bookmarkStart w:id="3" w:name="O_385247"/>
      <w:bookmarkEnd w:id="3"/>
      <w:r w:rsidRPr="00CF2770">
        <w:t>REQUIRED SKILLS AND KNOWLEDGE</w:t>
      </w:r>
    </w:p>
    <w:p w:rsidR="00000000" w:rsidRPr="00CF2770" w:rsidP="00CF2770">
      <w:pPr>
        <w:pStyle w:val="BodyText"/>
      </w:pPr>
    </w:p>
    <w:p w:rsidR="00000000" w:rsidRPr="00CF2770" w:rsidP="00CF2770">
      <w:pPr>
        <w:pStyle w:val="BodyText"/>
      </w:pPr>
      <w:r w:rsidRPr="00CF2770">
        <w:t>This describes the essential skills and knowledge and their level, required for this unit.</w:t>
      </w:r>
    </w:p>
    <w:p w:rsidR="00000000" w:rsidRPr="00CF2770" w:rsidP="00CF2770">
      <w:pPr>
        <w:pStyle w:val="BodyText"/>
      </w:pPr>
    </w:p>
    <w:tbl>
      <w:tblPr>
        <w:tblW w:w="0" w:type="auto"/>
        <w:tblCellMar>
          <w:left w:w="62" w:type="dxa"/>
          <w:right w:w="62" w:type="dxa"/>
        </w:tblCellMar>
        <w:tblLook w:val="0000"/>
      </w:tblPr>
      <w:tblGrid>
        <w:gridCol w:w="3662"/>
        <w:gridCol w:w="5534"/>
      </w:tblGrid>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Knowledge requirements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company policy, guidelines and procedures</w:t>
            </w:r>
          </w:p>
          <w:p w:rsidR="00000000" w:rsidRPr="00CF2770" w:rsidP="00CF2770">
            <w:pPr>
              <w:pStyle w:val="List"/>
            </w:pPr>
            <w:r w:rsidRPr="00CF2770">
              <w:t>•</w:t>
            </w:r>
            <w:r w:rsidRPr="00CF2770">
              <w:tab/>
              <w:t>information technology an</w:t>
            </w:r>
            <w:r w:rsidRPr="00CF2770">
              <w:t>d communication systems</w:t>
            </w:r>
          </w:p>
          <w:p w:rsidR="00000000" w:rsidRPr="00CF2770" w:rsidP="00CF2770">
            <w:pPr>
              <w:pStyle w:val="List"/>
            </w:pPr>
            <w:r w:rsidRPr="00CF2770">
              <w:t>•</w:t>
            </w:r>
            <w:r w:rsidRPr="00CF2770">
              <w:tab/>
              <w:t>industry compliance requirements</w:t>
            </w:r>
          </w:p>
          <w:p w:rsidR="00000000" w:rsidRPr="00CF2770" w:rsidP="00CF2770">
            <w:pPr>
              <w:pStyle w:val="List"/>
            </w:pPr>
            <w:r w:rsidRPr="00CF2770">
              <w:t>•</w:t>
            </w:r>
            <w:r w:rsidRPr="00CF2770">
              <w:tab/>
              <w:t>industry codes of practice</w:t>
            </w:r>
          </w:p>
          <w:p w:rsidR="00000000" w:rsidRPr="00CF2770" w:rsidP="00CF2770">
            <w:pPr>
              <w:pStyle w:val="List"/>
            </w:pPr>
            <w:r w:rsidRPr="00CF2770">
              <w:t>•</w:t>
            </w:r>
            <w:r w:rsidRPr="00CF2770">
              <w:tab/>
              <w:t>knowledge or awareness of legal systems and procedures and relevant acts or regulations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Skills requirements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r>
            <w:r w:rsidRPr="00CF2770">
              <w:t>computing, including spreadsheets and databases</w:t>
            </w:r>
          </w:p>
          <w:p w:rsidR="00000000" w:rsidRPr="00CF2770" w:rsidP="00CF2770">
            <w:pPr>
              <w:pStyle w:val="List"/>
            </w:pPr>
            <w:r w:rsidRPr="00CF2770">
              <w:t>•</w:t>
            </w:r>
            <w:r w:rsidRPr="00CF2770">
              <w:tab/>
              <w:t>literacy and numeracy skills</w:t>
            </w:r>
          </w:p>
          <w:p w:rsidR="00000000" w:rsidRPr="00CF2770" w:rsidP="00CF2770">
            <w:pPr>
              <w:pStyle w:val="List"/>
            </w:pPr>
            <w:r w:rsidRPr="00CF2770">
              <w:t>•</w:t>
            </w:r>
            <w:r w:rsidRPr="00CF2770">
              <w:tab/>
              <w:t>analytical skills</w:t>
            </w:r>
          </w:p>
          <w:p w:rsidR="00000000" w:rsidRPr="00CF2770" w:rsidP="00CF2770">
            <w:pPr>
              <w:pStyle w:val="List"/>
            </w:pPr>
            <w:r w:rsidRPr="00CF2770">
              <w:t>•</w:t>
            </w:r>
            <w:r w:rsidRPr="00CF2770">
              <w:tab/>
              <w:t>attention to detail</w:t>
            </w:r>
          </w:p>
          <w:p w:rsidR="00000000" w:rsidRPr="00CF2770" w:rsidP="00CF2770">
            <w:pPr>
              <w:pStyle w:val="List"/>
            </w:pPr>
            <w:r w:rsidRPr="00CF2770">
              <w:t>•</w:t>
            </w:r>
            <w:r w:rsidRPr="00CF2770">
              <w:tab/>
              <w:t>interpersonal and customer relations</w:t>
            </w:r>
          </w:p>
          <w:p w:rsidR="00000000" w:rsidRPr="00CF2770" w:rsidP="00CF2770">
            <w:pPr>
              <w:pStyle w:val="List"/>
            </w:pPr>
            <w:r w:rsidRPr="00CF2770">
              <w:t>•</w:t>
            </w:r>
            <w:r w:rsidRPr="00CF2770">
              <w:tab/>
              <w:t>telephone skills</w:t>
            </w:r>
          </w:p>
          <w:p w:rsidR="00000000" w:rsidRPr="00CF2770" w:rsidP="00CF2770">
            <w:pPr>
              <w:pStyle w:val="List"/>
            </w:pPr>
            <w:r w:rsidRPr="00CF2770">
              <w:t>•</w:t>
            </w:r>
            <w:r w:rsidRPr="00CF2770">
              <w:tab/>
              <w:t>letter writing</w:t>
            </w:r>
          </w:p>
          <w:p w:rsidR="00000000" w:rsidRPr="00CF2770" w:rsidP="00CF2770">
            <w:pPr>
              <w:pStyle w:val="List"/>
            </w:pPr>
            <w:r w:rsidRPr="00CF2770">
              <w:t>•</w:t>
            </w:r>
            <w:r w:rsidRPr="00CF2770">
              <w:tab/>
              <w:t>report writing</w:t>
            </w:r>
          </w:p>
          <w:p w:rsidR="00000000" w:rsidRPr="00CF2770" w:rsidP="00CF2770">
            <w:pPr>
              <w:pStyle w:val="List"/>
            </w:pPr>
            <w:r w:rsidRPr="00CF2770">
              <w:t>•</w:t>
            </w:r>
            <w:r w:rsidRPr="00CF2770">
              <w:tab/>
              <w:t>record keeping</w:t>
            </w:r>
          </w:p>
          <w:p w:rsidR="00000000" w:rsidRPr="00CF2770" w:rsidP="00CF2770">
            <w:pPr>
              <w:pStyle w:val="List"/>
            </w:pPr>
          </w:p>
        </w:tc>
      </w:tr>
    </w:tbl>
    <w:p w:rsidR="00000000" w:rsidRPr="00CF2770" w:rsidP="00CF2770">
      <w:pPr>
        <w:pStyle w:val="BodyText"/>
      </w:pPr>
    </w:p>
    <w:p w:rsidR="00000000" w:rsidRPr="00CF2770" w:rsidP="00CF2770">
      <w:pPr>
        <w:pStyle w:val="AllowPageBreak"/>
      </w:pPr>
    </w:p>
    <w:p w:rsidR="00000000" w:rsidRPr="00CF2770" w:rsidP="00CF2770">
      <w:pPr>
        <w:pStyle w:val="Heading1"/>
      </w:pPr>
      <w:bookmarkStart w:id="4" w:name="O_385248"/>
      <w:bookmarkEnd w:id="4"/>
      <w:r w:rsidRPr="00CF2770">
        <w:t>RANG</w:t>
      </w:r>
      <w:r w:rsidRPr="00CF2770">
        <w:t>E STATEMENT</w:t>
      </w:r>
    </w:p>
    <w:p w:rsidR="00000000" w:rsidRPr="00CF2770" w:rsidP="00CF2770">
      <w:pPr>
        <w:pStyle w:val="BodyText"/>
      </w:pPr>
      <w:r w:rsidRPr="00CF2770">
        <w:t>The Range Statement relates to the unit of competency as a whole. It allows for different work environments and situations that will affect performance.</w:t>
      </w:r>
    </w:p>
    <w:p w:rsidR="00000000" w:rsidRPr="00CF2770" w:rsidP="00CF2770">
      <w:pPr>
        <w:pStyle w:val="BodyText"/>
      </w:pPr>
    </w:p>
    <w:p w:rsidR="00000000" w:rsidRPr="00CF2770" w:rsidP="00CF2770">
      <w:pPr>
        <w:pStyle w:val="BodyText"/>
      </w:pPr>
      <w:r w:rsidRPr="00CF2770">
        <w:t xml:space="preserve">The following variables may be present with training and assessment depending on the work </w:t>
      </w:r>
      <w:r w:rsidRPr="00CF2770">
        <w:t>situation, needs of the candidate, accessibility of the item, and local industry and regional contexts. If bold italicised text is shown in Performance Criteria, details of the text are provided in the Range Statement.</w:t>
      </w:r>
    </w:p>
    <w:p w:rsidR="00000000" w:rsidRPr="00CF2770" w:rsidP="00CF2770">
      <w:pPr>
        <w:pStyle w:val="BodyText"/>
      </w:pPr>
    </w:p>
    <w:tbl>
      <w:tblPr>
        <w:tblW w:w="0" w:type="auto"/>
        <w:tblCellMar>
          <w:left w:w="62" w:type="dxa"/>
          <w:right w:w="62" w:type="dxa"/>
        </w:tblCellMar>
        <w:tblLook w:val="0000"/>
      </w:tblPr>
      <w:tblGrid>
        <w:gridCol w:w="3542"/>
        <w:gridCol w:w="5654"/>
      </w:tblGrid>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Receipts may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cheques (per</w:t>
            </w:r>
            <w:r w:rsidRPr="00CF2770">
              <w:t>sonal, bank)</w:t>
            </w:r>
          </w:p>
          <w:p w:rsidR="00000000" w:rsidRPr="00CF2770" w:rsidP="00CF2770">
            <w:pPr>
              <w:pStyle w:val="List"/>
            </w:pPr>
            <w:r w:rsidRPr="00CF2770">
              <w:t>•</w:t>
            </w:r>
            <w:r w:rsidRPr="00CF2770">
              <w:tab/>
              <w:t>credit cards (direct, mail, telephone)</w:t>
            </w:r>
          </w:p>
          <w:p w:rsidR="00000000" w:rsidRPr="00CF2770" w:rsidP="00CF2770">
            <w:pPr>
              <w:pStyle w:val="List"/>
            </w:pPr>
            <w:r w:rsidRPr="00CF2770">
              <w:t>•</w:t>
            </w:r>
            <w:r w:rsidRPr="00CF2770">
              <w:tab/>
              <w:t>postal order</w:t>
            </w:r>
          </w:p>
          <w:p w:rsidR="00000000" w:rsidRPr="00CF2770" w:rsidP="00CF2770">
            <w:pPr>
              <w:pStyle w:val="List"/>
            </w:pPr>
            <w:r w:rsidRPr="00CF2770">
              <w:t>•</w:t>
            </w:r>
            <w:r w:rsidRPr="00CF2770">
              <w:tab/>
              <w:t>bankers orders</w:t>
            </w:r>
          </w:p>
          <w:p w:rsidR="00000000" w:rsidRPr="00CF2770" w:rsidP="00CF2770">
            <w:pPr>
              <w:pStyle w:val="List"/>
            </w:pPr>
            <w:r w:rsidRPr="00CF2770">
              <w:t>•</w:t>
            </w:r>
            <w:r w:rsidRPr="00CF2770">
              <w:tab/>
              <w:t>cash</w:t>
            </w:r>
          </w:p>
          <w:p w:rsidR="00000000" w:rsidRPr="00CF2770" w:rsidP="00CF2770">
            <w:pPr>
              <w:pStyle w:val="List"/>
            </w:pPr>
            <w:r w:rsidRPr="00CF2770">
              <w:t>•</w:t>
            </w:r>
            <w:r w:rsidRPr="00CF2770">
              <w:tab/>
              <w:t>direct debits</w:t>
            </w:r>
          </w:p>
          <w:p w:rsidR="00000000" w:rsidRPr="00CF2770" w:rsidP="00CF2770">
            <w:pPr>
              <w:pStyle w:val="List"/>
            </w:pPr>
            <w:r w:rsidRPr="00CF2770">
              <w:t>•</w:t>
            </w:r>
            <w:r w:rsidRPr="00CF2770">
              <w:tab/>
              <w:t>direct drawing</w:t>
            </w:r>
          </w:p>
          <w:p w:rsidR="00000000" w:rsidRPr="00CF2770" w:rsidP="00CF2770">
            <w:pPr>
              <w:pStyle w:val="List"/>
            </w:pPr>
            <w:r w:rsidRPr="00CF2770">
              <w:t>•</w:t>
            </w:r>
            <w:r w:rsidRPr="00CF2770">
              <w:tab/>
              <w:t>cash journal entry</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Discrepancies between monies owed and monies paid may occur as a result of:</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part payments</w:t>
            </w:r>
          </w:p>
          <w:p w:rsidR="00000000" w:rsidRPr="00CF2770" w:rsidP="00CF2770">
            <w:pPr>
              <w:pStyle w:val="List"/>
            </w:pPr>
            <w:r w:rsidRPr="00CF2770">
              <w:t>•</w:t>
            </w:r>
            <w:r w:rsidRPr="00CF2770">
              <w:tab/>
              <w:t>under payment</w:t>
            </w:r>
            <w:r w:rsidRPr="00CF2770">
              <w:t>s</w:t>
            </w:r>
          </w:p>
          <w:p w:rsidR="00000000" w:rsidRPr="00CF2770" w:rsidP="00CF2770">
            <w:pPr>
              <w:pStyle w:val="List"/>
            </w:pPr>
            <w:r w:rsidRPr="00CF2770">
              <w:t>•</w:t>
            </w:r>
            <w:r w:rsidRPr="00CF2770">
              <w:tab/>
              <w:t>deduction of brokers/agents commissions</w:t>
            </w:r>
          </w:p>
          <w:p w:rsidR="00000000" w:rsidRPr="00CF2770" w:rsidP="00CF2770">
            <w:pPr>
              <w:pStyle w:val="List"/>
            </w:pPr>
            <w:r w:rsidRPr="00CF2770">
              <w:t>•</w:t>
            </w:r>
            <w:r w:rsidRPr="00CF2770">
              <w:tab/>
              <w:t>key stroke errors</w:t>
            </w:r>
          </w:p>
          <w:p w:rsidR="00000000" w:rsidRPr="00CF2770" w:rsidP="00CF2770">
            <w:pPr>
              <w:pStyle w:val="List"/>
            </w:pPr>
            <w:r w:rsidRPr="00CF2770">
              <w:t>•</w:t>
            </w:r>
            <w:r w:rsidRPr="00CF2770">
              <w:tab/>
              <w:t>over payments</w:t>
            </w:r>
          </w:p>
          <w:p w:rsidR="00000000" w:rsidRPr="00CF2770" w:rsidP="00CF2770">
            <w:pPr>
              <w:pStyle w:val="List"/>
            </w:pPr>
            <w:r w:rsidRPr="00CF2770">
              <w:t>•</w:t>
            </w:r>
            <w:r w:rsidRPr="00CF2770">
              <w:tab/>
              <w:t>termination of policies</w:t>
            </w:r>
          </w:p>
          <w:p w:rsidR="00000000" w:rsidRPr="00CF2770" w:rsidP="00CF2770">
            <w:pPr>
              <w:pStyle w:val="List"/>
            </w:pPr>
            <w:r w:rsidRPr="00CF2770">
              <w:t>•</w:t>
            </w:r>
            <w:r w:rsidRPr="00CF2770">
              <w:tab/>
              <w:t>incorrect account allocation</w:t>
            </w:r>
          </w:p>
          <w:p w:rsidR="00000000" w:rsidRPr="00CF2770" w:rsidP="00CF2770">
            <w:pPr>
              <w:pStyle w:val="List"/>
            </w:pPr>
            <w:r w:rsidRPr="00CF2770">
              <w:t>•</w:t>
            </w:r>
            <w:r w:rsidRPr="00CF2770">
              <w:tab/>
              <w:t>system errors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Bad or doubtful debts are identified through:</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dishonoured cheques</w:t>
            </w:r>
          </w:p>
          <w:p w:rsidR="00000000" w:rsidRPr="00CF2770" w:rsidP="00CF2770">
            <w:pPr>
              <w:pStyle w:val="List"/>
            </w:pPr>
            <w:r w:rsidRPr="00CF2770">
              <w:t>•</w:t>
            </w:r>
            <w:r w:rsidRPr="00CF2770">
              <w:tab/>
            </w:r>
            <w:r w:rsidRPr="00CF2770">
              <w:t>Australian Securities and Investments Commission (ASIC) action</w:t>
            </w:r>
          </w:p>
          <w:p w:rsidR="00000000" w:rsidRPr="00CF2770" w:rsidP="00CF2770">
            <w:pPr>
              <w:pStyle w:val="List"/>
            </w:pPr>
            <w:r w:rsidRPr="00CF2770">
              <w:t>•</w:t>
            </w:r>
            <w:r w:rsidRPr="00CF2770">
              <w:tab/>
              <w:t>banks foregoing overdrafts</w:t>
            </w:r>
          </w:p>
          <w:p w:rsidR="00000000" w:rsidRPr="00CF2770" w:rsidP="00CF2770">
            <w:pPr>
              <w:pStyle w:val="List"/>
            </w:pPr>
            <w:r w:rsidRPr="00CF2770">
              <w:t>•</w:t>
            </w:r>
            <w:r w:rsidRPr="00CF2770">
              <w:tab/>
              <w:t>closure of business</w:t>
            </w:r>
          </w:p>
          <w:p w:rsidR="00000000" w:rsidRPr="00CF2770" w:rsidP="00CF2770">
            <w:pPr>
              <w:pStyle w:val="List"/>
            </w:pPr>
            <w:r w:rsidRPr="00CF2770">
              <w:t>•</w:t>
            </w:r>
            <w:r w:rsidRPr="00CF2770">
              <w:tab/>
              <w:t>notices of administration</w:t>
            </w:r>
          </w:p>
          <w:p w:rsidR="00000000" w:rsidRPr="00CF2770" w:rsidP="00CF2770">
            <w:pPr>
              <w:pStyle w:val="List"/>
            </w:pPr>
            <w:r w:rsidRPr="00CF2770">
              <w:t>•</w:t>
            </w:r>
            <w:r w:rsidRPr="00CF2770">
              <w:tab/>
              <w:t>returned mail</w:t>
            </w:r>
          </w:p>
          <w:p w:rsidR="00000000" w:rsidRPr="00CF2770" w:rsidP="00CF2770">
            <w:pPr>
              <w:pStyle w:val="List"/>
            </w:pPr>
            <w:r w:rsidRPr="00CF2770">
              <w:t>•</w:t>
            </w:r>
            <w:r w:rsidRPr="00CF2770">
              <w:tab/>
              <w:t>letters from solicitors/accountants</w:t>
            </w:r>
          </w:p>
          <w:p w:rsidR="00000000" w:rsidRPr="00CF2770" w:rsidP="00CF2770">
            <w:pPr>
              <w:pStyle w:val="List"/>
            </w:pPr>
            <w:r w:rsidRPr="00CF2770">
              <w:t>•</w:t>
            </w:r>
            <w:r w:rsidRPr="00CF2770">
              <w:tab/>
              <w:t>sheriff notices/advertisements</w:t>
            </w:r>
          </w:p>
          <w:p w:rsidR="00000000" w:rsidRPr="00CF2770" w:rsidP="00CF2770">
            <w:pPr>
              <w:pStyle w:val="List"/>
            </w:pPr>
            <w:r w:rsidRPr="00CF2770">
              <w:t>•</w:t>
            </w:r>
            <w:r w:rsidRPr="00CF2770">
              <w:tab/>
              <w:t>utilities being cut off</w:t>
            </w:r>
          </w:p>
          <w:p w:rsidR="00000000" w:rsidRPr="00CF2770" w:rsidP="00CF2770">
            <w:pPr>
              <w:pStyle w:val="List"/>
            </w:pPr>
            <w:r w:rsidRPr="00CF2770">
              <w:t>•</w:t>
            </w:r>
            <w:r w:rsidRPr="00CF2770">
              <w:tab/>
              <w:t>gazette listings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Clients may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policy holders</w:t>
            </w:r>
          </w:p>
          <w:p w:rsidR="00000000" w:rsidRPr="00CF2770" w:rsidP="00CF2770">
            <w:pPr>
              <w:pStyle w:val="List"/>
            </w:pPr>
            <w:r w:rsidRPr="00CF2770">
              <w:t>•</w:t>
            </w:r>
            <w:r w:rsidRPr="00CF2770">
              <w:tab/>
              <w:t>agents</w:t>
            </w:r>
          </w:p>
          <w:p w:rsidR="00000000" w:rsidRPr="00CF2770" w:rsidP="00CF2770">
            <w:pPr>
              <w:pStyle w:val="List"/>
            </w:pPr>
            <w:r w:rsidRPr="00CF2770">
              <w:t>•</w:t>
            </w:r>
            <w:r w:rsidRPr="00CF2770">
              <w:tab/>
              <w:t>customers</w:t>
            </w:r>
          </w:p>
          <w:p w:rsidR="00000000" w:rsidRPr="00CF2770" w:rsidP="00CF2770">
            <w:pPr>
              <w:pStyle w:val="List"/>
            </w:pPr>
            <w:r w:rsidRPr="00CF2770">
              <w:t>•</w:t>
            </w:r>
            <w:r w:rsidRPr="00CF2770">
              <w:tab/>
              <w:t>solicitors</w:t>
            </w:r>
          </w:p>
          <w:p w:rsidR="00000000" w:rsidRPr="00CF2770" w:rsidP="00CF2770">
            <w:pPr>
              <w:pStyle w:val="List"/>
            </w:pPr>
            <w:r w:rsidRPr="00CF2770">
              <w:t>•</w:t>
            </w:r>
            <w:r w:rsidRPr="00CF2770">
              <w:tab/>
              <w:t>brokers</w:t>
            </w:r>
          </w:p>
          <w:p w:rsidR="00000000" w:rsidRPr="00CF2770" w:rsidP="00CF2770">
            <w:pPr>
              <w:pStyle w:val="List"/>
            </w:pPr>
            <w:r w:rsidRPr="00CF2770">
              <w:t>•</w:t>
            </w:r>
            <w:r w:rsidRPr="00CF2770">
              <w:tab/>
              <w:t>intermediaries</w:t>
            </w:r>
          </w:p>
          <w:p w:rsidR="00000000" w:rsidRPr="00CF2770" w:rsidP="00CF2770">
            <w:pPr>
              <w:pStyle w:val="List"/>
            </w:pPr>
            <w:r w:rsidRPr="00CF2770">
              <w:t>•</w:t>
            </w:r>
            <w:r w:rsidRPr="00CF2770">
              <w:tab/>
              <w:t>accountants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Company policy, procedures and guidelines may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overall company goals and objectives</w:t>
            </w:r>
          </w:p>
          <w:p w:rsidR="00000000" w:rsidRPr="00CF2770" w:rsidP="00CF2770">
            <w:pPr>
              <w:pStyle w:val="List"/>
            </w:pPr>
            <w:r w:rsidRPr="00CF2770">
              <w:t>•</w:t>
            </w:r>
            <w:r w:rsidRPr="00CF2770">
              <w:tab/>
            </w:r>
            <w:r w:rsidRPr="00CF2770">
              <w:t>internal control guidelines</w:t>
            </w:r>
          </w:p>
          <w:p w:rsidR="00000000" w:rsidRPr="00CF2770" w:rsidP="00CF2770">
            <w:pPr>
              <w:pStyle w:val="List"/>
            </w:pPr>
            <w:r w:rsidRPr="00CF2770">
              <w:t>•</w:t>
            </w:r>
            <w:r w:rsidRPr="00CF2770">
              <w:tab/>
              <w:t>trading terms and credit limits</w:t>
            </w:r>
          </w:p>
          <w:p w:rsidR="00000000" w:rsidRPr="00CF2770" w:rsidP="00CF2770">
            <w:pPr>
              <w:pStyle w:val="List"/>
            </w:pPr>
            <w:r w:rsidRPr="00CF2770">
              <w:t>•</w:t>
            </w:r>
            <w:r w:rsidRPr="00CF2770">
              <w:tab/>
              <w:t>suspension of credit facilities</w:t>
            </w:r>
          </w:p>
          <w:p w:rsidR="00000000" w:rsidRPr="00CF2770" w:rsidP="00CF2770">
            <w:pPr>
              <w:pStyle w:val="List"/>
            </w:pPr>
            <w:r w:rsidRPr="00CF2770">
              <w:t>•</w:t>
            </w:r>
            <w:r w:rsidRPr="00CF2770">
              <w:tab/>
              <w:t>operations manuals</w:t>
            </w:r>
          </w:p>
          <w:p w:rsidR="00000000" w:rsidRPr="00CF2770" w:rsidP="00CF2770">
            <w:pPr>
              <w:pStyle w:val="List"/>
            </w:pPr>
            <w:r w:rsidRPr="00CF2770">
              <w:t>•</w:t>
            </w:r>
            <w:r w:rsidRPr="00CF2770">
              <w:tab/>
              <w:t>computer system documentation</w:t>
            </w:r>
          </w:p>
          <w:p w:rsidR="00000000" w:rsidRPr="00CF2770" w:rsidP="00CF2770">
            <w:pPr>
              <w:pStyle w:val="List"/>
            </w:pPr>
            <w:r w:rsidRPr="00CF2770">
              <w:t>•</w:t>
            </w:r>
            <w:r w:rsidRPr="00CF2770">
              <w:tab/>
              <w:t>legal obligations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Recovery action and measures to collect monies may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liaison with clients</w:t>
            </w:r>
          </w:p>
          <w:p w:rsidR="00000000" w:rsidRPr="00CF2770" w:rsidP="00CF2770">
            <w:pPr>
              <w:pStyle w:val="List"/>
            </w:pPr>
            <w:r w:rsidRPr="00CF2770">
              <w:t>•</w:t>
            </w:r>
            <w:r w:rsidRPr="00CF2770">
              <w:tab/>
            </w:r>
            <w:r w:rsidRPr="00CF2770">
              <w:t>letters of notice</w:t>
            </w:r>
          </w:p>
          <w:p w:rsidR="00000000" w:rsidRPr="00CF2770" w:rsidP="00CF2770">
            <w:pPr>
              <w:pStyle w:val="List"/>
            </w:pPr>
            <w:r w:rsidRPr="00CF2770">
              <w:t>•</w:t>
            </w:r>
            <w:r w:rsidRPr="00CF2770">
              <w:tab/>
              <w:t>advice to supervisors/managers/legal officers</w:t>
            </w:r>
          </w:p>
          <w:p w:rsidR="00000000" w:rsidRPr="00CF2770" w:rsidP="00CF2770">
            <w:pPr>
              <w:pStyle w:val="List"/>
            </w:pPr>
            <w:r w:rsidRPr="00CF2770">
              <w:t>•</w:t>
            </w:r>
            <w:r w:rsidRPr="00CF2770">
              <w:tab/>
              <w:t>return of goods</w:t>
            </w:r>
          </w:p>
          <w:p w:rsidR="00000000" w:rsidRPr="00CF2770" w:rsidP="00CF2770">
            <w:pPr>
              <w:pStyle w:val="List"/>
            </w:pPr>
            <w:r w:rsidRPr="00CF2770">
              <w:t>•</w:t>
            </w:r>
            <w:r w:rsidRPr="00CF2770">
              <w:tab/>
              <w:t>legal action</w:t>
            </w:r>
          </w:p>
          <w:p w:rsidR="00000000" w:rsidRPr="00CF2770" w:rsidP="00CF2770">
            <w:pPr>
              <w:pStyle w:val="List"/>
            </w:pPr>
            <w:r w:rsidRPr="00CF2770">
              <w:t>•</w:t>
            </w:r>
            <w:r w:rsidRPr="00CF2770">
              <w:tab/>
              <w:t>plaint</w:t>
            </w:r>
          </w:p>
          <w:p w:rsidR="00000000" w:rsidRPr="00CF2770" w:rsidP="00CF2770">
            <w:pPr>
              <w:pStyle w:val="List"/>
            </w:pPr>
            <w:r w:rsidRPr="00CF2770">
              <w:t>•</w:t>
            </w:r>
            <w:r w:rsidRPr="00CF2770">
              <w:tab/>
              <w:t>dunning letters</w:t>
            </w:r>
          </w:p>
          <w:p w:rsidR="00000000" w:rsidRPr="00CF2770" w:rsidP="00CF2770">
            <w:pPr>
              <w:pStyle w:val="List"/>
            </w:pPr>
            <w:r w:rsidRPr="00CF2770">
              <w:t>•</w:t>
            </w:r>
            <w:r w:rsidRPr="00CF2770">
              <w:tab/>
              <w:t>letters of demand without prejudice</w:t>
            </w:r>
          </w:p>
          <w:p w:rsidR="00000000" w:rsidRPr="00CF2770" w:rsidP="00CF2770">
            <w:pPr>
              <w:pStyle w:val="List"/>
            </w:pPr>
            <w:r w:rsidRPr="00CF2770">
              <w:t>•</w:t>
            </w:r>
            <w:r w:rsidRPr="00CF2770">
              <w:tab/>
              <w:t>third party intervention</w:t>
            </w:r>
          </w:p>
          <w:p w:rsidR="00000000" w:rsidRPr="00CF2770" w:rsidP="00CF2770">
            <w:pPr>
              <w:pStyle w:val="List"/>
            </w:pPr>
            <w:r w:rsidRPr="00CF2770">
              <w:t>•</w:t>
            </w:r>
            <w:r w:rsidRPr="00CF2770">
              <w:tab/>
              <w:t>summons</w:t>
            </w:r>
          </w:p>
          <w:p w:rsidR="00000000" w:rsidRPr="00CF2770" w:rsidP="00CF2770">
            <w:pPr>
              <w:pStyle w:val="List"/>
            </w:pPr>
            <w:r w:rsidRPr="00CF2770">
              <w:t>•</w:t>
            </w:r>
            <w:r w:rsidRPr="00CF2770">
              <w:tab/>
              <w:t>write-offs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Reports may be periodic or on demand, ma</w:t>
            </w:r>
            <w:r w:rsidRPr="00CF2770">
              <w:t>nual or computer generated, and may include: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consumer statements</w:t>
            </w:r>
          </w:p>
          <w:p w:rsidR="00000000" w:rsidRPr="00CF2770" w:rsidP="00CF2770">
            <w:pPr>
              <w:pStyle w:val="List"/>
            </w:pPr>
            <w:r w:rsidRPr="00CF2770">
              <w:t>•</w:t>
            </w:r>
            <w:r w:rsidRPr="00CF2770">
              <w:tab/>
              <w:t>statistical/financial or management reports</w:t>
            </w:r>
          </w:p>
          <w:p w:rsidR="00000000" w:rsidRPr="00CF2770" w:rsidP="00CF2770">
            <w:pPr>
              <w:pStyle w:val="List"/>
            </w:pPr>
            <w:r w:rsidRPr="00CF2770">
              <w:t>•</w:t>
            </w:r>
            <w:r w:rsidRPr="00CF2770">
              <w:tab/>
              <w:t>user reports</w:t>
            </w:r>
          </w:p>
          <w:p w:rsidR="00000000" w:rsidRPr="00CF2770" w:rsidP="00CF2770">
            <w:pPr>
              <w:pStyle w:val="List"/>
            </w:pPr>
            <w:r w:rsidRPr="00CF2770">
              <w:t>•</w:t>
            </w:r>
            <w:r w:rsidRPr="00CF2770">
              <w:tab/>
              <w:t>legislative requirements</w:t>
            </w:r>
          </w:p>
          <w:p w:rsidR="00000000" w:rsidRPr="00CF2770" w:rsidP="00CF2770">
            <w:pPr>
              <w:pStyle w:val="List"/>
            </w:pPr>
          </w:p>
        </w:tc>
      </w:tr>
    </w:tbl>
    <w:p w:rsidR="008B2F11" w:rsidP="00CF2770">
      <w:pPr>
        <w:pStyle w:val="BodyText"/>
      </w:pPr>
    </w:p>
    <w:p w:rsidR="008B2F11" w:rsidP="00CF2770">
      <w:pPr>
        <w:pStyle w:val="BodyText"/>
      </w:pPr>
    </w:p>
    <w:p w:rsidR="00000000" w:rsidRPr="00CF2770" w:rsidP="00CF2770">
      <w:pPr>
        <w:pStyle w:val="Heading1"/>
      </w:pPr>
      <w:bookmarkStart w:id="5" w:name="O_385249"/>
      <w:bookmarkEnd w:id="5"/>
      <w:r w:rsidRPr="00CF2770">
        <w:t>EVIDENCE GUIDE</w:t>
      </w:r>
    </w:p>
    <w:p w:rsidR="00000000" w:rsidRPr="00CF2770" w:rsidP="00CF2770">
      <w:pPr>
        <w:pStyle w:val="BodyText"/>
      </w:pPr>
      <w:r w:rsidRPr="00CF2770">
        <w:t>Assessment of performance requirements in the unit should be undertaken in an industry context. The Evidence Guide identifies the critical aspects, knowledge and skills to be demonstrated to confirm competency for the unit. Competency is demonstrated by pe</w:t>
      </w:r>
      <w:r w:rsidRPr="00CF2770">
        <w:t>rformance of all stated criteria including the Range of Variables applicable to the workplace.</w:t>
      </w:r>
    </w:p>
    <w:p w:rsidR="00000000" w:rsidRPr="00CF2770" w:rsidP="00CF2770">
      <w:pPr>
        <w:pStyle w:val="BodyText"/>
      </w:pPr>
    </w:p>
    <w:p w:rsidR="00000000" w:rsidRPr="00CF2770" w:rsidP="00CF2770">
      <w:pPr>
        <w:pStyle w:val="BodyText"/>
      </w:pPr>
    </w:p>
    <w:tbl>
      <w:tblPr>
        <w:tblW w:w="0" w:type="auto"/>
        <w:tblCellMar>
          <w:left w:w="62" w:type="dxa"/>
          <w:right w:w="62" w:type="dxa"/>
        </w:tblCellMar>
        <w:tblLook w:val="0000"/>
      </w:tblPr>
      <w:tblGrid>
        <w:gridCol w:w="3689"/>
        <w:gridCol w:w="5507"/>
      </w:tblGrid>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BodyText"/>
            </w:pPr>
            <w:r w:rsidRPr="00CF2770">
              <w:t>To achieve competency in this unit, a person must be able to demonstrate:</w:t>
            </w:r>
          </w:p>
          <w:p w:rsidR="00000000" w:rsidRPr="00CF2770" w:rsidP="00CF2770">
            <w:pPr>
              <w:pStyle w:val="ListBullet"/>
            </w:pPr>
            <w:r w:rsidRPr="00CF2770">
              <w:t>knowledge of company policies and procedures for</w:t>
            </w:r>
            <w:r w:rsidRPr="00CF2770">
              <w:t xml:space="preserve"> monitoring accounts receivable</w:t>
            </w:r>
          </w:p>
          <w:p w:rsidR="00000000" w:rsidRPr="00CF2770" w:rsidP="00CF2770">
            <w:pPr>
              <w:pStyle w:val="ListBullet"/>
            </w:pPr>
            <w:r w:rsidRPr="00CF2770">
              <w:t>knowledge of industry compliance requirements</w:t>
            </w:r>
          </w:p>
          <w:p w:rsidR="00000000" w:rsidRPr="00CF2770" w:rsidP="00CF2770">
            <w:pPr>
              <w:pStyle w:val="ListBullet"/>
            </w:pPr>
            <w:r w:rsidRPr="00CF2770">
              <w:t>knowledge of relevant legislation</w:t>
            </w:r>
          </w:p>
          <w:p w:rsidR="00000000" w:rsidRPr="00CF2770" w:rsidP="00CF2770">
            <w:pPr>
              <w:pStyle w:val="ListBullet"/>
            </w:pPr>
            <w:r w:rsidRPr="00CF2770">
              <w:t>ability to review accounts receivable process</w:t>
            </w:r>
          </w:p>
          <w:p w:rsidR="00000000" w:rsidRPr="00CF2770" w:rsidP="00CF2770">
            <w:pPr>
              <w:pStyle w:val="ListBullet"/>
            </w:pPr>
            <w:r w:rsidRPr="00CF2770">
              <w:t>ability to identify bad and doubtful debts</w:t>
            </w:r>
          </w:p>
          <w:p w:rsidR="00000000" w:rsidRPr="00CF2770" w:rsidP="00CF2770">
            <w:pPr>
              <w:pStyle w:val="ListBullet"/>
            </w:pPr>
            <w:r w:rsidRPr="00CF2770">
              <w:t>ability to review compliance with terms and conditions</w:t>
            </w:r>
          </w:p>
          <w:p w:rsidR="00000000" w:rsidRPr="00CF2770" w:rsidP="00CF2770">
            <w:pPr>
              <w:pStyle w:val="ListBullet"/>
            </w:pPr>
            <w:r w:rsidRPr="00CF2770">
              <w:t>ability to plan recovery actions</w:t>
            </w:r>
          </w:p>
          <w:p w:rsidR="00000000" w:rsidRPr="00CF2770" w:rsidP="00CF2770">
            <w:pPr>
              <w:pStyle w:val="ListBullet"/>
            </w:pPr>
            <w:r w:rsidRPr="00CF2770">
              <w:t>ability to prepare reports and file documentation</w:t>
            </w:r>
          </w:p>
          <w:p w:rsidR="00000000" w:rsidP="00CF2770">
            <w:pPr>
              <w:pStyle w:val="BodyTex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Evidence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Competence in this unit must be assessed over a period of time in order to ensure consistency of performan</w:t>
            </w:r>
            <w:r w:rsidRPr="00CF2770">
              <w:t>ce over the Range of Variables and contexts applicable to the work environment.</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Delivery/relationship to other units:</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This unit may be assessed on its own or it may be assessed with other units that cover related skills and knowledge.</w:t>
            </w:r>
          </w:p>
          <w:p w:rsidR="00000000" w:rsidRPr="00CF2770" w:rsidP="00CF2770">
            <w:pPr>
              <w:pStyle w:val="List"/>
            </w:pPr>
            <w:r w:rsidRPr="00CF2770">
              <w:t>•</w:t>
            </w:r>
            <w:r w:rsidRPr="00CF2770">
              <w:tab/>
            </w:r>
            <w:r w:rsidRPr="00CF2770">
              <w:t>Evidence is most relevant when provided through an integrated activity which combines the elements of competency for the unit, or a cluster of units of competency.</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Method of assessment:</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For valid and reliable assessment of this unit, evidence must be g</w:t>
            </w:r>
            <w:r w:rsidRPr="00CF2770">
              <w:t>athered through a range of methods to indicate consistent performance.</w:t>
            </w:r>
          </w:p>
          <w:p w:rsidR="00000000" w:rsidRPr="00CF2770" w:rsidP="00CF2770">
            <w:pPr>
              <w:pStyle w:val="List"/>
            </w:pPr>
            <w:r w:rsidRPr="00CF2770">
              <w:t>•</w:t>
            </w:r>
            <w:r w:rsidRPr="00CF2770">
              <w:tab/>
              <w:t>Assessment of this unit of competence will usually include observation of processes and procedures, oral and/or written questioning on underpinning knowledge and skills and other meth</w:t>
            </w:r>
            <w:r w:rsidRPr="00CF2770">
              <w:t>ods as required.</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Context of assessment:</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Assessment of performance requirements in this unit should be undertaken within the financial services industry context and should cover aspects of personal/financial responsibility and accountability.</w:t>
            </w:r>
          </w:p>
          <w:p w:rsidR="00000000" w:rsidRPr="00CF2770" w:rsidP="00CF2770">
            <w:pPr>
              <w:pStyle w:val="List"/>
            </w:pPr>
            <w:r w:rsidRPr="00CF2770">
              <w:t>•</w:t>
            </w:r>
            <w:r w:rsidRPr="00CF2770">
              <w:tab/>
              <w:t xml:space="preserve">Aspects </w:t>
            </w:r>
            <w:r w:rsidRPr="00CF2770">
              <w:t>of competency, including the attainment of relevant knowledge and skills, may be assessed in a relevant workplace, a closely simulated work environment, or other appropriate means that clearly meet industry competency requirements.</w:t>
            </w:r>
          </w:p>
          <w:p w:rsidR="00000000" w:rsidP="00CF2770">
            <w:pPr>
              <w:pStyle w:val="List"/>
              <w:rPr>
                <w:lang w:val="en-NZ"/>
              </w:rPr>
            </w:pPr>
          </w:p>
        </w:tc>
      </w:tr>
      <w:tr w:rsidTr="008B2F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770">
            <w:pPr>
              <w:pStyle w:val="BodyText"/>
              <w:rPr>
                <w:lang w:val="en-NZ"/>
              </w:rPr>
            </w:pPr>
            <w:r w:rsidRPr="00CF2770">
              <w:t>Resources required for</w:t>
            </w:r>
            <w:r w:rsidRPr="00CF2770">
              <w:t xml:space="preserve"> assessment:</w:t>
            </w:r>
          </w:p>
        </w:tc>
        <w:tc>
          <w:tcPr>
            <w:tcW w:w="0" w:type="auto"/>
            <w:tcBorders>
              <w:top w:val="nil"/>
              <w:left w:val="nil"/>
              <w:bottom w:val="nil"/>
              <w:right w:val="nil"/>
            </w:tcBorders>
            <w:tcMar>
              <w:top w:w="0" w:type="dxa"/>
              <w:left w:w="62" w:type="dxa"/>
              <w:bottom w:w="0" w:type="dxa"/>
              <w:right w:w="62" w:type="dxa"/>
            </w:tcMar>
          </w:tcPr>
          <w:p w:rsidR="00000000" w:rsidRPr="00CF2770" w:rsidP="00CF2770">
            <w:pPr>
              <w:pStyle w:val="List"/>
            </w:pPr>
            <w:r w:rsidRPr="00CF2770">
              <w:t>•</w:t>
            </w:r>
            <w:r w:rsidRPr="00CF2770">
              <w:tab/>
              <w:t xml:space="preserve">Unless otherwise specified, there are no significant resource implications for assessment of this unit, apart from access to a relevant workplace or closely simulated office environment and the use of a range of office equipment, technology </w:t>
            </w:r>
            <w:r w:rsidRPr="00CF2770">
              <w:t>and consumables. These may include standard commercial computer hardware, software, telephones, facsimiles, and other relevant office equipment.</w:t>
            </w:r>
          </w:p>
          <w:p w:rsidR="00000000" w:rsidRPr="00CF2770" w:rsidP="00CF2770">
            <w:pPr>
              <w:pStyle w:val="List"/>
            </w:pPr>
          </w:p>
        </w:tc>
      </w:tr>
    </w:tbl>
    <w:p w:rsidR="00000000" w:rsidRPr="00CF2770" w:rsidP="00CF2770">
      <w:pPr>
        <w:pStyle w:val="BodyText"/>
      </w:pPr>
    </w:p>
    <w:p w:rsidR="00000000" w:rsidRPr="00CF2770" w:rsidP="00CF2770">
      <w:pPr>
        <w:pStyle w:val="AllowPageBreak"/>
      </w:pPr>
    </w:p>
    <w:p w:rsidR="00000000" w:rsidRPr="00CF2770" w:rsidP="00CF2770">
      <w:pPr>
        <w:pStyle w:val="Heading1"/>
      </w:pPr>
      <w:bookmarkStart w:id="6" w:name="O_385250"/>
      <w:bookmarkEnd w:id="6"/>
      <w:r w:rsidRPr="00CF2770">
        <w:t>KEY COMPETENCY LEVELS</w:t>
      </w:r>
    </w:p>
    <w:p w:rsidR="00000000" w:rsidRPr="00CF2770" w:rsidP="00CF2770">
      <w:pPr>
        <w:pStyle w:val="BodyText"/>
      </w:pPr>
      <w:r w:rsidRPr="00CF2770">
        <w:t>The seven key competencies represent generic skills considered for effective work participation. The numbering against each of the key competencies indicates the performance level required in this unit.</w:t>
      </w:r>
    </w:p>
    <w:p w:rsidR="00000000" w:rsidRPr="00CF2770" w:rsidP="00CF2770">
      <w:pPr>
        <w:pStyle w:val="BodyText"/>
      </w:pPr>
    </w:p>
    <w:p w:rsidR="00000000" w:rsidRPr="00CF2770" w:rsidP="00CF2770">
      <w:pPr>
        <w:pStyle w:val="BodyText"/>
      </w:pPr>
      <w:r w:rsidRPr="00CF2770">
        <w:t>Performance Level 1 - at this level, the candidate i</w:t>
      </w:r>
      <w:r w:rsidRPr="00CF2770">
        <w:t>s required to undertake tasks effectively.  Performance Level 2 - at this level, the candidate is required to manage tasks.  Performance Level 3 - at this level, the candidate is required to use concepts for evaluating and reshaping</w:t>
      </w:r>
    </w:p>
    <w:p w:rsidR="00000000" w:rsidRPr="00CF2770" w:rsidP="00CF2770">
      <w:pPr>
        <w:pStyle w:val="BodyText"/>
      </w:pPr>
    </w:p>
    <w:tbl>
      <w:tblPr>
        <w:tblW w:w="0" w:type="auto"/>
        <w:tblCellMar>
          <w:left w:w="62" w:type="dxa"/>
          <w:right w:w="62" w:type="dxa"/>
        </w:tblCellMar>
        <w:tblLook w:val="0000"/>
      </w:tblPr>
      <w:tblGrid>
        <w:gridCol w:w="3111"/>
        <w:gridCol w:w="2759"/>
        <w:gridCol w:w="3326"/>
      </w:tblGrid>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Heading2"/>
            </w:pPr>
            <w:r w:rsidRPr="00CF2770">
              <w:t>Key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Heading2"/>
            </w:pPr>
            <w:r w:rsidRPr="00CF2770">
              <w:t>Perform</w:t>
            </w:r>
            <w:r w:rsidRPr="00CF2770">
              <w:t>ance Level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Heading2"/>
            </w:pPr>
            <w:r w:rsidRPr="00CF2770">
              <w:t>Example of Application</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The process of obtaining additional information and clarification on debts to determine if they should be classified as a doubtful or bad debt will require the communication and liais</w:t>
            </w:r>
            <w:r w:rsidRPr="00CF2770">
              <w:t>on with other team members and debtors.</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 xml:space="preserve">During the recovery action phase previous activities and communication with clients will be reviewed and followed-up, and then reviewed and </w:t>
            </w:r>
            <w:r w:rsidRPr="00CF2770">
              <w:t>organised to determine which course of action will be taken.</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The process of identifying possible and doubtful debts will be completed in accordance with company policy and guidelines. The process of planning the recove</w:t>
            </w:r>
            <w:r w:rsidRPr="00CF2770">
              <w:t>ry of debts will be planned in accordance with legal advice and company policies.</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The process of seeking further information to determine if a debt can be classified as a doubtful debt or bad debt will require teamwork w</w:t>
            </w:r>
            <w:r w:rsidRPr="00CF2770">
              <w:t>ith other colleagues and debtors.</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The process of calculating and determining if an outstanding debt is a bad or doubtful debt will require the application of mathematical ideas and techniques.</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Reviewing the debtor's ledgers in accordance with company guidelines to identify outstanding monies, as bad or doubtful debts, will require the application of problem solving skills.</w:t>
            </w:r>
          </w:p>
        </w:tc>
      </w:tr>
      <w:tr w:rsidTr="008B2F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Using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770">
            <w:pPr>
              <w:pStyle w:val="BodyText"/>
              <w:rPr>
                <w:lang w:val="en-NZ"/>
              </w:rPr>
            </w:pPr>
            <w:r w:rsidRPr="00CF277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770" w:rsidP="00CF2770">
            <w:pPr>
              <w:pStyle w:val="BodyText"/>
            </w:pPr>
            <w:r w:rsidRPr="00CF2770">
              <w:t>Technology can be applied through the utilisation of computers, organisational accounting software systems and telecommunication devices.</w:t>
            </w:r>
          </w:p>
        </w:tc>
      </w:tr>
    </w:tbl>
    <w:p w:rsidR="00000000" w:rsidRPr="00CF2770" w:rsidP="00CF2770">
      <w:pPr>
        <w:pStyle w:val="BodyText"/>
      </w:pPr>
    </w:p>
    <w:p w:rsidR="00000000" w:rsidRPr="00CF2770" w:rsidP="00CF2770"/>
    <w:sectPr w:rsidSect="00CF2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F11" w:rsidP="008B2F11">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11" w:rsidP="00CF2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2F11" w:rsidP="00CF2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2F11" w:rsidP="00CF2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F11" w:rsidP="008B2F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F11" w:rsidP="00CF2770">
    <w:pPr>
      <w:pStyle w:val="Header"/>
      <w:framePr w:wrap="around"/>
    </w:pPr>
    <w:r>
      <w:fldChar w:fldCharType="begin"/>
    </w:r>
    <w:r>
      <w:instrText xml:space="preserve"> TITLE   \* MERGEFORMAT </w:instrText>
    </w:r>
    <w:r>
      <w:fldChar w:fldCharType="separate"/>
    </w:r>
    <w:r>
      <w:t>FNSICACC307A Reconcile and monitor accounts receivable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2F11" w:rsidP="00CF2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00D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E2D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770"/>
    <w:pPr>
      <w:spacing w:before="360" w:after="60"/>
      <w:outlineLvl w:val="0"/>
    </w:pPr>
    <w:rPr>
      <w:sz w:val="32"/>
    </w:rPr>
  </w:style>
  <w:style w:type="paragraph" w:styleId="Heading2">
    <w:name w:val="heading 2"/>
    <w:basedOn w:val="HeadingBase"/>
    <w:next w:val="BodyText"/>
    <w:link w:val="Heading2Char"/>
    <w:qFormat/>
    <w:rsid w:val="00CF2770"/>
    <w:pPr>
      <w:keepLines/>
      <w:spacing w:before="240" w:after="120"/>
      <w:outlineLvl w:val="1"/>
    </w:pPr>
    <w:rPr>
      <w:sz w:val="28"/>
      <w:szCs w:val="40"/>
    </w:rPr>
  </w:style>
  <w:style w:type="paragraph" w:styleId="Heading3">
    <w:name w:val="heading 3"/>
    <w:basedOn w:val="HeadingBase"/>
    <w:next w:val="BodyText"/>
    <w:link w:val="Heading3Char"/>
    <w:qFormat/>
    <w:rsid w:val="00CF2770"/>
    <w:pPr>
      <w:spacing w:before="180" w:after="120"/>
      <w:outlineLvl w:val="2"/>
    </w:pPr>
    <w:rPr>
      <w:spacing w:val="-10"/>
      <w:kern w:val="32"/>
    </w:rPr>
  </w:style>
  <w:style w:type="paragraph" w:styleId="Heading4">
    <w:name w:val="heading 4"/>
    <w:basedOn w:val="HeadingBase"/>
    <w:next w:val="BodyText"/>
    <w:link w:val="Heading4Char"/>
    <w:qFormat/>
    <w:rsid w:val="00CF2770"/>
    <w:pPr>
      <w:spacing w:before="160" w:after="120"/>
      <w:outlineLvl w:val="3"/>
    </w:pPr>
    <w:rPr>
      <w:sz w:val="22"/>
    </w:rPr>
  </w:style>
  <w:style w:type="paragraph" w:styleId="Heading5">
    <w:name w:val="heading 5"/>
    <w:basedOn w:val="HeadingBase"/>
    <w:next w:val="Normal"/>
    <w:link w:val="Heading5Char"/>
    <w:qFormat/>
    <w:rsid w:val="00CF2770"/>
    <w:pPr>
      <w:spacing w:before="80"/>
      <w:outlineLvl w:val="4"/>
    </w:pPr>
    <w:rPr>
      <w:color w:val="918585"/>
      <w:sz w:val="20"/>
    </w:rPr>
  </w:style>
  <w:style w:type="paragraph" w:styleId="Heading6">
    <w:name w:val="heading 6"/>
    <w:basedOn w:val="HeadingBase"/>
    <w:next w:val="Normal"/>
    <w:link w:val="Heading6Char"/>
    <w:qFormat/>
    <w:rsid w:val="00CF2770"/>
    <w:pPr>
      <w:spacing w:before="60"/>
      <w:outlineLvl w:val="5"/>
    </w:pPr>
    <w:rPr>
      <w:color w:val="918585"/>
      <w:sz w:val="20"/>
    </w:rPr>
  </w:style>
  <w:style w:type="paragraph" w:styleId="Heading7">
    <w:name w:val="heading 7"/>
    <w:basedOn w:val="Normal"/>
    <w:next w:val="Normal"/>
    <w:link w:val="Heading7Char"/>
    <w:qFormat/>
    <w:rsid w:val="00CF2770"/>
    <w:pPr>
      <w:ind w:left="720"/>
      <w:outlineLvl w:val="6"/>
    </w:pPr>
    <w:rPr>
      <w:i/>
    </w:rPr>
  </w:style>
  <w:style w:type="paragraph" w:styleId="Heading8">
    <w:name w:val="heading 8"/>
    <w:basedOn w:val="Normal"/>
    <w:next w:val="Normal"/>
    <w:link w:val="Heading8Char"/>
    <w:qFormat/>
    <w:rsid w:val="00CF2770"/>
    <w:pPr>
      <w:ind w:left="720"/>
      <w:outlineLvl w:val="7"/>
    </w:pPr>
    <w:rPr>
      <w:i/>
    </w:rPr>
  </w:style>
  <w:style w:type="paragraph" w:styleId="Heading9">
    <w:name w:val="heading 9"/>
    <w:basedOn w:val="Normal"/>
    <w:next w:val="Normal"/>
    <w:link w:val="Heading9Char"/>
    <w:qFormat/>
    <w:rsid w:val="00CF2770"/>
    <w:pPr>
      <w:ind w:left="720"/>
      <w:outlineLvl w:val="8"/>
    </w:pPr>
    <w:rPr>
      <w:i/>
    </w:rPr>
  </w:style>
  <w:style w:type="character" w:default="1" w:styleId="DefaultParagraphFont">
    <w:name w:val="Default Paragraph Font"/>
    <w:uiPriority w:val="1"/>
    <w:unhideWhenUsed/>
    <w:rsid w:val="00CF2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770"/>
  </w:style>
  <w:style w:type="character" w:customStyle="1" w:styleId="Heading1Char">
    <w:name w:val="Heading 1 Char"/>
    <w:link w:val="Heading1"/>
    <w:rsid w:val="00CF2770"/>
    <w:rPr>
      <w:rFonts w:ascii="Times New Roman" w:eastAsia="Times New Roman" w:hAnsi="Times New Roman" w:cs="Times New Roman"/>
      <w:b/>
      <w:sz w:val="32"/>
      <w:szCs w:val="20"/>
      <w:lang w:eastAsia="en-US"/>
    </w:rPr>
  </w:style>
  <w:style w:type="character" w:customStyle="1" w:styleId="Heading2Char">
    <w:name w:val="Heading 2 Char"/>
    <w:link w:val="Heading2"/>
    <w:rsid w:val="00CF2770"/>
    <w:rPr>
      <w:rFonts w:ascii="Times New Roman" w:eastAsia="Times New Roman" w:hAnsi="Times New Roman" w:cs="Times New Roman"/>
      <w:b/>
      <w:sz w:val="28"/>
      <w:szCs w:val="40"/>
      <w:lang w:eastAsia="en-US"/>
    </w:rPr>
  </w:style>
  <w:style w:type="paragraph" w:styleId="BodyText">
    <w:name w:val="Body Text"/>
    <w:basedOn w:val="Normal"/>
    <w:link w:val="BodyTextChar"/>
    <w:rsid w:val="00CF2770"/>
    <w:pPr>
      <w:spacing w:before="120" w:after="120"/>
      <w:contextualSpacing/>
    </w:pPr>
    <w:rPr>
      <w:rFonts w:ascii="Times New Roman" w:hAnsi="Times New Roman"/>
      <w:sz w:val="24"/>
      <w:szCs w:val="22"/>
    </w:rPr>
  </w:style>
  <w:style w:type="character" w:customStyle="1" w:styleId="BodyTextChar">
    <w:name w:val="Body Text Char"/>
    <w:link w:val="BodyText"/>
    <w:rsid w:val="00CF2770"/>
    <w:rPr>
      <w:rFonts w:ascii="Times New Roman" w:eastAsia="Times New Roman" w:hAnsi="Times New Roman" w:cs="Times New Roman"/>
      <w:sz w:val="24"/>
      <w:lang w:val="en-US" w:eastAsia="en-US"/>
    </w:rPr>
  </w:style>
  <w:style w:type="paragraph" w:styleId="Footer">
    <w:name w:val="footer"/>
    <w:basedOn w:val="Normal"/>
    <w:link w:val="FooterChar"/>
    <w:rsid w:val="00CF2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2770"/>
    <w:rPr>
      <w:rFonts w:ascii="Times New Roman" w:eastAsia="Times New Roman" w:hAnsi="Times New Roman" w:cs="Times New Roman"/>
      <w:sz w:val="16"/>
      <w:lang w:val="en-US" w:eastAsia="en-US"/>
    </w:rPr>
  </w:style>
  <w:style w:type="paragraph" w:styleId="List">
    <w:name w:val="List"/>
    <w:basedOn w:val="BodyText"/>
    <w:next w:val="BodyText"/>
    <w:rsid w:val="00CF2770"/>
    <w:pPr>
      <w:tabs>
        <w:tab w:val="left" w:pos="340"/>
      </w:tabs>
      <w:spacing w:before="60" w:after="60"/>
      <w:ind w:left="340" w:hanging="340"/>
    </w:pPr>
  </w:style>
  <w:style w:type="paragraph" w:styleId="ListBullet">
    <w:name w:val="List Bullet"/>
    <w:basedOn w:val="List"/>
    <w:rsid w:val="00CF2770"/>
    <w:pPr>
      <w:numPr>
        <w:numId w:val="12"/>
      </w:numPr>
      <w:tabs>
        <w:tab w:val="clear" w:pos="340"/>
      </w:tabs>
      <w:spacing w:before="40" w:after="40"/>
    </w:pPr>
  </w:style>
  <w:style w:type="paragraph" w:styleId="Header">
    <w:name w:val="header"/>
    <w:basedOn w:val="Normal"/>
    <w:link w:val="HeaderChar"/>
    <w:rsid w:val="00CF2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2770"/>
    <w:rPr>
      <w:rFonts w:ascii="Times New Roman" w:eastAsia="Times New Roman" w:hAnsi="Times New Roman" w:cs="Times New Roman"/>
      <w:sz w:val="16"/>
      <w:szCs w:val="20"/>
      <w:lang w:val="en-GB" w:eastAsia="en-US"/>
    </w:rPr>
  </w:style>
  <w:style w:type="paragraph" w:customStyle="1" w:styleId="AllowPageBreak">
    <w:name w:val="AllowPageBreak"/>
    <w:rsid w:val="00CF27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CF27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2770"/>
    <w:rPr>
      <w:rFonts w:ascii="Times New Roman" w:eastAsia="Times New Roman" w:hAnsi="Times New Roman" w:cs="Times New Roman"/>
      <w:b/>
      <w:szCs w:val="20"/>
      <w:lang w:eastAsia="en-US"/>
    </w:rPr>
  </w:style>
  <w:style w:type="character" w:customStyle="1" w:styleId="Heading5Char">
    <w:name w:val="Heading 5 Char"/>
    <w:link w:val="Heading5"/>
    <w:rsid w:val="00CF27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2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770"/>
    <w:rPr>
      <w:rFonts w:ascii="Courier New" w:eastAsia="Times New Roman" w:hAnsi="Courier New" w:cs="Times New Roman"/>
      <w:i/>
      <w:szCs w:val="20"/>
      <w:lang w:val="en-US" w:eastAsia="en-US"/>
    </w:rPr>
  </w:style>
  <w:style w:type="paragraph" w:customStyle="1" w:styleId="HeadingBase">
    <w:name w:val="Heading Base"/>
    <w:rsid w:val="00CF2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770"/>
    <w:pPr>
      <w:tabs>
        <w:tab w:val="right" w:leader="dot" w:pos="9072"/>
      </w:tabs>
      <w:ind w:left="567"/>
    </w:pPr>
    <w:rPr>
      <w:szCs w:val="22"/>
    </w:rPr>
  </w:style>
  <w:style w:type="paragraph" w:customStyle="1" w:styleId="TOCBase">
    <w:name w:val="TOC Base"/>
    <w:rsid w:val="00CF2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770"/>
    <w:pPr>
      <w:tabs>
        <w:tab w:val="right" w:leader="dot" w:pos="9072"/>
      </w:tabs>
      <w:spacing w:before="40" w:after="40"/>
      <w:ind w:left="284"/>
    </w:pPr>
    <w:rPr>
      <w:rFonts w:ascii="Times New Roman" w:hAnsi="Times New Roman"/>
    </w:rPr>
  </w:style>
  <w:style w:type="paragraph" w:styleId="TOC1">
    <w:name w:val="toc 1"/>
    <w:basedOn w:val="TOCBase"/>
    <w:next w:val="Normal"/>
    <w:rsid w:val="00CF2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770"/>
    <w:pPr>
      <w:spacing w:before="5040"/>
      <w:jc w:val="center"/>
    </w:pPr>
    <w:rPr>
      <w:sz w:val="48"/>
      <w:szCs w:val="72"/>
      <w:lang w:val="en-US"/>
    </w:rPr>
  </w:style>
  <w:style w:type="character" w:customStyle="1" w:styleId="TitleChar">
    <w:name w:val="Title Char"/>
    <w:link w:val="Title"/>
    <w:rsid w:val="00CF2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770"/>
    <w:pPr>
      <w:tabs>
        <w:tab w:val="left" w:pos="3600"/>
        <w:tab w:val="left" w:pos="3958"/>
      </w:tabs>
    </w:pPr>
  </w:style>
  <w:style w:type="paragraph" w:customStyle="1" w:styleId="Note">
    <w:name w:val="Note"/>
    <w:basedOn w:val="BodyText"/>
    <w:rsid w:val="00CF27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CF2770"/>
    <w:rPr>
      <w:b/>
      <w:spacing w:val="0"/>
    </w:rPr>
  </w:style>
  <w:style w:type="paragraph" w:customStyle="1" w:styleId="SuperTitle">
    <w:name w:val="SuperTitle"/>
    <w:basedOn w:val="Title"/>
    <w:rsid w:val="00CF2770"/>
    <w:pPr>
      <w:framePr w:wrap="auto" w:hAnchor="text" w:y="6049"/>
    </w:pPr>
    <w:rPr>
      <w:color w:val="000000"/>
      <w:sz w:val="40"/>
    </w:rPr>
  </w:style>
  <w:style w:type="paragraph" w:customStyle="1" w:styleId="TOCTitle">
    <w:name w:val="TOCTitle"/>
    <w:basedOn w:val="Heading1"/>
    <w:rsid w:val="00CF2770"/>
    <w:pPr>
      <w:spacing w:after="240"/>
      <w:jc w:val="center"/>
      <w:outlineLvl w:val="9"/>
    </w:pPr>
    <w:rPr>
      <w:caps/>
    </w:rPr>
  </w:style>
  <w:style w:type="paragraph" w:customStyle="1" w:styleId="Version">
    <w:name w:val="Version"/>
    <w:rsid w:val="00CF27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770"/>
    <w:pPr>
      <w:numPr>
        <w:numId w:val="13"/>
      </w:numPr>
      <w:tabs>
        <w:tab w:val="clear" w:pos="680"/>
      </w:tabs>
    </w:pPr>
  </w:style>
  <w:style w:type="paragraph" w:styleId="Index1">
    <w:name w:val="index 1"/>
    <w:basedOn w:val="Normal"/>
    <w:next w:val="Normal"/>
    <w:semiHidden/>
    <w:rsid w:val="00CF2770"/>
    <w:pPr>
      <w:keepNext w:val="0"/>
      <w:tabs>
        <w:tab w:val="right" w:pos="4176"/>
      </w:tabs>
      <w:ind w:left="198" w:hanging="198"/>
    </w:pPr>
    <w:rPr>
      <w:rFonts w:ascii="Garamond" w:hAnsi="Garamond"/>
    </w:rPr>
  </w:style>
  <w:style w:type="paragraph" w:styleId="IndexHeading">
    <w:name w:val="index heading"/>
    <w:basedOn w:val="Normal"/>
    <w:next w:val="Index1"/>
    <w:semiHidden/>
    <w:rsid w:val="00CF2770"/>
    <w:pPr>
      <w:spacing w:before="120" w:after="120"/>
    </w:pPr>
    <w:rPr>
      <w:rFonts w:ascii="Arial" w:hAnsi="Arial"/>
      <w:b/>
      <w:color w:val="918585"/>
      <w:sz w:val="24"/>
    </w:rPr>
  </w:style>
  <w:style w:type="paragraph" w:customStyle="1" w:styleId="Chapter">
    <w:name w:val="Chapter"/>
    <w:basedOn w:val="Normal"/>
    <w:rsid w:val="00CF2770"/>
    <w:pPr>
      <w:spacing w:before="240"/>
    </w:pPr>
    <w:rPr>
      <w:rFonts w:ascii="Times New Roman" w:hAnsi="Times New Roman"/>
      <w:smallCaps/>
      <w:spacing w:val="80"/>
      <w:sz w:val="28"/>
    </w:rPr>
  </w:style>
  <w:style w:type="paragraph" w:customStyle="1" w:styleId="InChapter">
    <w:name w:val="InChapter"/>
    <w:basedOn w:val="Heading3"/>
    <w:rsid w:val="00CF2770"/>
    <w:pPr>
      <w:spacing w:after="240"/>
      <w:outlineLvl w:val="9"/>
    </w:pPr>
    <w:rPr>
      <w:noProof/>
    </w:rPr>
  </w:style>
  <w:style w:type="paragraph" w:styleId="Index2">
    <w:name w:val="index 2"/>
    <w:basedOn w:val="Normal"/>
    <w:next w:val="Normal"/>
    <w:semiHidden/>
    <w:rsid w:val="00CF2770"/>
    <w:pPr>
      <w:tabs>
        <w:tab w:val="right" w:pos="4176"/>
      </w:tabs>
      <w:ind w:left="568" w:hanging="284"/>
    </w:pPr>
    <w:rPr>
      <w:rFonts w:ascii="Garamond" w:hAnsi="Garamond"/>
    </w:rPr>
  </w:style>
  <w:style w:type="paragraph" w:customStyle="1" w:styleId="Byline">
    <w:name w:val="Byline"/>
    <w:rsid w:val="00CF2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770"/>
    <w:pPr>
      <w:tabs>
        <w:tab w:val="clear" w:pos="3600"/>
        <w:tab w:val="clear" w:pos="3958"/>
      </w:tabs>
      <w:jc w:val="right"/>
    </w:pPr>
  </w:style>
  <w:style w:type="character" w:styleId="Emphasis">
    <w:name w:val="Emphasis"/>
    <w:qFormat/>
    <w:rsid w:val="00CF2770"/>
    <w:rPr>
      <w:i/>
    </w:rPr>
  </w:style>
  <w:style w:type="paragraph" w:styleId="Caption">
    <w:name w:val="caption"/>
    <w:basedOn w:val="BodyText"/>
    <w:next w:val="Normal"/>
    <w:qFormat/>
    <w:rsid w:val="00CF2770"/>
    <w:pPr>
      <w:framePr w:w="2268" w:hSpace="181" w:vSpace="181" w:wrap="around" w:vAnchor="text" w:hAnchor="page" w:x="1135" w:y="285" w:anchorLock="1"/>
    </w:pPr>
    <w:rPr>
      <w:i/>
    </w:rPr>
  </w:style>
  <w:style w:type="paragraph" w:customStyle="1" w:styleId="MiniTOCTitle">
    <w:name w:val="MiniTOCTitle"/>
    <w:basedOn w:val="Heading4"/>
    <w:rsid w:val="00CF2770"/>
    <w:pPr>
      <w:spacing w:before="240"/>
      <w:outlineLvl w:val="9"/>
    </w:pPr>
    <w:rPr>
      <w:noProof/>
      <w:sz w:val="24"/>
    </w:rPr>
  </w:style>
  <w:style w:type="paragraph" w:customStyle="1" w:styleId="SuperHeading">
    <w:name w:val="SuperHeading"/>
    <w:basedOn w:val="Normal"/>
    <w:rsid w:val="00CF2770"/>
    <w:pPr>
      <w:spacing w:before="240" w:after="120"/>
      <w:outlineLvl w:val="0"/>
    </w:pPr>
    <w:rPr>
      <w:rFonts w:ascii="Times New Roman" w:hAnsi="Times New Roman"/>
      <w:b/>
      <w:sz w:val="28"/>
    </w:rPr>
  </w:style>
  <w:style w:type="paragraph" w:customStyle="1" w:styleId="MiniTOCItem">
    <w:name w:val="MiniTOCItem"/>
    <w:basedOn w:val="ListBullet"/>
    <w:rsid w:val="00CF2770"/>
    <w:pPr>
      <w:numPr>
        <w:numId w:val="0"/>
      </w:numPr>
      <w:tabs>
        <w:tab w:val="right" w:leader="dot" w:pos="6521"/>
      </w:tabs>
      <w:spacing w:before="0" w:after="0"/>
    </w:pPr>
  </w:style>
  <w:style w:type="paragraph" w:customStyle="1" w:styleId="TOFTitle">
    <w:name w:val="TOFTitle"/>
    <w:basedOn w:val="TOCTitle"/>
    <w:rsid w:val="00CF2770"/>
  </w:style>
  <w:style w:type="paragraph" w:styleId="TableofFigures">
    <w:name w:val="table of figures"/>
    <w:basedOn w:val="Normal"/>
    <w:next w:val="Normal"/>
    <w:semiHidden/>
    <w:rsid w:val="00CF2770"/>
    <w:pPr>
      <w:tabs>
        <w:tab w:val="right" w:leader="dot" w:pos="9072"/>
      </w:tabs>
      <w:ind w:left="970" w:hanging="403"/>
    </w:pPr>
    <w:rPr>
      <w:rFonts w:ascii="Times New Roman" w:hAnsi="Times New Roman"/>
      <w:b/>
    </w:rPr>
  </w:style>
  <w:style w:type="paragraph" w:styleId="ListNumber">
    <w:name w:val="List Number"/>
    <w:basedOn w:val="List"/>
    <w:rsid w:val="00CF2770"/>
    <w:pPr>
      <w:numPr>
        <w:numId w:val="10"/>
      </w:numPr>
    </w:pPr>
  </w:style>
  <w:style w:type="character" w:customStyle="1" w:styleId="WingdingSymbols">
    <w:name w:val="Wingding Symbols"/>
    <w:rsid w:val="00CF2770"/>
    <w:rPr>
      <w:rFonts w:ascii="Wingdings" w:hAnsi="Wingdings"/>
    </w:rPr>
  </w:style>
  <w:style w:type="paragraph" w:customStyle="1" w:styleId="TableHeading">
    <w:name w:val="Table Heading"/>
    <w:basedOn w:val="HeadingBase"/>
    <w:rsid w:val="00CF2770"/>
    <w:pPr>
      <w:keepLines/>
      <w:pBdr>
        <w:bottom w:val="single" w:sz="6" w:space="1" w:color="918585"/>
      </w:pBdr>
      <w:spacing w:before="240"/>
    </w:pPr>
  </w:style>
  <w:style w:type="character" w:customStyle="1" w:styleId="HotSpot">
    <w:name w:val="HotSpot"/>
    <w:rsid w:val="00CF2770"/>
    <w:rPr>
      <w:color w:val="0033CC"/>
      <w:u w:val="none"/>
    </w:rPr>
  </w:style>
  <w:style w:type="paragraph" w:customStyle="1" w:styleId="BodyTextRight">
    <w:name w:val="Body Text Right"/>
    <w:basedOn w:val="BodyText"/>
    <w:rsid w:val="00CF2770"/>
    <w:pPr>
      <w:spacing w:before="0" w:after="0"/>
      <w:jc w:val="right"/>
    </w:pPr>
  </w:style>
  <w:style w:type="paragraph" w:styleId="Index3">
    <w:name w:val="index 3"/>
    <w:basedOn w:val="ListNumber2"/>
    <w:next w:val="Normal"/>
    <w:semiHidden/>
    <w:rsid w:val="00CF2770"/>
    <w:pPr>
      <w:numPr>
        <w:numId w:val="0"/>
      </w:numPr>
      <w:tabs>
        <w:tab w:val="right" w:leader="dot" w:pos="4176"/>
      </w:tabs>
    </w:pPr>
  </w:style>
  <w:style w:type="paragraph" w:styleId="ListNumber2">
    <w:name w:val="List Number 2"/>
    <w:basedOn w:val="List2"/>
    <w:rsid w:val="00CF2770"/>
    <w:pPr>
      <w:numPr>
        <w:numId w:val="9"/>
      </w:numPr>
      <w:tabs>
        <w:tab w:val="clear" w:pos="1060"/>
      </w:tabs>
    </w:pPr>
  </w:style>
  <w:style w:type="paragraph" w:customStyle="1" w:styleId="MarginNote">
    <w:name w:val="Margin Note"/>
    <w:basedOn w:val="BodyText"/>
    <w:rsid w:val="00CF2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2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770"/>
    <w:rPr>
      <w:sz w:val="32"/>
    </w:rPr>
  </w:style>
  <w:style w:type="paragraph" w:customStyle="1" w:styleId="HeadingProcedure">
    <w:name w:val="Heading Procedure"/>
    <w:basedOn w:val="HeadingBase"/>
    <w:next w:val="Normal"/>
    <w:rsid w:val="00CF2770"/>
    <w:pPr>
      <w:tabs>
        <w:tab w:val="left" w:pos="0"/>
      </w:tabs>
      <w:spacing w:before="120" w:after="60"/>
    </w:pPr>
    <w:rPr>
      <w:i/>
      <w:color w:val="918585"/>
      <w:sz w:val="22"/>
    </w:rPr>
  </w:style>
  <w:style w:type="paragraph" w:customStyle="1" w:styleId="TableBodyText">
    <w:name w:val="Table Body Text"/>
    <w:basedOn w:val="BodyText"/>
    <w:rsid w:val="00CF2770"/>
    <w:pPr>
      <w:spacing w:before="60" w:after="60"/>
    </w:pPr>
  </w:style>
  <w:style w:type="paragraph" w:styleId="ListContinue">
    <w:name w:val="List Continue"/>
    <w:basedOn w:val="List"/>
    <w:rsid w:val="00CF2770"/>
    <w:pPr>
      <w:ind w:firstLine="0"/>
    </w:pPr>
  </w:style>
  <w:style w:type="paragraph" w:customStyle="1" w:styleId="ListNote">
    <w:name w:val="List Note"/>
    <w:basedOn w:val="List"/>
    <w:rsid w:val="00CF2770"/>
    <w:pPr>
      <w:pBdr>
        <w:top w:val="single" w:sz="6" w:space="2" w:color="918585"/>
        <w:bottom w:val="single" w:sz="6" w:space="2" w:color="918585"/>
      </w:pBdr>
      <w:tabs>
        <w:tab w:val="left" w:pos="1021"/>
      </w:tabs>
      <w:ind w:firstLine="0"/>
    </w:pPr>
  </w:style>
  <w:style w:type="paragraph" w:customStyle="1" w:styleId="Warning">
    <w:name w:val="Warning"/>
    <w:basedOn w:val="BodyText"/>
    <w:rsid w:val="00CF2770"/>
    <w:pPr>
      <w:shd w:val="clear" w:color="auto" w:fill="D9D9D9"/>
      <w:tabs>
        <w:tab w:val="left" w:pos="992"/>
      </w:tabs>
      <w:ind w:left="119" w:right="119"/>
    </w:pPr>
    <w:rPr>
      <w:sz w:val="20"/>
    </w:rPr>
  </w:style>
  <w:style w:type="paragraph" w:customStyle="1" w:styleId="MarginIcons">
    <w:name w:val="Margin Icons"/>
    <w:basedOn w:val="BodyText"/>
    <w:rsid w:val="00CF27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2770"/>
    <w:rPr>
      <w:rFonts w:ascii="Courier New" w:hAnsi="Courier New"/>
    </w:rPr>
  </w:style>
  <w:style w:type="paragraph" w:customStyle="1" w:styleId="NoteBullet">
    <w:name w:val="Note Bullet"/>
    <w:basedOn w:val="Note"/>
    <w:rsid w:val="00CF2770"/>
    <w:pPr>
      <w:tabs>
        <w:tab w:val="clear" w:pos="680"/>
      </w:tabs>
      <w:spacing w:before="60" w:after="60"/>
    </w:pPr>
  </w:style>
  <w:style w:type="paragraph" w:customStyle="1" w:styleId="SubHeading2">
    <w:name w:val="SubHeading2"/>
    <w:basedOn w:val="HeadingBase"/>
    <w:rsid w:val="00CF2770"/>
    <w:pPr>
      <w:spacing w:before="240" w:after="60"/>
    </w:pPr>
    <w:rPr>
      <w:sz w:val="20"/>
    </w:rPr>
  </w:style>
  <w:style w:type="paragraph" w:customStyle="1" w:styleId="SubHeading1">
    <w:name w:val="SubHeading1"/>
    <w:basedOn w:val="HeadingBase"/>
    <w:rsid w:val="00CF2770"/>
    <w:pPr>
      <w:spacing w:before="240" w:after="60"/>
    </w:pPr>
    <w:rPr>
      <w:color w:val="918585"/>
      <w:sz w:val="22"/>
    </w:rPr>
  </w:style>
  <w:style w:type="paragraph" w:customStyle="1" w:styleId="SideHeading">
    <w:name w:val="Side Heading"/>
    <w:basedOn w:val="HeadingBase"/>
    <w:rsid w:val="00CF2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770"/>
    <w:pPr>
      <w:tabs>
        <w:tab w:val="num" w:pos="360"/>
      </w:tabs>
    </w:pPr>
  </w:style>
  <w:style w:type="paragraph" w:styleId="PlainText">
    <w:name w:val="Plain Text"/>
    <w:basedOn w:val="Normal"/>
    <w:link w:val="PlainTextChar"/>
    <w:rsid w:val="00CF2770"/>
    <w:rPr>
      <w:sz w:val="20"/>
    </w:rPr>
  </w:style>
  <w:style w:type="character" w:customStyle="1" w:styleId="PlainTextChar">
    <w:name w:val="Plain Text Char"/>
    <w:basedOn w:val="DefaultParagraphFont"/>
    <w:link w:val="PlainText"/>
    <w:rsid w:val="00CF2770"/>
    <w:rPr>
      <w:rFonts w:ascii="Courier New" w:eastAsia="Times New Roman" w:hAnsi="Courier New" w:cs="Times New Roman"/>
      <w:sz w:val="20"/>
      <w:szCs w:val="20"/>
      <w:lang w:val="en-US" w:eastAsia="en-US"/>
    </w:rPr>
  </w:style>
  <w:style w:type="character" w:customStyle="1" w:styleId="MenuOption">
    <w:name w:val="Menu Option"/>
    <w:rsid w:val="00CF2770"/>
    <w:rPr>
      <w:b/>
      <w:smallCaps/>
    </w:rPr>
  </w:style>
  <w:style w:type="paragraph" w:customStyle="1" w:styleId="TableListNumber">
    <w:name w:val="Table List Number"/>
    <w:basedOn w:val="ListNumber"/>
    <w:rsid w:val="00CF2770"/>
    <w:pPr>
      <w:numPr>
        <w:numId w:val="0"/>
      </w:numPr>
    </w:pPr>
  </w:style>
  <w:style w:type="paragraph" w:styleId="TOC4">
    <w:name w:val="toc 4"/>
    <w:basedOn w:val="TOCBase"/>
    <w:next w:val="Normal"/>
    <w:semiHidden/>
    <w:rsid w:val="00CF2770"/>
    <w:pPr>
      <w:tabs>
        <w:tab w:val="right" w:leader="dot" w:pos="9071"/>
      </w:tabs>
      <w:ind w:left="1701"/>
    </w:pPr>
  </w:style>
  <w:style w:type="paragraph" w:customStyle="1" w:styleId="ListAlpha">
    <w:name w:val="List Alpha"/>
    <w:basedOn w:val="List"/>
    <w:rsid w:val="00CF2770"/>
    <w:pPr>
      <w:numPr>
        <w:numId w:val="8"/>
      </w:numPr>
    </w:pPr>
  </w:style>
  <w:style w:type="paragraph" w:customStyle="1" w:styleId="ListAlpha2">
    <w:name w:val="List Alpha 2"/>
    <w:basedOn w:val="List2"/>
    <w:rsid w:val="00CF2770"/>
    <w:pPr>
      <w:numPr>
        <w:numId w:val="7"/>
      </w:numPr>
    </w:pPr>
  </w:style>
  <w:style w:type="paragraph" w:styleId="List2">
    <w:name w:val="List 2"/>
    <w:basedOn w:val="BodyText"/>
    <w:rsid w:val="00CF2770"/>
    <w:pPr>
      <w:tabs>
        <w:tab w:val="left" w:pos="680"/>
      </w:tabs>
      <w:spacing w:before="60" w:after="60"/>
      <w:ind w:left="680" w:hanging="340"/>
    </w:pPr>
  </w:style>
  <w:style w:type="paragraph" w:styleId="List3">
    <w:name w:val="List 3"/>
    <w:basedOn w:val="BodyText"/>
    <w:rsid w:val="00CF2770"/>
    <w:pPr>
      <w:tabs>
        <w:tab w:val="left" w:pos="1021"/>
      </w:tabs>
      <w:spacing w:before="60" w:after="60"/>
      <w:ind w:left="1020" w:hanging="340"/>
    </w:pPr>
  </w:style>
  <w:style w:type="paragraph" w:styleId="List4">
    <w:name w:val="List 4"/>
    <w:basedOn w:val="BodyText"/>
    <w:rsid w:val="00CF2770"/>
    <w:pPr>
      <w:tabs>
        <w:tab w:val="left" w:pos="1361"/>
      </w:tabs>
      <w:spacing w:before="60" w:after="60"/>
      <w:ind w:left="1361" w:hanging="340"/>
    </w:pPr>
  </w:style>
  <w:style w:type="paragraph" w:styleId="List5">
    <w:name w:val="List 5"/>
    <w:basedOn w:val="BodyText"/>
    <w:rsid w:val="00CF2770"/>
    <w:pPr>
      <w:tabs>
        <w:tab w:val="left" w:pos="1701"/>
      </w:tabs>
      <w:spacing w:before="60" w:after="60"/>
      <w:ind w:left="1701" w:hanging="340"/>
    </w:pPr>
  </w:style>
  <w:style w:type="paragraph" w:styleId="ListBullet3">
    <w:name w:val="List Bullet 3"/>
    <w:basedOn w:val="List3"/>
    <w:rsid w:val="00CF2770"/>
    <w:pPr>
      <w:numPr>
        <w:numId w:val="14"/>
      </w:numPr>
      <w:tabs>
        <w:tab w:val="clear" w:pos="1021"/>
      </w:tabs>
      <w:ind w:left="1037" w:hanging="357"/>
    </w:pPr>
  </w:style>
  <w:style w:type="paragraph" w:styleId="ListBullet4">
    <w:name w:val="List Bullet 4"/>
    <w:basedOn w:val="List4"/>
    <w:rsid w:val="00CF2770"/>
    <w:pPr>
      <w:numPr>
        <w:numId w:val="2"/>
      </w:numPr>
    </w:pPr>
  </w:style>
  <w:style w:type="paragraph" w:styleId="ListBullet5">
    <w:name w:val="List Bullet 5"/>
    <w:basedOn w:val="List5"/>
    <w:rsid w:val="00CF2770"/>
    <w:pPr>
      <w:numPr>
        <w:numId w:val="3"/>
      </w:numPr>
    </w:pPr>
  </w:style>
  <w:style w:type="paragraph" w:styleId="ListContinue2">
    <w:name w:val="List Continue 2"/>
    <w:basedOn w:val="List2"/>
    <w:rsid w:val="00CF2770"/>
    <w:pPr>
      <w:ind w:firstLine="0"/>
    </w:pPr>
  </w:style>
  <w:style w:type="paragraph" w:styleId="ListContinue3">
    <w:name w:val="List Continue 3"/>
    <w:basedOn w:val="List3"/>
    <w:rsid w:val="00CF2770"/>
    <w:pPr>
      <w:ind w:left="1021" w:firstLine="0"/>
    </w:pPr>
  </w:style>
  <w:style w:type="paragraph" w:styleId="ListContinue4">
    <w:name w:val="List Continue 4"/>
    <w:basedOn w:val="List4"/>
    <w:rsid w:val="00CF2770"/>
    <w:pPr>
      <w:ind w:firstLine="0"/>
    </w:pPr>
  </w:style>
  <w:style w:type="paragraph" w:styleId="ListContinue5">
    <w:name w:val="List Continue 5"/>
    <w:basedOn w:val="List5"/>
    <w:rsid w:val="00CF2770"/>
    <w:pPr>
      <w:ind w:firstLine="0"/>
    </w:pPr>
  </w:style>
  <w:style w:type="paragraph" w:styleId="ListNumber3">
    <w:name w:val="List Number 3"/>
    <w:basedOn w:val="List3"/>
    <w:rsid w:val="00CF2770"/>
    <w:pPr>
      <w:numPr>
        <w:numId w:val="4"/>
      </w:numPr>
    </w:pPr>
  </w:style>
  <w:style w:type="paragraph" w:styleId="ListNumber4">
    <w:name w:val="List Number 4"/>
    <w:basedOn w:val="List4"/>
    <w:rsid w:val="00CF2770"/>
    <w:pPr>
      <w:numPr>
        <w:numId w:val="5"/>
      </w:numPr>
    </w:pPr>
  </w:style>
  <w:style w:type="paragraph" w:styleId="ListNumber5">
    <w:name w:val="List Number 5"/>
    <w:basedOn w:val="List5"/>
    <w:rsid w:val="00CF2770"/>
    <w:pPr>
      <w:numPr>
        <w:numId w:val="6"/>
      </w:numPr>
    </w:pPr>
  </w:style>
  <w:style w:type="paragraph" w:styleId="BlockText">
    <w:name w:val="Block Text"/>
    <w:basedOn w:val="Normal"/>
    <w:rsid w:val="00CF2770"/>
    <w:pPr>
      <w:spacing w:after="120"/>
      <w:ind w:left="1440" w:right="1440"/>
    </w:pPr>
  </w:style>
  <w:style w:type="character" w:customStyle="1" w:styleId="Subscript">
    <w:name w:val="Subscript"/>
    <w:rsid w:val="00CF2770"/>
    <w:rPr>
      <w:sz w:val="16"/>
      <w:vertAlign w:val="subscript"/>
    </w:rPr>
  </w:style>
  <w:style w:type="character" w:customStyle="1" w:styleId="Superscript">
    <w:name w:val="Superscript"/>
    <w:rsid w:val="00CF2770"/>
    <w:rPr>
      <w:sz w:val="16"/>
      <w:vertAlign w:val="superscript"/>
    </w:rPr>
  </w:style>
  <w:style w:type="character" w:customStyle="1" w:styleId="Symbols">
    <w:name w:val="Symbols"/>
    <w:rsid w:val="00CF2770"/>
    <w:rPr>
      <w:rFonts w:ascii="Symbol" w:hAnsi="Symbol"/>
    </w:rPr>
  </w:style>
  <w:style w:type="character" w:customStyle="1" w:styleId="MenuOptions">
    <w:name w:val="Menu Options"/>
    <w:rsid w:val="00CF2770"/>
    <w:rPr>
      <w:rFonts w:ascii="Arial Narrow" w:hAnsi="Arial Narrow"/>
      <w:smallCaps/>
    </w:rPr>
  </w:style>
  <w:style w:type="character" w:customStyle="1" w:styleId="Buttons">
    <w:name w:val="Buttons"/>
    <w:rsid w:val="00CF2770"/>
    <w:rPr>
      <w:b/>
    </w:rPr>
  </w:style>
  <w:style w:type="character" w:customStyle="1" w:styleId="Underlined">
    <w:name w:val="Underlined"/>
    <w:rsid w:val="00CF2770"/>
    <w:rPr>
      <w:u w:val="single"/>
    </w:rPr>
  </w:style>
  <w:style w:type="paragraph" w:customStyle="1" w:styleId="TableBodyTextRight">
    <w:name w:val="Table Body Text Right"/>
    <w:basedOn w:val="TableBodyText"/>
    <w:rsid w:val="00CF2770"/>
    <w:pPr>
      <w:widowControl w:val="0"/>
      <w:autoSpaceDE w:val="0"/>
      <w:autoSpaceDN w:val="0"/>
      <w:adjustRightInd w:val="0"/>
      <w:jc w:val="right"/>
    </w:pPr>
    <w:rPr>
      <w:rFonts w:cs="Arial"/>
      <w:szCs w:val="18"/>
    </w:rPr>
  </w:style>
  <w:style w:type="paragraph" w:customStyle="1" w:styleId="CopyrightText">
    <w:name w:val="Copyright Text"/>
    <w:basedOn w:val="BodyText"/>
    <w:rsid w:val="00CF2770"/>
    <w:rPr>
      <w:sz w:val="18"/>
    </w:rPr>
  </w:style>
  <w:style w:type="paragraph" w:customStyle="1" w:styleId="BodySmallRight">
    <w:name w:val="Body Small Right"/>
    <w:basedOn w:val="BodyTextRight"/>
    <w:rsid w:val="00CF2770"/>
    <w:rPr>
      <w:sz w:val="18"/>
      <w:szCs w:val="18"/>
    </w:rPr>
  </w:style>
  <w:style w:type="paragraph" w:customStyle="1" w:styleId="MarginEdition">
    <w:name w:val="Margin Edition"/>
    <w:basedOn w:val="MarginNote"/>
    <w:rsid w:val="00CF2770"/>
    <w:pPr>
      <w:spacing w:before="0" w:after="0"/>
    </w:pPr>
    <w:rPr>
      <w:rFonts w:ascii="Times New Roman" w:hAnsi="Times New Roman"/>
      <w:color w:val="999999"/>
    </w:rPr>
  </w:style>
  <w:style w:type="paragraph" w:customStyle="1" w:styleId="Spacer">
    <w:name w:val="Spacer"/>
    <w:basedOn w:val="Normal"/>
    <w:rsid w:val="00CF2770"/>
    <w:rPr>
      <w:sz w:val="2"/>
      <w:szCs w:val="2"/>
    </w:rPr>
  </w:style>
  <w:style w:type="character" w:customStyle="1" w:styleId="Small">
    <w:name w:val="Small"/>
    <w:rsid w:val="00CF2770"/>
    <w:rPr>
      <w:sz w:val="16"/>
    </w:rPr>
  </w:style>
  <w:style w:type="paragraph" w:customStyle="1" w:styleId="WideTable">
    <w:name w:val="Wide Table"/>
    <w:basedOn w:val="Normal"/>
    <w:rsid w:val="00CF2770"/>
    <w:pPr>
      <w:ind w:left="-1418"/>
    </w:pPr>
    <w:rPr>
      <w:sz w:val="2"/>
      <w:szCs w:val="2"/>
    </w:rPr>
  </w:style>
  <w:style w:type="character" w:styleId="PageNumber">
    <w:name w:val="page number"/>
    <w:rsid w:val="00CF2770"/>
  </w:style>
  <w:style w:type="paragraph" w:styleId="Quote">
    <w:name w:val="Quote"/>
    <w:basedOn w:val="Heading1"/>
    <w:link w:val="QuoteChar"/>
    <w:qFormat/>
    <w:rsid w:val="00CF2770"/>
    <w:rPr>
      <w:b w:val="0"/>
      <w:sz w:val="72"/>
      <w:szCs w:val="72"/>
      <w:lang w:val="en-NZ"/>
    </w:rPr>
  </w:style>
  <w:style w:type="character" w:customStyle="1" w:styleId="QuoteChar">
    <w:name w:val="Quote Char"/>
    <w:link w:val="Quote"/>
    <w:rsid w:val="00CF2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770"/>
    <w:pPr>
      <w:pageBreakBefore/>
    </w:pPr>
  </w:style>
  <w:style w:type="paragraph" w:customStyle="1" w:styleId="Border">
    <w:name w:val="Border"/>
    <w:basedOn w:val="Normal"/>
    <w:qFormat/>
    <w:rsid w:val="00CF2770"/>
    <w:pPr>
      <w:pBdr>
        <w:top w:val="single" w:sz="18" w:space="1" w:color="auto"/>
      </w:pBdr>
    </w:pPr>
    <w:rPr>
      <w:rFonts w:ascii="Times New Roman" w:hAnsi="Times New Roman"/>
      <w:color w:val="FFFFFF"/>
      <w:sz w:val="2"/>
    </w:rPr>
  </w:style>
  <w:style w:type="character" w:styleId="IntenseEmphasis">
    <w:name w:val="Intense Emphasis"/>
    <w:uiPriority w:val="21"/>
    <w:qFormat/>
    <w:rsid w:val="00CF2770"/>
    <w:rPr>
      <w:b/>
      <w:bCs/>
      <w:i/>
      <w:iCs/>
      <w:color w:val="auto"/>
    </w:rPr>
  </w:style>
  <w:style w:type="paragraph" w:styleId="IntenseQuote">
    <w:name w:val="Intense Quote"/>
    <w:basedOn w:val="Normal"/>
    <w:next w:val="Normal"/>
    <w:link w:val="IntenseQuoteChar"/>
    <w:uiPriority w:val="30"/>
    <w:qFormat/>
    <w:rsid w:val="00CF27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2770"/>
    <w:rPr>
      <w:rFonts w:ascii="Courier New" w:eastAsia="Times New Roman" w:hAnsi="Courier New" w:cs="Times New Roman"/>
      <w:b/>
      <w:bCs/>
      <w:i/>
      <w:iCs/>
      <w:szCs w:val="20"/>
      <w:lang w:val="en-US" w:eastAsia="en-US"/>
    </w:rPr>
  </w:style>
  <w:style w:type="character" w:styleId="SubtleReference">
    <w:name w:val="Subtle Reference"/>
    <w:uiPriority w:val="31"/>
    <w:qFormat/>
    <w:rsid w:val="00CF2770"/>
    <w:rPr>
      <w:smallCaps/>
      <w:color w:val="auto"/>
      <w:u w:val="single"/>
    </w:rPr>
  </w:style>
  <w:style w:type="character" w:styleId="IntenseReference">
    <w:name w:val="Intense Reference"/>
    <w:uiPriority w:val="32"/>
    <w:qFormat/>
    <w:rsid w:val="00CF2770"/>
    <w:rPr>
      <w:b/>
      <w:bCs/>
      <w:smallCaps/>
      <w:color w:val="auto"/>
      <w:spacing w:val="5"/>
      <w:u w:val="single"/>
    </w:rPr>
  </w:style>
  <w:style w:type="paragraph" w:customStyle="1" w:styleId="2ColumnHeading">
    <w:name w:val="2Column Heading"/>
    <w:basedOn w:val="BodyText"/>
    <w:qFormat/>
    <w:rsid w:val="00CF2770"/>
    <w:pPr>
      <w:spacing w:after="60"/>
      <w:ind w:left="-2268"/>
    </w:pPr>
    <w:rPr>
      <w:b/>
    </w:rPr>
  </w:style>
  <w:style w:type="paragraph" w:customStyle="1" w:styleId="Heading1TOC">
    <w:name w:val="Heading1 TOC"/>
    <w:basedOn w:val="Normal"/>
    <w:qFormat/>
    <w:rsid w:val="00CF2770"/>
    <w:pPr>
      <w:spacing w:before="240" w:after="120"/>
    </w:pPr>
    <w:rPr>
      <w:rFonts w:ascii="Times New Roman" w:hAnsi="Times New Roman"/>
      <w:b/>
      <w:sz w:val="32"/>
    </w:rPr>
  </w:style>
  <w:style w:type="paragraph" w:customStyle="1" w:styleId="Heading2TOC">
    <w:name w:val="Heading2 TOC"/>
    <w:basedOn w:val="Normal"/>
    <w:qFormat/>
    <w:rsid w:val="00CF2770"/>
    <w:pPr>
      <w:spacing w:before="240" w:after="60"/>
    </w:pPr>
    <w:rPr>
      <w:rFonts w:ascii="Times New Roman" w:hAnsi="Times New Roman"/>
      <w:b/>
      <w:sz w:val="28"/>
    </w:rPr>
  </w:style>
  <w:style w:type="character" w:customStyle="1" w:styleId="Underline">
    <w:name w:val="Underline"/>
    <w:qFormat/>
    <w:rsid w:val="00CF2770"/>
    <w:rPr>
      <w:u w:val="single"/>
    </w:rPr>
  </w:style>
  <w:style w:type="character" w:customStyle="1" w:styleId="BoldandItalics">
    <w:name w:val="Bold and Italics"/>
    <w:qFormat/>
    <w:rsid w:val="00CF2770"/>
    <w:rPr>
      <w:b/>
      <w:i/>
      <w:u w:val="none"/>
    </w:rPr>
  </w:style>
  <w:style w:type="paragraph" w:styleId="BalloonText">
    <w:name w:val="Balloon Text"/>
    <w:basedOn w:val="Normal"/>
    <w:link w:val="BalloonTextChar"/>
    <w:rsid w:val="00CF2770"/>
    <w:rPr>
      <w:rFonts w:ascii="Tahoma" w:hAnsi="Tahoma" w:cs="Tahoma"/>
      <w:sz w:val="16"/>
      <w:szCs w:val="16"/>
    </w:rPr>
  </w:style>
  <w:style w:type="character" w:customStyle="1" w:styleId="BalloonTextChar">
    <w:name w:val="Balloon Text Char"/>
    <w:link w:val="BalloonText"/>
    <w:rsid w:val="00CF2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7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27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DABB83E8.dotm</Template>
  <TotalTime>0</TotalTime>
  <Pages>7</Pages>
  <Words>1459</Words>
  <Characters>8982</Characters>
  <Application>Microsoft Office Word</Application>
  <DocSecurity>0</DocSecurity>
  <Lines>338</Lines>
  <Paragraphs>172</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FNSICACC307A Reconcile and monitor accounts receivable</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2012-05-26T03:52:00Z</dcterms:created>
  <dcterms:modified xsi:type="dcterms:W3CDTF">2012-05-26T03:52:00Z</dcterms:modified>
</cp:coreProperties>
</file>