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535" w:rsidP="004C2535">
      <w:pPr>
        <w:pStyle w:val="Title"/>
      </w:pPr>
      <w:r>
        <w:fldChar w:fldCharType="begin"/>
      </w:r>
      <w:r>
        <w:instrText xml:space="preserve"> TITLE   \* MERGEFORMAT </w:instrText>
      </w:r>
      <w:r>
        <w:fldChar w:fldCharType="separate"/>
      </w:r>
      <w:r>
        <w:t>Assessment Requirements for FNSTPB517 Apply legal principles in commercial law when providing tax (financial) advice services</w:t>
      </w:r>
      <w:r>
        <w:fldChar w:fldCharType="end"/>
      </w:r>
    </w:p>
    <w:p w:rsidR="004C2535" w:rsidP="004C2535">
      <w:pPr>
        <w:pStyle w:val="Version"/>
        <w:sectPr w:rsidSect="00B104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0429" w:rsidP="00B10429">
      <w:pPr>
        <w:pStyle w:val="SuperHeading"/>
      </w:pPr>
      <w:r w:rsidRPr="00B10429">
        <w:t>Assessment Requirements for FNSTPB517 Apply legal principles in commercial law when providing tax (financial) advice services</w:t>
      </w:r>
    </w:p>
    <w:p w:rsidR="00000000" w:rsidRPr="00B10429" w:rsidP="00B10429">
      <w:pPr>
        <w:pStyle w:val="Heading1"/>
      </w:pPr>
      <w:bookmarkStart w:id="1" w:name="O_1231438"/>
      <w:bookmarkEnd w:id="1"/>
      <w:r w:rsidRPr="00B10429">
        <w:t>Modification History</w:t>
      </w:r>
    </w:p>
    <w:tbl>
      <w:tblPr>
        <w:tblW w:w="0" w:type="auto"/>
        <w:tblLayout w:type="fixed"/>
        <w:tblCellMar>
          <w:left w:w="62" w:type="dxa"/>
          <w:right w:w="62" w:type="dxa"/>
        </w:tblCellMar>
        <w:tblLook w:val="0000"/>
      </w:tblPr>
      <w:tblGrid>
        <w:gridCol w:w="2616"/>
        <w:gridCol w:w="6456"/>
      </w:tblGrid>
      <w:tr w:rsidTr="00B1042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29" w:rsidP="00B10429">
            <w:pPr>
              <w:pStyle w:val="BodyText"/>
            </w:pPr>
            <w:r w:rsidRPr="00B10429">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29">
            <w:pPr>
              <w:pStyle w:val="BodyText"/>
              <w:rPr>
                <w:lang w:val="en-NZ"/>
              </w:rPr>
            </w:pPr>
            <w:r w:rsidRPr="00B10429">
              <w:rPr>
                <w:rStyle w:val="SpecialBold"/>
              </w:rPr>
              <w:t>Comments</w:t>
            </w:r>
          </w:p>
        </w:tc>
      </w:tr>
      <w:tr w:rsidTr="00B1042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29">
            <w:pPr>
              <w:pStyle w:val="BodyText"/>
              <w:rPr>
                <w:lang w:val="en-NZ"/>
              </w:rPr>
            </w:pPr>
            <w:r w:rsidRPr="00B10429">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29" w:rsidP="00B10429">
            <w:pPr>
              <w:pStyle w:val="BodyText"/>
            </w:pPr>
            <w:r w:rsidRPr="00B10429">
              <w:t>This version first released with the FNS Financial Services Training Package Version 8.0.</w:t>
            </w:r>
          </w:p>
          <w:p w:rsidR="00000000" w:rsidRPr="00B10429" w:rsidP="00B10429">
            <w:pPr>
              <w:pStyle w:val="BodyText"/>
            </w:pPr>
            <w:r w:rsidRPr="00B10429">
              <w:t>Supersedes and is equivalent to FNSTPB507 Apply legal principles in commercial law when providing tax (financial) advice services.</w:t>
            </w:r>
          </w:p>
        </w:tc>
      </w:tr>
    </w:tbl>
    <w:p w:rsidR="004C2535" w:rsidP="00B10429">
      <w:pPr>
        <w:pStyle w:val="BodyText"/>
      </w:pPr>
    </w:p>
    <w:p w:rsidR="004C2535" w:rsidP="00B10429">
      <w:pPr>
        <w:pStyle w:val="BodyText"/>
      </w:pPr>
    </w:p>
    <w:p w:rsidR="00000000" w:rsidRPr="00B10429" w:rsidP="00B10429">
      <w:pPr>
        <w:pStyle w:val="Heading1"/>
      </w:pPr>
      <w:bookmarkStart w:id="2" w:name="O_1231439"/>
      <w:bookmarkEnd w:id="2"/>
      <w:r w:rsidRPr="00B10429">
        <w:t>Performance E</w:t>
      </w:r>
      <w:r w:rsidRPr="00B10429">
        <w:t>vidence</w:t>
      </w:r>
    </w:p>
    <w:p w:rsidR="00000000" w:rsidRPr="00B10429" w:rsidP="004C2535">
      <w:pPr>
        <w:pStyle w:val="BodyText"/>
      </w:pPr>
      <w:r w:rsidRPr="00B10429">
        <w:t>The candidate must demonstrate the ability to complete the tasks outlined in the elements, performance criteria and foundation skills of this unit, including evidence of the ability to:</w:t>
      </w:r>
    </w:p>
    <w:p w:rsidR="00000000" w:rsidRPr="00B10429" w:rsidP="00B10429">
      <w:pPr>
        <w:pStyle w:val="ListBullet"/>
      </w:pPr>
      <w:r w:rsidRPr="00B10429">
        <w:t>provide taxation services to at least two different clients.</w:t>
      </w:r>
    </w:p>
    <w:p w:rsidR="00000000" w:rsidRPr="00B10429" w:rsidP="00B10429">
      <w:pPr>
        <w:pStyle w:val="BodyText"/>
      </w:pPr>
    </w:p>
    <w:p w:rsidR="00000000" w:rsidRPr="00B10429" w:rsidP="004C2535">
      <w:pPr>
        <w:pStyle w:val="BodyText"/>
      </w:pPr>
      <w:r w:rsidRPr="00B10429">
        <w:t>In the course of the above the candidate must:</w:t>
      </w:r>
    </w:p>
    <w:p w:rsidR="00000000" w:rsidRPr="00B10429" w:rsidP="00B10429">
      <w:pPr>
        <w:pStyle w:val="ListBullet"/>
      </w:pPr>
      <w:r w:rsidRPr="00B10429">
        <w:t>analyse the client needs and tax (financial) advice services requiring specialised independent tax advice</w:t>
      </w:r>
    </w:p>
    <w:p w:rsidR="00000000" w:rsidRPr="00B10429" w:rsidP="00B10429">
      <w:pPr>
        <w:pStyle w:val="ListBullet"/>
      </w:pPr>
      <w:r w:rsidRPr="00B10429">
        <w:t>research, analyse and evaluate relevant national requirements and guidelines on tax requirements, inc</w:t>
      </w:r>
      <w:r w:rsidRPr="00B10429">
        <w:t>luding tax administration, relevant to the client’s circumstances and the tax (financial) advice services being provided</w:t>
      </w:r>
    </w:p>
    <w:p w:rsidR="00000000" w:rsidRPr="00B10429" w:rsidP="00B10429">
      <w:pPr>
        <w:pStyle w:val="ListBullet"/>
      </w:pPr>
      <w:r w:rsidRPr="00B10429">
        <w:t>present commercial law principles and implications to the client when providing the tax (financial) advice service.</w:t>
      </w:r>
    </w:p>
    <w:p w:rsidR="00000000" w:rsidRPr="00B10429" w:rsidP="00B10429">
      <w:pPr>
        <w:pStyle w:val="AllowPageBreak"/>
      </w:pPr>
    </w:p>
    <w:p w:rsidR="00000000" w:rsidRPr="00B10429" w:rsidP="00B10429">
      <w:pPr>
        <w:pStyle w:val="Heading1"/>
      </w:pPr>
      <w:bookmarkStart w:id="3" w:name="O_1231440"/>
      <w:bookmarkEnd w:id="3"/>
      <w:r w:rsidRPr="00B10429">
        <w:t>Knowledge Evidence</w:t>
      </w:r>
    </w:p>
    <w:p w:rsidR="00000000" w:rsidRPr="00B10429" w:rsidP="004C2535">
      <w:pPr>
        <w:pStyle w:val="BodyText"/>
      </w:pPr>
      <w:r w:rsidRPr="00B10429">
        <w:t>The candidate must be able to demonstrate knowledge to complete the tasks outlined in the elements, performance criteria and foundation skills of this unit, including knowledge of:</w:t>
      </w:r>
    </w:p>
    <w:p w:rsidR="00000000" w:rsidRPr="00B10429" w:rsidP="00B10429">
      <w:pPr>
        <w:pStyle w:val="ListBullet"/>
      </w:pPr>
      <w:r w:rsidRPr="00B10429">
        <w:t>operation of the Australian legal systems and processes</w:t>
      </w:r>
      <w:r w:rsidRPr="00B10429">
        <w:t xml:space="preserve"> relevant to areas of commercial law, including:</w:t>
      </w:r>
    </w:p>
    <w:p w:rsidR="00000000" w:rsidRPr="00B10429" w:rsidP="00B10429">
      <w:pPr>
        <w:pStyle w:val="ListBullet2"/>
      </w:pPr>
      <w:r w:rsidRPr="00B10429">
        <w:t>basic principles, current statute, common law and equitable principles</w:t>
      </w:r>
    </w:p>
    <w:p w:rsidR="00000000" w:rsidRPr="00B10429" w:rsidP="00B10429">
      <w:pPr>
        <w:pStyle w:val="ListBullet2"/>
      </w:pPr>
      <w:r w:rsidRPr="00B10429">
        <w:t>roles and responsibilities of key organisations</w:t>
      </w:r>
    </w:p>
    <w:p w:rsidR="00000000" w:rsidRPr="00B10429" w:rsidP="00B10429">
      <w:pPr>
        <w:pStyle w:val="ListBullet2"/>
      </w:pPr>
      <w:r w:rsidRPr="00B10429">
        <w:t>separation of powers</w:t>
      </w:r>
    </w:p>
    <w:p w:rsidR="00000000" w:rsidRPr="00B10429" w:rsidP="00B10429">
      <w:pPr>
        <w:pStyle w:val="ListBullet2"/>
      </w:pPr>
      <w:r w:rsidRPr="00B10429">
        <w:t>basic principles of contract law</w:t>
      </w:r>
    </w:p>
    <w:p w:rsidR="00000000" w:rsidRPr="00B10429" w:rsidP="00B10429">
      <w:pPr>
        <w:pStyle w:val="ListBullet2"/>
      </w:pPr>
      <w:r w:rsidRPr="00B10429">
        <w:t>basic principles of the law of to</w:t>
      </w:r>
      <w:r w:rsidRPr="00B10429">
        <w:t>rts, particularly relating to negligence and negligent misstatement</w:t>
      </w:r>
    </w:p>
    <w:p w:rsidR="00000000" w:rsidRPr="00B10429" w:rsidP="00B10429">
      <w:pPr>
        <w:pStyle w:val="ListBullet2"/>
      </w:pPr>
      <w:r w:rsidRPr="00B10429">
        <w:t>courts and regulatory bodies</w:t>
      </w:r>
    </w:p>
    <w:p w:rsidR="00000000" w:rsidRPr="00B10429" w:rsidP="00B10429">
      <w:pPr>
        <w:pStyle w:val="ListBullet2"/>
      </w:pPr>
      <w:r w:rsidRPr="00B10429">
        <w:t>requirements and processes for clients who need specialised legal advice in commercial law matters</w:t>
      </w:r>
    </w:p>
    <w:p w:rsidR="00000000" w:rsidRPr="00B10429" w:rsidP="00B10429">
      <w:pPr>
        <w:pStyle w:val="ListBullet"/>
      </w:pPr>
      <w:r w:rsidRPr="00B10429">
        <w:t>legal concepts and scope of contract law, including:</w:t>
      </w:r>
    </w:p>
    <w:p w:rsidR="00000000" w:rsidRPr="00B10429" w:rsidP="00B10429">
      <w:pPr>
        <w:pStyle w:val="ListBullet2"/>
      </w:pPr>
      <w:r w:rsidRPr="00B10429">
        <w:t>formation – agreement and intention to create legal relations, consideration, form, legality and capacity</w:t>
      </w:r>
    </w:p>
    <w:p w:rsidR="00000000" w:rsidRPr="00B10429" w:rsidP="00B10429">
      <w:pPr>
        <w:pStyle w:val="ListBullet2"/>
      </w:pPr>
      <w:r w:rsidRPr="00B10429">
        <w:t xml:space="preserve">contents – express terms, exclusion clauses, implied terms, common law and statutes </w:t>
      </w:r>
    </w:p>
    <w:p w:rsidR="00000000" w:rsidRPr="00B10429" w:rsidP="00B10429">
      <w:pPr>
        <w:pStyle w:val="ListBullet2"/>
      </w:pPr>
      <w:r w:rsidRPr="00B10429">
        <w:t>vitiating elements – unconscionability, misrepresentation, capaci</w:t>
      </w:r>
      <w:r w:rsidRPr="00B10429">
        <w:t>ty</w:t>
      </w:r>
    </w:p>
    <w:p w:rsidR="00000000" w:rsidRPr="00B10429" w:rsidP="00B10429">
      <w:pPr>
        <w:pStyle w:val="ListBullet2"/>
      </w:pPr>
      <w:r w:rsidRPr="00B10429">
        <w:t>discharge – remedies, including damages, rescission for unconscionable conduct</w:t>
      </w:r>
    </w:p>
    <w:p w:rsidR="00000000" w:rsidRPr="00B10429" w:rsidP="00B10429">
      <w:pPr>
        <w:pStyle w:val="ListBullet2"/>
      </w:pPr>
      <w:r w:rsidRPr="00B10429">
        <w:t>agency</w:t>
      </w:r>
    </w:p>
    <w:p w:rsidR="00000000" w:rsidRPr="00B10429" w:rsidP="00B10429">
      <w:pPr>
        <w:pStyle w:val="ListBullet"/>
      </w:pPr>
      <w:r w:rsidRPr="00B10429">
        <w:t>legal concepts and scope of consumer law within own role, including:</w:t>
      </w:r>
    </w:p>
    <w:p w:rsidR="00000000" w:rsidRPr="00B10429" w:rsidP="00B10429">
      <w:pPr>
        <w:pStyle w:val="ListBullet2"/>
      </w:pPr>
      <w:r w:rsidRPr="00B10429">
        <w:t>misleading and deceptive conduct</w:t>
      </w:r>
    </w:p>
    <w:p w:rsidR="00000000" w:rsidRPr="00B10429" w:rsidP="00B10429">
      <w:pPr>
        <w:pStyle w:val="ListBullet2"/>
      </w:pPr>
      <w:r w:rsidRPr="00B10429">
        <w:t>function of the Competition and Consumer Act 2010</w:t>
      </w:r>
    </w:p>
    <w:p w:rsidR="00000000" w:rsidRPr="00B10429" w:rsidP="00B10429">
      <w:pPr>
        <w:pStyle w:val="ListBullet2"/>
      </w:pPr>
      <w:r w:rsidRPr="00B10429">
        <w:t>role and juri</w:t>
      </w:r>
      <w:r w:rsidRPr="00B10429">
        <w:t>sdiction of the Australian Competition and Consumer Commission (ACCC)</w:t>
      </w:r>
    </w:p>
    <w:p w:rsidR="00000000" w:rsidRPr="00B10429" w:rsidP="00B10429">
      <w:pPr>
        <w:pStyle w:val="ListBullet"/>
      </w:pPr>
      <w:r w:rsidRPr="00B10429">
        <w:t>legal concepts of business organisational structures, and underlying regulation, including application of these to:</w:t>
      </w:r>
    </w:p>
    <w:p w:rsidR="00000000" w:rsidRPr="00B10429" w:rsidP="00B10429">
      <w:pPr>
        <w:pStyle w:val="ListBullet2"/>
      </w:pPr>
      <w:r w:rsidRPr="00B10429">
        <w:t>sole traders</w:t>
      </w:r>
    </w:p>
    <w:p w:rsidR="00000000" w:rsidRPr="00B10429" w:rsidP="00B10429">
      <w:pPr>
        <w:pStyle w:val="ListBullet2"/>
      </w:pPr>
      <w:r w:rsidRPr="00B10429">
        <w:t>partnerships</w:t>
      </w:r>
    </w:p>
    <w:p w:rsidR="00000000" w:rsidRPr="00B10429" w:rsidP="00B10429">
      <w:pPr>
        <w:pStyle w:val="ListBullet2"/>
      </w:pPr>
      <w:r w:rsidRPr="00B10429">
        <w:t>corporations</w:t>
      </w:r>
    </w:p>
    <w:p w:rsidR="00000000" w:rsidRPr="00B10429" w:rsidP="00B10429">
      <w:pPr>
        <w:pStyle w:val="ListBullet2"/>
      </w:pPr>
      <w:r w:rsidRPr="00B10429">
        <w:t>trusts</w:t>
      </w:r>
    </w:p>
    <w:p w:rsidR="00000000" w:rsidRPr="00B10429" w:rsidP="00B10429">
      <w:pPr>
        <w:pStyle w:val="ListBullet2"/>
      </w:pPr>
      <w:r w:rsidRPr="00B10429">
        <w:t>agencies</w:t>
      </w:r>
    </w:p>
    <w:p w:rsidR="00000000" w:rsidRPr="00B10429" w:rsidP="00B10429">
      <w:pPr>
        <w:pStyle w:val="ListBullet2"/>
      </w:pPr>
      <w:r w:rsidRPr="00B10429">
        <w:t>joint ventures</w:t>
      </w:r>
    </w:p>
    <w:p w:rsidR="00000000" w:rsidRPr="00B10429" w:rsidP="00B10429">
      <w:pPr>
        <w:pStyle w:val="ListBullet2"/>
      </w:pPr>
      <w:r w:rsidRPr="00B10429">
        <w:t>incorporated associations</w:t>
      </w:r>
    </w:p>
    <w:p w:rsidR="00000000" w:rsidRPr="00B10429" w:rsidP="00B10429">
      <w:pPr>
        <w:pStyle w:val="ListBullet"/>
      </w:pPr>
      <w:r w:rsidRPr="00B10429">
        <w:t>key features of Australian corporations law relevant to own role</w:t>
      </w:r>
    </w:p>
    <w:p w:rsidR="00000000" w:rsidRPr="00B10429" w:rsidP="00B10429">
      <w:pPr>
        <w:pStyle w:val="ListBullet"/>
      </w:pPr>
      <w:r w:rsidRPr="00B10429">
        <w:t>legal concepts and scope of law covering trusts relevant to own role</w:t>
      </w:r>
    </w:p>
    <w:p w:rsidR="00000000" w:rsidRPr="00B10429" w:rsidP="00B10429">
      <w:pPr>
        <w:pStyle w:val="ListBullet"/>
      </w:pPr>
      <w:r w:rsidRPr="00B10429">
        <w:t>sources of commercial law information relevant to client circumstances and the t</w:t>
      </w:r>
      <w:r w:rsidRPr="00B10429">
        <w:t>ax (financial) advice services requirements.</w:t>
      </w:r>
    </w:p>
    <w:p w:rsidR="00000000" w:rsidRPr="00B10429" w:rsidP="00B10429">
      <w:pPr>
        <w:pStyle w:val="AllowPageBreak"/>
      </w:pPr>
    </w:p>
    <w:p w:rsidR="00000000" w:rsidRPr="00B10429" w:rsidP="00B10429">
      <w:pPr>
        <w:pStyle w:val="Heading1"/>
      </w:pPr>
      <w:bookmarkStart w:id="4" w:name="O_1231441"/>
      <w:bookmarkEnd w:id="4"/>
      <w:r w:rsidRPr="00B10429">
        <w:t>Assessment Conditions</w:t>
      </w:r>
    </w:p>
    <w:p w:rsidR="00000000" w:rsidRPr="00B10429" w:rsidP="004C2535">
      <w:pPr>
        <w:pStyle w:val="BodyText"/>
      </w:pPr>
      <w:r w:rsidRPr="00B10429">
        <w:t>Skills in this unit must be demonstrated in a workplace or simulated environment where the conditions are typical of those in a working environment in this industry.</w:t>
      </w:r>
    </w:p>
    <w:p w:rsidR="00000000" w:rsidRPr="00B10429" w:rsidP="004C2535">
      <w:pPr>
        <w:pStyle w:val="BodyText"/>
      </w:pPr>
      <w:r w:rsidRPr="00B10429">
        <w:t>This</w:t>
      </w:r>
      <w:r w:rsidRPr="00B10429">
        <w:t xml:space="preserve"> includes access to:</w:t>
      </w:r>
    </w:p>
    <w:p w:rsidR="00000000" w:rsidRPr="00B10429" w:rsidP="00B10429">
      <w:pPr>
        <w:pStyle w:val="ListBullet"/>
      </w:pPr>
      <w:r w:rsidRPr="00B10429">
        <w:t>office equipment, technology, software and consumables</w:t>
      </w:r>
    </w:p>
    <w:p w:rsidR="00000000" w:rsidRPr="00B10429" w:rsidP="00B10429">
      <w:pPr>
        <w:pStyle w:val="ListBullet"/>
      </w:pPr>
      <w:r w:rsidRPr="00B10429">
        <w:t>clients requiring tax (financial) advice services</w:t>
      </w:r>
    </w:p>
    <w:p w:rsidR="00000000" w:rsidRPr="00B10429" w:rsidP="00B10429">
      <w:pPr>
        <w:pStyle w:val="ListBullet"/>
      </w:pPr>
      <w:r w:rsidRPr="00B10429">
        <w:t>relevant legislation, regulations and codes of practice.</w:t>
      </w:r>
    </w:p>
    <w:p w:rsidR="00000000" w:rsidRPr="00B10429" w:rsidP="00B10429">
      <w:pPr>
        <w:pStyle w:val="BodyText"/>
      </w:pPr>
    </w:p>
    <w:p w:rsidR="00000000" w:rsidRPr="00B10429" w:rsidP="004C2535">
      <w:pPr>
        <w:pStyle w:val="BodyText"/>
      </w:pPr>
      <w:r w:rsidRPr="00B10429">
        <w:t>Assessors of this unit must satisfy the requirements for assessors in applicable vocational education and training legislation, frameworks and/or standards.</w:t>
      </w:r>
    </w:p>
    <w:p w:rsidR="00000000" w:rsidRPr="00B10429" w:rsidP="004C2535">
      <w:pPr>
        <w:pStyle w:val="BodyText"/>
      </w:pPr>
      <w:r w:rsidRPr="00B10429">
        <w:t>This unit is designed to meet the education requirements of the Tax Practitioners Board (TPB). Wher</w:t>
      </w:r>
      <w:r w:rsidRPr="00B10429">
        <w:t>e registration with the TPB is sought, assessment must reflect the conditions described by the regulator. Where recognition of prior learning (RPL) is used, it must also meet the requirements of the TPB’s policy on RPL.</w:t>
      </w:r>
    </w:p>
    <w:p w:rsidR="00000000" w:rsidRPr="00B10429" w:rsidP="004C2535">
      <w:pPr>
        <w:pStyle w:val="BodyText"/>
      </w:pPr>
      <w:r w:rsidRPr="00B10429">
        <w:t>Details of requirements can be acces</w:t>
      </w:r>
      <w:r w:rsidRPr="00B10429">
        <w:t>sed on the TPB website (</w:t>
      </w:r>
      <w:r>
        <w:fldChar w:fldCharType="begin"/>
      </w:r>
      <w:r>
        <w:instrText xml:space="preserve"> HYPERLINK "http://www.tpb.gov.au" </w:instrText>
      </w:r>
      <w:r>
        <w:fldChar w:fldCharType="separate"/>
      </w:r>
      <w:r w:rsidRPr="00C60984">
        <w:rPr>
          <w:rStyle w:val="Hyperlink"/>
        </w:rPr>
        <w:t>www.tpb.gov.au</w:t>
      </w:r>
      <w:r>
        <w:fldChar w:fldCharType="end"/>
      </w:r>
      <w:r w:rsidRPr="00B10429">
        <w:t>).</w:t>
      </w:r>
    </w:p>
    <w:p w:rsidR="00000000" w:rsidRPr="00B10429" w:rsidP="00B10429">
      <w:pPr>
        <w:pStyle w:val="Heading1"/>
      </w:pPr>
      <w:bookmarkStart w:id="5" w:name="O_1231444"/>
      <w:bookmarkEnd w:id="5"/>
      <w:r w:rsidRPr="00B10429">
        <w:t>Links</w:t>
      </w:r>
    </w:p>
    <w:p w:rsidR="00000000" w:rsidRPr="00B10429" w:rsidP="004C2535">
      <w:pPr>
        <w:pStyle w:val="BodyText"/>
      </w:pPr>
      <w:r w:rsidRPr="00B1042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60984">
        <w:rPr>
          <w:rStyle w:val="Hyperlink"/>
        </w:rPr>
        <w:t>https://vetnet.gov.au/Pages/TrainingDocs.aspx?q=c7200cc8-0566-4f04-b76f-e89fd6f102fe</w:t>
      </w:r>
      <w:r>
        <w:fldChar w:fldCharType="end"/>
      </w:r>
    </w:p>
    <w:p w:rsidR="00000000" w:rsidRPr="00B10429" w:rsidP="00B10429"/>
    <w:sectPr w:rsidSect="00B104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4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429" w:rsidRPr="004C2535" w:rsidP="004C2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4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535" w:rsidP="00B104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2535" w:rsidP="00B104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C2535" w:rsidP="00B104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4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5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0429" w:rsidRPr="004C2535" w:rsidP="004C25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4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535" w:rsidRPr="002D2AF8" w:rsidP="00B10429">
    <w:pPr>
      <w:pStyle w:val="Header"/>
      <w:framePr w:wrap="around"/>
    </w:pPr>
    <w:r>
      <w:fldChar w:fldCharType="begin"/>
    </w:r>
    <w:r>
      <w:instrText xml:space="preserve"> TITLE   \* MERGEFORMAT </w:instrText>
    </w:r>
    <w:r>
      <w:fldChar w:fldCharType="separate"/>
    </w:r>
    <w:r>
      <w:t>Assessment Requirements for FNSTPB517 Apply legal principles in commercial law when providing tax (financial) advice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4C2535" w:rsidP="00B104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E4AD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407F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2E25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4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429"/>
    <w:pPr>
      <w:spacing w:before="360" w:after="60"/>
      <w:outlineLvl w:val="0"/>
    </w:pPr>
    <w:rPr>
      <w:sz w:val="32"/>
    </w:rPr>
  </w:style>
  <w:style w:type="paragraph" w:styleId="Heading2">
    <w:name w:val="heading 2"/>
    <w:basedOn w:val="HeadingBase"/>
    <w:next w:val="BodyText"/>
    <w:link w:val="Heading2Char"/>
    <w:qFormat/>
    <w:rsid w:val="00B10429"/>
    <w:pPr>
      <w:keepLines/>
      <w:spacing w:before="240" w:after="120"/>
      <w:outlineLvl w:val="1"/>
    </w:pPr>
    <w:rPr>
      <w:sz w:val="28"/>
      <w:szCs w:val="40"/>
    </w:rPr>
  </w:style>
  <w:style w:type="paragraph" w:styleId="Heading3">
    <w:name w:val="heading 3"/>
    <w:basedOn w:val="HeadingBase"/>
    <w:next w:val="BodyText"/>
    <w:link w:val="Heading3Char"/>
    <w:qFormat/>
    <w:rsid w:val="00B10429"/>
    <w:pPr>
      <w:spacing w:before="180" w:after="120"/>
      <w:outlineLvl w:val="2"/>
    </w:pPr>
    <w:rPr>
      <w:spacing w:val="-10"/>
      <w:kern w:val="32"/>
    </w:rPr>
  </w:style>
  <w:style w:type="paragraph" w:styleId="Heading4">
    <w:name w:val="heading 4"/>
    <w:basedOn w:val="HeadingBase"/>
    <w:next w:val="BodyText"/>
    <w:link w:val="Heading4Char"/>
    <w:qFormat/>
    <w:rsid w:val="00B10429"/>
    <w:pPr>
      <w:spacing w:before="160" w:after="120"/>
      <w:outlineLvl w:val="3"/>
    </w:pPr>
    <w:rPr>
      <w:sz w:val="22"/>
    </w:rPr>
  </w:style>
  <w:style w:type="paragraph" w:styleId="Heading5">
    <w:name w:val="heading 5"/>
    <w:basedOn w:val="HeadingBase"/>
    <w:next w:val="Normal"/>
    <w:link w:val="Heading5Char"/>
    <w:qFormat/>
    <w:rsid w:val="00B10429"/>
    <w:pPr>
      <w:spacing w:before="80"/>
      <w:outlineLvl w:val="4"/>
    </w:pPr>
    <w:rPr>
      <w:color w:val="918585"/>
      <w:sz w:val="20"/>
    </w:rPr>
  </w:style>
  <w:style w:type="paragraph" w:styleId="Heading6">
    <w:name w:val="heading 6"/>
    <w:basedOn w:val="HeadingBase"/>
    <w:next w:val="Normal"/>
    <w:link w:val="Heading6Char"/>
    <w:qFormat/>
    <w:rsid w:val="00B10429"/>
    <w:pPr>
      <w:spacing w:before="60"/>
      <w:outlineLvl w:val="5"/>
    </w:pPr>
    <w:rPr>
      <w:color w:val="918585"/>
      <w:sz w:val="20"/>
    </w:rPr>
  </w:style>
  <w:style w:type="paragraph" w:styleId="Heading7">
    <w:name w:val="heading 7"/>
    <w:basedOn w:val="Normal"/>
    <w:next w:val="Normal"/>
    <w:link w:val="Heading7Char"/>
    <w:qFormat/>
    <w:rsid w:val="00B10429"/>
    <w:pPr>
      <w:ind w:left="720"/>
      <w:outlineLvl w:val="6"/>
    </w:pPr>
    <w:rPr>
      <w:i/>
    </w:rPr>
  </w:style>
  <w:style w:type="paragraph" w:styleId="Heading8">
    <w:name w:val="heading 8"/>
    <w:basedOn w:val="Normal"/>
    <w:next w:val="Normal"/>
    <w:link w:val="Heading8Char"/>
    <w:qFormat/>
    <w:rsid w:val="00B10429"/>
    <w:pPr>
      <w:ind w:left="720"/>
      <w:outlineLvl w:val="7"/>
    </w:pPr>
    <w:rPr>
      <w:i/>
    </w:rPr>
  </w:style>
  <w:style w:type="paragraph" w:styleId="Heading9">
    <w:name w:val="heading 9"/>
    <w:basedOn w:val="Normal"/>
    <w:next w:val="Normal"/>
    <w:link w:val="Heading9Char"/>
    <w:qFormat/>
    <w:rsid w:val="00B10429"/>
    <w:pPr>
      <w:ind w:left="720"/>
      <w:outlineLvl w:val="8"/>
    </w:pPr>
    <w:rPr>
      <w:i/>
    </w:rPr>
  </w:style>
  <w:style w:type="character" w:default="1" w:styleId="DefaultParagraphFont">
    <w:name w:val="Default Paragraph Font"/>
    <w:uiPriority w:val="1"/>
    <w:unhideWhenUsed/>
    <w:rsid w:val="00B104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429"/>
  </w:style>
  <w:style w:type="character" w:customStyle="1" w:styleId="Heading1Char">
    <w:name w:val="Heading 1 Char"/>
    <w:basedOn w:val="DefaultParagraphFont"/>
    <w:link w:val="Heading1"/>
    <w:rsid w:val="00B10429"/>
    <w:rPr>
      <w:rFonts w:ascii="Times New Roman" w:eastAsia="Times New Roman" w:hAnsi="Times New Roman" w:cs="Times New Roman"/>
      <w:b/>
      <w:sz w:val="32"/>
      <w:szCs w:val="20"/>
      <w:lang w:eastAsia="en-US"/>
    </w:rPr>
  </w:style>
  <w:style w:type="paragraph" w:styleId="BodyText">
    <w:name w:val="Body Text"/>
    <w:basedOn w:val="Normal"/>
    <w:link w:val="BodyTextChar"/>
    <w:rsid w:val="00B104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0429"/>
    <w:rPr>
      <w:rFonts w:ascii="Times New Roman" w:eastAsia="Times New Roman" w:hAnsi="Times New Roman" w:cs="Times New Roman"/>
      <w:sz w:val="24"/>
      <w:lang w:eastAsia="en-US"/>
    </w:rPr>
  </w:style>
  <w:style w:type="paragraph" w:styleId="ListBullet">
    <w:name w:val="List Bullet"/>
    <w:basedOn w:val="List"/>
    <w:rsid w:val="00B10429"/>
    <w:pPr>
      <w:numPr>
        <w:numId w:val="12"/>
      </w:numPr>
      <w:tabs>
        <w:tab w:val="clear" w:pos="340"/>
      </w:tabs>
      <w:spacing w:before="40" w:after="40"/>
    </w:pPr>
  </w:style>
  <w:style w:type="character" w:customStyle="1" w:styleId="SpecialBold">
    <w:name w:val="Special Bold"/>
    <w:basedOn w:val="DefaultParagraphFont"/>
    <w:rsid w:val="00B10429"/>
    <w:rPr>
      <w:b/>
      <w:spacing w:val="0"/>
    </w:rPr>
  </w:style>
  <w:style w:type="paragraph" w:styleId="ListBullet2">
    <w:name w:val="List Bullet 2"/>
    <w:basedOn w:val="List2"/>
    <w:rsid w:val="00B10429"/>
    <w:pPr>
      <w:numPr>
        <w:numId w:val="13"/>
      </w:numPr>
      <w:tabs>
        <w:tab w:val="clear" w:pos="680"/>
      </w:tabs>
    </w:pPr>
  </w:style>
  <w:style w:type="paragraph" w:customStyle="1" w:styleId="SuperHeading">
    <w:name w:val="SuperHeading"/>
    <w:basedOn w:val="Normal"/>
    <w:rsid w:val="00B10429"/>
    <w:pPr>
      <w:spacing w:before="240" w:after="120"/>
      <w:outlineLvl w:val="0"/>
    </w:pPr>
    <w:rPr>
      <w:rFonts w:ascii="Times New Roman" w:hAnsi="Times New Roman"/>
      <w:b/>
      <w:sz w:val="32"/>
    </w:rPr>
  </w:style>
  <w:style w:type="paragraph" w:customStyle="1" w:styleId="AllowPageBreak">
    <w:name w:val="AllowPageBreak"/>
    <w:rsid w:val="00B104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04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4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4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4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4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4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4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429"/>
    <w:rPr>
      <w:rFonts w:ascii="Courier New" w:eastAsia="Times New Roman" w:hAnsi="Courier New" w:cs="Times New Roman"/>
      <w:i/>
      <w:szCs w:val="20"/>
      <w:lang w:eastAsia="en-US"/>
    </w:rPr>
  </w:style>
  <w:style w:type="paragraph" w:customStyle="1" w:styleId="HeadingBase">
    <w:name w:val="Heading Base"/>
    <w:rsid w:val="00B104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429"/>
    <w:pPr>
      <w:tabs>
        <w:tab w:val="right" w:leader="dot" w:pos="9072"/>
      </w:tabs>
      <w:ind w:left="567"/>
    </w:pPr>
    <w:rPr>
      <w:szCs w:val="22"/>
    </w:rPr>
  </w:style>
  <w:style w:type="paragraph" w:customStyle="1" w:styleId="TOCBase">
    <w:name w:val="TOC Base"/>
    <w:rsid w:val="00B104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429"/>
    <w:pPr>
      <w:tabs>
        <w:tab w:val="right" w:leader="dot" w:pos="9072"/>
      </w:tabs>
      <w:spacing w:before="40" w:after="40"/>
      <w:ind w:left="284"/>
    </w:pPr>
    <w:rPr>
      <w:rFonts w:ascii="Times New Roman" w:hAnsi="Times New Roman"/>
    </w:rPr>
  </w:style>
  <w:style w:type="paragraph" w:styleId="TOC1">
    <w:name w:val="toc 1"/>
    <w:basedOn w:val="TOCBase"/>
    <w:next w:val="Normal"/>
    <w:rsid w:val="00B104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04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429"/>
    <w:rPr>
      <w:rFonts w:ascii="Times New Roman" w:eastAsia="Times New Roman" w:hAnsi="Times New Roman" w:cs="Times New Roman"/>
      <w:sz w:val="16"/>
      <w:lang w:eastAsia="en-US"/>
    </w:rPr>
  </w:style>
  <w:style w:type="paragraph" w:styleId="Title">
    <w:name w:val="Title"/>
    <w:basedOn w:val="HeadingBase"/>
    <w:link w:val="TitleChar"/>
    <w:qFormat/>
    <w:rsid w:val="00B10429"/>
    <w:pPr>
      <w:spacing w:before="5040"/>
      <w:jc w:val="center"/>
    </w:pPr>
    <w:rPr>
      <w:sz w:val="48"/>
      <w:szCs w:val="72"/>
      <w:lang w:val="en-US"/>
    </w:rPr>
  </w:style>
  <w:style w:type="character" w:customStyle="1" w:styleId="TitleChar">
    <w:name w:val="Title Char"/>
    <w:basedOn w:val="DefaultParagraphFont"/>
    <w:link w:val="Title"/>
    <w:rsid w:val="00B104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429"/>
    <w:pPr>
      <w:tabs>
        <w:tab w:val="left" w:pos="3600"/>
        <w:tab w:val="left" w:pos="3958"/>
      </w:tabs>
    </w:pPr>
  </w:style>
  <w:style w:type="paragraph" w:styleId="List">
    <w:name w:val="List"/>
    <w:basedOn w:val="BodyText"/>
    <w:next w:val="BodyText"/>
    <w:rsid w:val="00B10429"/>
    <w:pPr>
      <w:tabs>
        <w:tab w:val="left" w:pos="340"/>
      </w:tabs>
      <w:spacing w:before="60" w:after="60"/>
      <w:ind w:left="340" w:hanging="340"/>
    </w:pPr>
  </w:style>
  <w:style w:type="paragraph" w:customStyle="1" w:styleId="Note">
    <w:name w:val="Note"/>
    <w:basedOn w:val="BodyText"/>
    <w:rsid w:val="00B104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429"/>
    <w:pPr>
      <w:framePr w:wrap="auto" w:hAnchor="text" w:y="6049"/>
    </w:pPr>
    <w:rPr>
      <w:color w:val="000000"/>
      <w:sz w:val="40"/>
    </w:rPr>
  </w:style>
  <w:style w:type="paragraph" w:customStyle="1" w:styleId="TOCTitle">
    <w:name w:val="TOCTitle"/>
    <w:basedOn w:val="Heading1"/>
    <w:rsid w:val="00B10429"/>
    <w:pPr>
      <w:spacing w:after="240"/>
      <w:jc w:val="center"/>
      <w:outlineLvl w:val="9"/>
    </w:pPr>
    <w:rPr>
      <w:caps/>
    </w:rPr>
  </w:style>
  <w:style w:type="paragraph" w:customStyle="1" w:styleId="Version">
    <w:name w:val="Version"/>
    <w:rsid w:val="00B104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429"/>
    <w:pPr>
      <w:keepNext w:val="0"/>
      <w:tabs>
        <w:tab w:val="right" w:pos="4176"/>
      </w:tabs>
      <w:ind w:left="198" w:hanging="198"/>
    </w:pPr>
    <w:rPr>
      <w:rFonts w:ascii="Garamond" w:hAnsi="Garamond"/>
    </w:rPr>
  </w:style>
  <w:style w:type="paragraph" w:styleId="IndexHeading">
    <w:name w:val="index heading"/>
    <w:basedOn w:val="Normal"/>
    <w:next w:val="Index1"/>
    <w:semiHidden/>
    <w:rsid w:val="00B10429"/>
    <w:pPr>
      <w:spacing w:before="120" w:after="120"/>
    </w:pPr>
    <w:rPr>
      <w:rFonts w:ascii="Arial" w:hAnsi="Arial"/>
      <w:b/>
      <w:color w:val="918585"/>
      <w:sz w:val="24"/>
    </w:rPr>
  </w:style>
  <w:style w:type="paragraph" w:styleId="Header">
    <w:name w:val="header"/>
    <w:basedOn w:val="Normal"/>
    <w:link w:val="HeaderChar"/>
    <w:rsid w:val="00B104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429"/>
    <w:rPr>
      <w:rFonts w:ascii="Times New Roman" w:eastAsia="Times New Roman" w:hAnsi="Times New Roman" w:cs="Times New Roman"/>
      <w:sz w:val="16"/>
      <w:szCs w:val="20"/>
      <w:lang w:val="en-GB" w:eastAsia="en-US"/>
    </w:rPr>
  </w:style>
  <w:style w:type="paragraph" w:customStyle="1" w:styleId="Chapter">
    <w:name w:val="Chapter"/>
    <w:basedOn w:val="Normal"/>
    <w:rsid w:val="00B10429"/>
    <w:pPr>
      <w:spacing w:before="240"/>
    </w:pPr>
    <w:rPr>
      <w:rFonts w:ascii="Times New Roman" w:hAnsi="Times New Roman"/>
      <w:smallCaps/>
      <w:spacing w:val="80"/>
      <w:sz w:val="28"/>
    </w:rPr>
  </w:style>
  <w:style w:type="paragraph" w:customStyle="1" w:styleId="InChapter">
    <w:name w:val="InChapter"/>
    <w:basedOn w:val="Heading3"/>
    <w:rsid w:val="00B10429"/>
    <w:pPr>
      <w:spacing w:after="240"/>
      <w:outlineLvl w:val="9"/>
    </w:pPr>
    <w:rPr>
      <w:noProof/>
    </w:rPr>
  </w:style>
  <w:style w:type="paragraph" w:styleId="Index2">
    <w:name w:val="index 2"/>
    <w:basedOn w:val="Normal"/>
    <w:next w:val="Normal"/>
    <w:semiHidden/>
    <w:rsid w:val="00B10429"/>
    <w:pPr>
      <w:tabs>
        <w:tab w:val="right" w:pos="4176"/>
      </w:tabs>
      <w:ind w:left="568" w:hanging="284"/>
    </w:pPr>
    <w:rPr>
      <w:rFonts w:ascii="Garamond" w:hAnsi="Garamond"/>
    </w:rPr>
  </w:style>
  <w:style w:type="paragraph" w:customStyle="1" w:styleId="Byline">
    <w:name w:val="Byline"/>
    <w:rsid w:val="00B104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429"/>
    <w:pPr>
      <w:tabs>
        <w:tab w:val="clear" w:pos="3600"/>
        <w:tab w:val="clear" w:pos="3958"/>
      </w:tabs>
      <w:jc w:val="right"/>
    </w:pPr>
  </w:style>
  <w:style w:type="character" w:styleId="Emphasis">
    <w:name w:val="Emphasis"/>
    <w:basedOn w:val="DefaultParagraphFont"/>
    <w:qFormat/>
    <w:rsid w:val="00B10429"/>
    <w:rPr>
      <w:i/>
    </w:rPr>
  </w:style>
  <w:style w:type="paragraph" w:styleId="Caption">
    <w:name w:val="caption"/>
    <w:basedOn w:val="BodyText"/>
    <w:next w:val="Normal"/>
    <w:qFormat/>
    <w:rsid w:val="00B10429"/>
    <w:pPr>
      <w:framePr w:w="2268" w:hSpace="181" w:vSpace="181" w:wrap="around" w:vAnchor="text" w:hAnchor="page" w:x="1135" w:y="285" w:anchorLock="1"/>
    </w:pPr>
    <w:rPr>
      <w:i/>
    </w:rPr>
  </w:style>
  <w:style w:type="paragraph" w:customStyle="1" w:styleId="MiniTOCTitle">
    <w:name w:val="MiniTOCTitle"/>
    <w:basedOn w:val="Heading4"/>
    <w:rsid w:val="00B10429"/>
    <w:pPr>
      <w:spacing w:before="240"/>
      <w:outlineLvl w:val="9"/>
    </w:pPr>
    <w:rPr>
      <w:noProof/>
      <w:sz w:val="24"/>
    </w:rPr>
  </w:style>
  <w:style w:type="paragraph" w:customStyle="1" w:styleId="MiniTOCItem">
    <w:name w:val="MiniTOCItem"/>
    <w:basedOn w:val="ListBullet"/>
    <w:rsid w:val="00B10429"/>
    <w:pPr>
      <w:numPr>
        <w:numId w:val="0"/>
      </w:numPr>
      <w:tabs>
        <w:tab w:val="right" w:leader="dot" w:pos="6521"/>
      </w:tabs>
      <w:spacing w:before="0" w:after="0"/>
    </w:pPr>
  </w:style>
  <w:style w:type="paragraph" w:customStyle="1" w:styleId="TOFTitle">
    <w:name w:val="TOFTitle"/>
    <w:basedOn w:val="TOCTitle"/>
    <w:rsid w:val="00B10429"/>
  </w:style>
  <w:style w:type="paragraph" w:styleId="TableofFigures">
    <w:name w:val="table of figures"/>
    <w:basedOn w:val="Normal"/>
    <w:next w:val="Normal"/>
    <w:semiHidden/>
    <w:rsid w:val="00B10429"/>
    <w:pPr>
      <w:tabs>
        <w:tab w:val="right" w:leader="dot" w:pos="9072"/>
      </w:tabs>
      <w:ind w:left="970" w:hanging="403"/>
    </w:pPr>
    <w:rPr>
      <w:rFonts w:ascii="Times New Roman" w:hAnsi="Times New Roman"/>
      <w:b/>
    </w:rPr>
  </w:style>
  <w:style w:type="paragraph" w:styleId="ListNumber">
    <w:name w:val="List Number"/>
    <w:basedOn w:val="List"/>
    <w:rsid w:val="00B10429"/>
    <w:pPr>
      <w:numPr>
        <w:numId w:val="15"/>
      </w:numPr>
      <w:tabs>
        <w:tab w:val="clear" w:pos="340"/>
      </w:tabs>
    </w:pPr>
  </w:style>
  <w:style w:type="character" w:customStyle="1" w:styleId="WingdingSymbols">
    <w:name w:val="Wingding Symbols"/>
    <w:rsid w:val="00B10429"/>
    <w:rPr>
      <w:rFonts w:ascii="Wingdings" w:hAnsi="Wingdings"/>
    </w:rPr>
  </w:style>
  <w:style w:type="paragraph" w:customStyle="1" w:styleId="TableHeading">
    <w:name w:val="Table Heading"/>
    <w:basedOn w:val="HeadingBase"/>
    <w:rsid w:val="00B10429"/>
    <w:pPr>
      <w:keepLines/>
      <w:pBdr>
        <w:bottom w:val="single" w:sz="6" w:space="1" w:color="918585"/>
      </w:pBdr>
      <w:spacing w:before="240"/>
    </w:pPr>
  </w:style>
  <w:style w:type="character" w:customStyle="1" w:styleId="HotSpot">
    <w:name w:val="HotSpot"/>
    <w:rsid w:val="00B10429"/>
    <w:rPr>
      <w:color w:val="0033CC"/>
      <w:u w:val="none"/>
    </w:rPr>
  </w:style>
  <w:style w:type="paragraph" w:customStyle="1" w:styleId="BodyTextRight">
    <w:name w:val="Body Text Right"/>
    <w:basedOn w:val="BodyText"/>
    <w:rsid w:val="00B10429"/>
    <w:pPr>
      <w:spacing w:before="0" w:after="0"/>
      <w:jc w:val="right"/>
    </w:pPr>
  </w:style>
  <w:style w:type="paragraph" w:styleId="Index3">
    <w:name w:val="index 3"/>
    <w:basedOn w:val="ListNumber2"/>
    <w:next w:val="Normal"/>
    <w:semiHidden/>
    <w:rsid w:val="00B10429"/>
    <w:pPr>
      <w:numPr>
        <w:numId w:val="0"/>
      </w:numPr>
      <w:tabs>
        <w:tab w:val="right" w:leader="dot" w:pos="4176"/>
      </w:tabs>
    </w:pPr>
  </w:style>
  <w:style w:type="paragraph" w:styleId="ListNumber2">
    <w:name w:val="List Number 2"/>
    <w:basedOn w:val="List2"/>
    <w:rsid w:val="00B10429"/>
    <w:pPr>
      <w:numPr>
        <w:numId w:val="10"/>
      </w:numPr>
      <w:tabs>
        <w:tab w:val="clear" w:pos="1060"/>
      </w:tabs>
    </w:pPr>
  </w:style>
  <w:style w:type="paragraph" w:customStyle="1" w:styleId="MarginNote">
    <w:name w:val="Margin Note"/>
    <w:basedOn w:val="BodyText"/>
    <w:rsid w:val="00B104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4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4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429"/>
    <w:rPr>
      <w:sz w:val="32"/>
    </w:rPr>
  </w:style>
  <w:style w:type="paragraph" w:customStyle="1" w:styleId="HeadingProcedure">
    <w:name w:val="Heading Procedure"/>
    <w:basedOn w:val="HeadingBase"/>
    <w:next w:val="Normal"/>
    <w:rsid w:val="00B10429"/>
    <w:pPr>
      <w:tabs>
        <w:tab w:val="left" w:pos="0"/>
      </w:tabs>
      <w:spacing w:before="120" w:after="60"/>
    </w:pPr>
    <w:rPr>
      <w:i/>
      <w:color w:val="918585"/>
      <w:sz w:val="22"/>
    </w:rPr>
  </w:style>
  <w:style w:type="paragraph" w:customStyle="1" w:styleId="TableBodyText">
    <w:name w:val="Table Body Text"/>
    <w:basedOn w:val="BodyText"/>
    <w:rsid w:val="00B10429"/>
    <w:pPr>
      <w:spacing w:before="60" w:after="60"/>
    </w:pPr>
  </w:style>
  <w:style w:type="paragraph" w:styleId="ListContinue">
    <w:name w:val="List Continue"/>
    <w:basedOn w:val="List"/>
    <w:rsid w:val="00B10429"/>
    <w:pPr>
      <w:ind w:firstLine="0"/>
    </w:pPr>
  </w:style>
  <w:style w:type="paragraph" w:customStyle="1" w:styleId="ListNote">
    <w:name w:val="List Note"/>
    <w:basedOn w:val="List"/>
    <w:rsid w:val="00B10429"/>
    <w:pPr>
      <w:pBdr>
        <w:top w:val="single" w:sz="6" w:space="2" w:color="918585"/>
        <w:bottom w:val="single" w:sz="6" w:space="2" w:color="918585"/>
      </w:pBdr>
      <w:tabs>
        <w:tab w:val="left" w:pos="1021"/>
      </w:tabs>
      <w:ind w:firstLine="0"/>
    </w:pPr>
  </w:style>
  <w:style w:type="paragraph" w:customStyle="1" w:styleId="Warning">
    <w:name w:val="Warning"/>
    <w:basedOn w:val="BodyText"/>
    <w:rsid w:val="00B10429"/>
    <w:pPr>
      <w:shd w:val="clear" w:color="auto" w:fill="D9D9D9"/>
      <w:tabs>
        <w:tab w:val="left" w:pos="992"/>
      </w:tabs>
      <w:ind w:left="119" w:right="119"/>
    </w:pPr>
    <w:rPr>
      <w:sz w:val="20"/>
    </w:rPr>
  </w:style>
  <w:style w:type="paragraph" w:customStyle="1" w:styleId="MarginIcons">
    <w:name w:val="Margin Icons"/>
    <w:basedOn w:val="BodyText"/>
    <w:rsid w:val="00B104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429"/>
    <w:rPr>
      <w:rFonts w:ascii="Courier New" w:hAnsi="Courier New"/>
    </w:rPr>
  </w:style>
  <w:style w:type="paragraph" w:customStyle="1" w:styleId="NoteBullet">
    <w:name w:val="Note Bullet"/>
    <w:basedOn w:val="Note"/>
    <w:rsid w:val="00B10429"/>
    <w:pPr>
      <w:tabs>
        <w:tab w:val="clear" w:pos="680"/>
      </w:tabs>
      <w:spacing w:before="60" w:after="60"/>
    </w:pPr>
  </w:style>
  <w:style w:type="paragraph" w:customStyle="1" w:styleId="SubHeading2">
    <w:name w:val="SubHeading2"/>
    <w:basedOn w:val="HeadingBase"/>
    <w:rsid w:val="00B10429"/>
    <w:pPr>
      <w:spacing w:before="240" w:after="60"/>
    </w:pPr>
    <w:rPr>
      <w:sz w:val="20"/>
    </w:rPr>
  </w:style>
  <w:style w:type="paragraph" w:customStyle="1" w:styleId="SubHeading1">
    <w:name w:val="SubHeading1"/>
    <w:basedOn w:val="HeadingBase"/>
    <w:rsid w:val="00B10429"/>
    <w:pPr>
      <w:spacing w:before="240" w:after="60"/>
    </w:pPr>
    <w:rPr>
      <w:color w:val="918585"/>
      <w:sz w:val="22"/>
    </w:rPr>
  </w:style>
  <w:style w:type="paragraph" w:customStyle="1" w:styleId="SideHeading">
    <w:name w:val="Side Heading"/>
    <w:basedOn w:val="HeadingBase"/>
    <w:rsid w:val="00B104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429"/>
    <w:pPr>
      <w:tabs>
        <w:tab w:val="num" w:pos="360"/>
      </w:tabs>
    </w:pPr>
  </w:style>
  <w:style w:type="paragraph" w:styleId="PlainText">
    <w:name w:val="Plain Text"/>
    <w:basedOn w:val="Normal"/>
    <w:link w:val="PlainTextChar"/>
    <w:rsid w:val="00B10429"/>
    <w:rPr>
      <w:sz w:val="20"/>
    </w:rPr>
  </w:style>
  <w:style w:type="character" w:customStyle="1" w:styleId="PlainTextChar">
    <w:name w:val="Plain Text Char"/>
    <w:basedOn w:val="DefaultParagraphFont"/>
    <w:link w:val="PlainText"/>
    <w:rsid w:val="00B10429"/>
    <w:rPr>
      <w:rFonts w:ascii="Courier New" w:eastAsia="Times New Roman" w:hAnsi="Courier New" w:cs="Times New Roman"/>
      <w:sz w:val="20"/>
      <w:szCs w:val="20"/>
      <w:lang w:eastAsia="en-US"/>
    </w:rPr>
  </w:style>
  <w:style w:type="character" w:customStyle="1" w:styleId="MenuOption">
    <w:name w:val="Menu Option"/>
    <w:basedOn w:val="DefaultParagraphFont"/>
    <w:rsid w:val="00B10429"/>
    <w:rPr>
      <w:b/>
      <w:smallCaps/>
    </w:rPr>
  </w:style>
  <w:style w:type="paragraph" w:customStyle="1" w:styleId="TableListNumber">
    <w:name w:val="Table List Number"/>
    <w:basedOn w:val="ListNumber"/>
    <w:rsid w:val="00B10429"/>
    <w:pPr>
      <w:numPr>
        <w:numId w:val="0"/>
      </w:numPr>
    </w:pPr>
  </w:style>
  <w:style w:type="paragraph" w:styleId="TOC4">
    <w:name w:val="toc 4"/>
    <w:basedOn w:val="TOCBase"/>
    <w:next w:val="Normal"/>
    <w:semiHidden/>
    <w:rsid w:val="00B10429"/>
    <w:pPr>
      <w:tabs>
        <w:tab w:val="right" w:leader="dot" w:pos="9071"/>
      </w:tabs>
      <w:ind w:left="1701"/>
    </w:pPr>
  </w:style>
  <w:style w:type="paragraph" w:customStyle="1" w:styleId="ListAlpha">
    <w:name w:val="List Alpha"/>
    <w:basedOn w:val="List"/>
    <w:rsid w:val="00B10429"/>
    <w:pPr>
      <w:numPr>
        <w:numId w:val="9"/>
      </w:numPr>
    </w:pPr>
  </w:style>
  <w:style w:type="paragraph" w:customStyle="1" w:styleId="ListAlpha2">
    <w:name w:val="List Alpha 2"/>
    <w:basedOn w:val="List2"/>
    <w:rsid w:val="00B10429"/>
    <w:pPr>
      <w:numPr>
        <w:numId w:val="8"/>
      </w:numPr>
    </w:pPr>
  </w:style>
  <w:style w:type="paragraph" w:styleId="List2">
    <w:name w:val="List 2"/>
    <w:basedOn w:val="BodyText"/>
    <w:rsid w:val="00B10429"/>
    <w:pPr>
      <w:tabs>
        <w:tab w:val="left" w:pos="680"/>
      </w:tabs>
      <w:spacing w:before="60" w:after="60"/>
      <w:ind w:left="680" w:hanging="340"/>
    </w:pPr>
  </w:style>
  <w:style w:type="paragraph" w:styleId="List3">
    <w:name w:val="List 3"/>
    <w:basedOn w:val="BodyText"/>
    <w:rsid w:val="00B10429"/>
    <w:pPr>
      <w:tabs>
        <w:tab w:val="left" w:pos="1021"/>
      </w:tabs>
      <w:spacing w:before="60" w:after="60"/>
      <w:ind w:left="1020" w:hanging="340"/>
    </w:pPr>
  </w:style>
  <w:style w:type="paragraph" w:styleId="List4">
    <w:name w:val="List 4"/>
    <w:basedOn w:val="BodyText"/>
    <w:rsid w:val="00B10429"/>
    <w:pPr>
      <w:tabs>
        <w:tab w:val="left" w:pos="1361"/>
      </w:tabs>
      <w:spacing w:before="60" w:after="60"/>
      <w:ind w:left="1361" w:hanging="340"/>
    </w:pPr>
  </w:style>
  <w:style w:type="paragraph" w:styleId="List5">
    <w:name w:val="List 5"/>
    <w:basedOn w:val="BodyText"/>
    <w:rsid w:val="00B10429"/>
    <w:pPr>
      <w:tabs>
        <w:tab w:val="left" w:pos="1701"/>
      </w:tabs>
      <w:spacing w:before="60" w:after="60"/>
      <w:ind w:left="1701" w:hanging="340"/>
    </w:pPr>
  </w:style>
  <w:style w:type="paragraph" w:styleId="ListBullet3">
    <w:name w:val="List Bullet 3"/>
    <w:basedOn w:val="List3"/>
    <w:rsid w:val="00B10429"/>
    <w:pPr>
      <w:numPr>
        <w:numId w:val="14"/>
      </w:numPr>
      <w:tabs>
        <w:tab w:val="clear" w:pos="1021"/>
      </w:tabs>
      <w:ind w:left="1037" w:hanging="357"/>
    </w:pPr>
  </w:style>
  <w:style w:type="paragraph" w:styleId="ListBullet4">
    <w:name w:val="List Bullet 4"/>
    <w:basedOn w:val="List4"/>
    <w:rsid w:val="00B10429"/>
    <w:pPr>
      <w:numPr>
        <w:numId w:val="3"/>
      </w:numPr>
      <w:tabs>
        <w:tab w:val="clear" w:pos="1361"/>
      </w:tabs>
    </w:pPr>
  </w:style>
  <w:style w:type="paragraph" w:styleId="ListBullet5">
    <w:name w:val="List Bullet 5"/>
    <w:basedOn w:val="List5"/>
    <w:rsid w:val="00B10429"/>
    <w:pPr>
      <w:numPr>
        <w:numId w:val="4"/>
      </w:numPr>
    </w:pPr>
  </w:style>
  <w:style w:type="paragraph" w:styleId="ListContinue2">
    <w:name w:val="List Continue 2"/>
    <w:basedOn w:val="List2"/>
    <w:rsid w:val="00B10429"/>
    <w:pPr>
      <w:ind w:firstLine="0"/>
    </w:pPr>
  </w:style>
  <w:style w:type="paragraph" w:styleId="ListContinue3">
    <w:name w:val="List Continue 3"/>
    <w:basedOn w:val="List3"/>
    <w:rsid w:val="00B10429"/>
    <w:pPr>
      <w:ind w:left="1021" w:firstLine="0"/>
    </w:pPr>
  </w:style>
  <w:style w:type="paragraph" w:styleId="ListContinue4">
    <w:name w:val="List Continue 4"/>
    <w:basedOn w:val="List4"/>
    <w:rsid w:val="00B10429"/>
    <w:pPr>
      <w:ind w:firstLine="0"/>
    </w:pPr>
  </w:style>
  <w:style w:type="paragraph" w:styleId="ListContinue5">
    <w:name w:val="List Continue 5"/>
    <w:basedOn w:val="List5"/>
    <w:rsid w:val="00B10429"/>
    <w:pPr>
      <w:ind w:firstLine="0"/>
    </w:pPr>
  </w:style>
  <w:style w:type="paragraph" w:styleId="ListNumber3">
    <w:name w:val="List Number 3"/>
    <w:basedOn w:val="List3"/>
    <w:rsid w:val="00B10429"/>
    <w:pPr>
      <w:numPr>
        <w:numId w:val="5"/>
      </w:numPr>
    </w:pPr>
  </w:style>
  <w:style w:type="paragraph" w:styleId="ListNumber4">
    <w:name w:val="List Number 4"/>
    <w:basedOn w:val="List4"/>
    <w:rsid w:val="00B10429"/>
    <w:pPr>
      <w:numPr>
        <w:numId w:val="6"/>
      </w:numPr>
    </w:pPr>
  </w:style>
  <w:style w:type="paragraph" w:styleId="ListNumber5">
    <w:name w:val="List Number 5"/>
    <w:basedOn w:val="List5"/>
    <w:rsid w:val="00B10429"/>
    <w:pPr>
      <w:numPr>
        <w:numId w:val="7"/>
      </w:numPr>
    </w:pPr>
  </w:style>
  <w:style w:type="paragraph" w:styleId="BlockText">
    <w:name w:val="Block Text"/>
    <w:basedOn w:val="Normal"/>
    <w:rsid w:val="00B10429"/>
    <w:pPr>
      <w:spacing w:after="120"/>
      <w:ind w:left="1440" w:right="1440"/>
    </w:pPr>
  </w:style>
  <w:style w:type="character" w:customStyle="1" w:styleId="Subscript">
    <w:name w:val="Subscript"/>
    <w:basedOn w:val="DefaultParagraphFont"/>
    <w:rsid w:val="00B10429"/>
    <w:rPr>
      <w:sz w:val="16"/>
      <w:vertAlign w:val="subscript"/>
    </w:rPr>
  </w:style>
  <w:style w:type="character" w:customStyle="1" w:styleId="Superscript">
    <w:name w:val="Superscript"/>
    <w:basedOn w:val="DefaultParagraphFont"/>
    <w:rsid w:val="00B10429"/>
    <w:rPr>
      <w:sz w:val="16"/>
      <w:vertAlign w:val="superscript"/>
    </w:rPr>
  </w:style>
  <w:style w:type="character" w:customStyle="1" w:styleId="Symbols">
    <w:name w:val="Symbols"/>
    <w:basedOn w:val="DefaultParagraphFont"/>
    <w:rsid w:val="00B10429"/>
    <w:rPr>
      <w:rFonts w:ascii="Symbol" w:hAnsi="Symbol"/>
    </w:rPr>
  </w:style>
  <w:style w:type="character" w:customStyle="1" w:styleId="MenuOptions">
    <w:name w:val="Menu Options"/>
    <w:basedOn w:val="DefaultParagraphFont"/>
    <w:rsid w:val="00B10429"/>
    <w:rPr>
      <w:rFonts w:ascii="Arial Narrow" w:hAnsi="Arial Narrow"/>
      <w:smallCaps/>
    </w:rPr>
  </w:style>
  <w:style w:type="character" w:customStyle="1" w:styleId="Buttons">
    <w:name w:val="Buttons"/>
    <w:basedOn w:val="DefaultParagraphFont"/>
    <w:rsid w:val="00B10429"/>
    <w:rPr>
      <w:b/>
    </w:rPr>
  </w:style>
  <w:style w:type="character" w:customStyle="1" w:styleId="Underlined">
    <w:name w:val="Underlined"/>
    <w:basedOn w:val="DefaultParagraphFont"/>
    <w:rsid w:val="00B10429"/>
    <w:rPr>
      <w:u w:val="single"/>
    </w:rPr>
  </w:style>
  <w:style w:type="paragraph" w:customStyle="1" w:styleId="TableBodyTextRight">
    <w:name w:val="Table Body Text Right"/>
    <w:basedOn w:val="TableBodyText"/>
    <w:rsid w:val="00B10429"/>
    <w:pPr>
      <w:widowControl w:val="0"/>
      <w:autoSpaceDE w:val="0"/>
      <w:autoSpaceDN w:val="0"/>
      <w:adjustRightInd w:val="0"/>
      <w:jc w:val="right"/>
    </w:pPr>
    <w:rPr>
      <w:rFonts w:cs="Arial"/>
      <w:szCs w:val="18"/>
    </w:rPr>
  </w:style>
  <w:style w:type="paragraph" w:customStyle="1" w:styleId="CopyrightText">
    <w:name w:val="Copyright Text"/>
    <w:basedOn w:val="BodyText"/>
    <w:rsid w:val="00B10429"/>
    <w:rPr>
      <w:sz w:val="18"/>
    </w:rPr>
  </w:style>
  <w:style w:type="paragraph" w:customStyle="1" w:styleId="BodySmallRight">
    <w:name w:val="Body Small Right"/>
    <w:basedOn w:val="BodyTextRight"/>
    <w:rsid w:val="00B10429"/>
    <w:rPr>
      <w:sz w:val="18"/>
      <w:szCs w:val="18"/>
    </w:rPr>
  </w:style>
  <w:style w:type="paragraph" w:customStyle="1" w:styleId="MarginEdition">
    <w:name w:val="Margin Edition"/>
    <w:basedOn w:val="MarginNote"/>
    <w:rsid w:val="00B10429"/>
    <w:pPr>
      <w:spacing w:before="0" w:after="0"/>
    </w:pPr>
    <w:rPr>
      <w:rFonts w:ascii="Times New Roman" w:hAnsi="Times New Roman"/>
      <w:color w:val="999999"/>
    </w:rPr>
  </w:style>
  <w:style w:type="paragraph" w:customStyle="1" w:styleId="Spacer">
    <w:name w:val="Spacer"/>
    <w:basedOn w:val="Normal"/>
    <w:rsid w:val="00B10429"/>
    <w:rPr>
      <w:sz w:val="2"/>
      <w:szCs w:val="2"/>
    </w:rPr>
  </w:style>
  <w:style w:type="character" w:customStyle="1" w:styleId="Small">
    <w:name w:val="Small"/>
    <w:basedOn w:val="DefaultParagraphFont"/>
    <w:rsid w:val="00B10429"/>
    <w:rPr>
      <w:sz w:val="16"/>
    </w:rPr>
  </w:style>
  <w:style w:type="paragraph" w:customStyle="1" w:styleId="WideTable">
    <w:name w:val="Wide Table"/>
    <w:basedOn w:val="Normal"/>
    <w:rsid w:val="00B10429"/>
    <w:pPr>
      <w:ind w:left="-1418"/>
    </w:pPr>
    <w:rPr>
      <w:sz w:val="2"/>
      <w:szCs w:val="2"/>
    </w:rPr>
  </w:style>
  <w:style w:type="character" w:styleId="PageNumber">
    <w:name w:val="page number"/>
    <w:basedOn w:val="DefaultParagraphFont"/>
    <w:rsid w:val="00B10429"/>
  </w:style>
  <w:style w:type="paragraph" w:styleId="Quote">
    <w:name w:val="Quote"/>
    <w:basedOn w:val="Heading1"/>
    <w:link w:val="QuoteChar"/>
    <w:qFormat/>
    <w:rsid w:val="00B10429"/>
    <w:rPr>
      <w:b w:val="0"/>
      <w:sz w:val="72"/>
      <w:szCs w:val="72"/>
      <w:lang w:val="en-NZ"/>
    </w:rPr>
  </w:style>
  <w:style w:type="character" w:customStyle="1" w:styleId="QuoteChar">
    <w:name w:val="Quote Char"/>
    <w:basedOn w:val="DefaultParagraphFont"/>
    <w:link w:val="Quote"/>
    <w:rsid w:val="00B104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429"/>
    <w:pPr>
      <w:pageBreakBefore/>
    </w:pPr>
  </w:style>
  <w:style w:type="paragraph" w:customStyle="1" w:styleId="Border">
    <w:name w:val="Border"/>
    <w:basedOn w:val="Normal"/>
    <w:qFormat/>
    <w:rsid w:val="00B104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429"/>
    <w:rPr>
      <w:b/>
      <w:bCs/>
      <w:i/>
      <w:iCs/>
      <w:color w:val="auto"/>
    </w:rPr>
  </w:style>
  <w:style w:type="paragraph" w:styleId="IntenseQuote">
    <w:name w:val="Intense Quote"/>
    <w:basedOn w:val="Normal"/>
    <w:next w:val="Normal"/>
    <w:link w:val="IntenseQuoteChar"/>
    <w:uiPriority w:val="30"/>
    <w:qFormat/>
    <w:rsid w:val="00B104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4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429"/>
    <w:rPr>
      <w:smallCaps/>
      <w:color w:val="auto"/>
      <w:u w:val="single"/>
    </w:rPr>
  </w:style>
  <w:style w:type="character" w:styleId="IntenseReference">
    <w:name w:val="Intense Reference"/>
    <w:basedOn w:val="DefaultParagraphFont"/>
    <w:uiPriority w:val="32"/>
    <w:qFormat/>
    <w:rsid w:val="00B10429"/>
    <w:rPr>
      <w:b/>
      <w:bCs/>
      <w:smallCaps/>
      <w:color w:val="auto"/>
      <w:spacing w:val="5"/>
      <w:u w:val="single"/>
    </w:rPr>
  </w:style>
  <w:style w:type="paragraph" w:customStyle="1" w:styleId="2ColumnHeading">
    <w:name w:val="2Column Heading"/>
    <w:basedOn w:val="BodyText"/>
    <w:qFormat/>
    <w:rsid w:val="00B10429"/>
    <w:pPr>
      <w:spacing w:after="60"/>
      <w:ind w:left="-2268"/>
    </w:pPr>
    <w:rPr>
      <w:b/>
    </w:rPr>
  </w:style>
  <w:style w:type="paragraph" w:customStyle="1" w:styleId="Heading1TOC">
    <w:name w:val="Heading1 TOC"/>
    <w:basedOn w:val="Normal"/>
    <w:qFormat/>
    <w:rsid w:val="00B10429"/>
    <w:pPr>
      <w:spacing w:before="240" w:after="120"/>
    </w:pPr>
    <w:rPr>
      <w:rFonts w:ascii="Times New Roman" w:hAnsi="Times New Roman"/>
      <w:b/>
      <w:sz w:val="32"/>
    </w:rPr>
  </w:style>
  <w:style w:type="paragraph" w:customStyle="1" w:styleId="Heading2TOC">
    <w:name w:val="Heading2 TOC"/>
    <w:basedOn w:val="Normal"/>
    <w:qFormat/>
    <w:rsid w:val="00B10429"/>
    <w:pPr>
      <w:spacing w:before="240" w:after="60"/>
    </w:pPr>
    <w:rPr>
      <w:rFonts w:ascii="Times New Roman" w:hAnsi="Times New Roman"/>
      <w:b/>
      <w:sz w:val="28"/>
    </w:rPr>
  </w:style>
  <w:style w:type="character" w:customStyle="1" w:styleId="Underline">
    <w:name w:val="Underline"/>
    <w:basedOn w:val="DefaultParagraphFont"/>
    <w:qFormat/>
    <w:rsid w:val="00B10429"/>
    <w:rPr>
      <w:u w:val="single"/>
    </w:rPr>
  </w:style>
  <w:style w:type="character" w:customStyle="1" w:styleId="BoldandItalics">
    <w:name w:val="Bold and Italics"/>
    <w:qFormat/>
    <w:rsid w:val="00B10429"/>
    <w:rPr>
      <w:b/>
      <w:i/>
      <w:u w:val="none"/>
    </w:rPr>
  </w:style>
  <w:style w:type="paragraph" w:styleId="BalloonText">
    <w:name w:val="Balloon Text"/>
    <w:basedOn w:val="Normal"/>
    <w:link w:val="BalloonTextChar"/>
    <w:rsid w:val="00B10429"/>
    <w:rPr>
      <w:rFonts w:ascii="Tahoma" w:hAnsi="Tahoma" w:cs="Tahoma"/>
      <w:sz w:val="16"/>
      <w:szCs w:val="16"/>
    </w:rPr>
  </w:style>
  <w:style w:type="character" w:customStyle="1" w:styleId="BalloonTextChar">
    <w:name w:val="Balloon Text Char"/>
    <w:basedOn w:val="DefaultParagraphFont"/>
    <w:link w:val="BalloonText"/>
    <w:rsid w:val="00B104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4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04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429"/>
    <w:rPr>
      <w:b/>
      <w:color w:val="660033"/>
      <w:spacing w:val="0"/>
    </w:rPr>
  </w:style>
  <w:style w:type="paragraph" w:customStyle="1" w:styleId="Nameditemlist">
    <w:name w:val="Named item list"/>
    <w:basedOn w:val="BodyText"/>
    <w:qFormat/>
    <w:rsid w:val="00B10429"/>
    <w:pPr>
      <w:tabs>
        <w:tab w:val="left" w:pos="2835"/>
      </w:tabs>
      <w:ind w:left="2835" w:hanging="2835"/>
    </w:pPr>
  </w:style>
  <w:style w:type="paragraph" w:customStyle="1" w:styleId="BodyTextnopadding">
    <w:name w:val="Body Text no padding"/>
    <w:basedOn w:val="BodyText"/>
    <w:qFormat/>
    <w:rsid w:val="00B10429"/>
    <w:pPr>
      <w:spacing w:before="0" w:after="0"/>
    </w:pPr>
  </w:style>
  <w:style w:type="paragraph" w:customStyle="1" w:styleId="BodyTextBold">
    <w:name w:val="Body Text Bold"/>
    <w:basedOn w:val="BodyText"/>
    <w:qFormat/>
    <w:rsid w:val="00B10429"/>
    <w:rPr>
      <w:b/>
    </w:rPr>
  </w:style>
  <w:style w:type="character" w:styleId="Hyperlink">
    <w:name w:val="Hyperlink"/>
    <w:basedOn w:val="DefaultParagraphFont"/>
    <w:uiPriority w:val="99"/>
    <w:unhideWhenUsed/>
    <w:rsid w:val="004C25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3808</Characters>
  <Application>Microsoft Office Word</Application>
  <DocSecurity>0</DocSecurity>
  <Lines>97</Lines>
  <Paragraphs>69</Paragraphs>
  <ScaleCrop>false</ScaleCrop>
  <Company>Author-it Software Corporation Ltd.</Company>
  <LinksUpToDate>false</LinksUpToDate>
  <CharactersWithSpaces>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FNSTPB517 Apply legal principles in commercial law when providing tax (financial) advice services</dc:title>
  <dc:subject>Approved</dc:subject>
  <dc:creator>PwC’s Skills for Australia</dc:creator>
  <cp:keywords>Release: 1</cp:keywords>
  <dc:description>Review Date: 12 April 2008</dc:description>
  <cp:lastModifiedBy>HSD_TPCMSd.prod</cp:lastModifiedBy>
  <cp:revision>3</cp:revision>
  <dcterms:created xsi:type="dcterms:W3CDTF">2022-11-03T07:34:00Z</dcterms:created>
  <dcterms:modified xsi:type="dcterms:W3CDTF">2022-11-03T07:34:00Z</dcterms:modified>
</cp:coreProperties>
</file>