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E3D" w:rsidP="00883E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FNSTPB516 Apply taxation requirements when providing tax (financial) advice services</w:t>
      </w:r>
      <w:r>
        <w:fldChar w:fldCharType="end"/>
      </w:r>
    </w:p>
    <w:p w:rsidR="00883E3D" w:rsidP="00883E3D">
      <w:pPr>
        <w:pStyle w:val="Version"/>
        <w:sectPr w:rsidSect="005F2B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2BA3" w:rsidP="005F2BA3">
      <w:pPr>
        <w:pStyle w:val="SuperHeading"/>
      </w:pPr>
      <w:r w:rsidRPr="005F2BA3">
        <w:t>FNSTPB516 Apply taxation requirements when providing tax (financial) advice services</w:t>
      </w:r>
    </w:p>
    <w:p w:rsidR="00000000" w:rsidRPr="005F2BA3" w:rsidP="005F2BA3">
      <w:pPr>
        <w:pStyle w:val="Heading1"/>
      </w:pPr>
      <w:bookmarkStart w:id="1" w:name="O_1231409"/>
      <w:bookmarkEnd w:id="1"/>
      <w:r w:rsidRPr="005F2B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F2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BA3" w:rsidP="005F2BA3">
            <w:pPr>
              <w:pStyle w:val="BodyText"/>
            </w:pPr>
            <w:r w:rsidRPr="005F2BA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BA3">
            <w:pPr>
              <w:pStyle w:val="BodyText"/>
              <w:rPr>
                <w:lang w:val="en-NZ"/>
              </w:rPr>
            </w:pPr>
            <w:r w:rsidRPr="005F2BA3">
              <w:rPr>
                <w:rStyle w:val="SpecialBold"/>
              </w:rPr>
              <w:t>Comments</w:t>
            </w:r>
          </w:p>
        </w:tc>
      </w:tr>
      <w:tr w:rsidTr="005F2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BA3">
            <w:pPr>
              <w:pStyle w:val="BodyText"/>
              <w:rPr>
                <w:lang w:val="en-NZ"/>
              </w:rPr>
            </w:pPr>
            <w:r w:rsidRPr="005F2BA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BA3" w:rsidP="005F2BA3">
            <w:pPr>
              <w:pStyle w:val="BodyText"/>
            </w:pPr>
            <w:r w:rsidRPr="005F2BA3">
              <w:t>This version first released with the FNS Financial Services Training Package Version 8.0.</w:t>
            </w:r>
          </w:p>
          <w:p w:rsidR="00000000" w:rsidRPr="005F2BA3" w:rsidP="005F2BA3">
            <w:pPr>
              <w:pStyle w:val="BodyText"/>
            </w:pPr>
            <w:r w:rsidRPr="005F2BA3">
              <w:t>Supersedes and is equivalent to FNSTPB506 Apply taxation requirements when providing tax (financial) advice services.</w:t>
            </w:r>
          </w:p>
        </w:tc>
      </w:tr>
    </w:tbl>
    <w:p w:rsidR="00000000" w:rsidRPr="005F2BA3" w:rsidP="005F2BA3">
      <w:pPr>
        <w:pStyle w:val="BodyText"/>
      </w:pPr>
    </w:p>
    <w:p w:rsidR="00000000" w:rsidRPr="005F2BA3" w:rsidP="005F2BA3">
      <w:pPr>
        <w:pStyle w:val="AllowPageBreak"/>
      </w:pPr>
    </w:p>
    <w:p w:rsidR="00000000" w:rsidRPr="005F2BA3" w:rsidP="005F2BA3">
      <w:pPr>
        <w:pStyle w:val="Heading1"/>
      </w:pPr>
      <w:bookmarkStart w:id="2" w:name="O_1231410"/>
      <w:bookmarkEnd w:id="2"/>
      <w:r w:rsidRPr="005F2BA3">
        <w:t>Application</w:t>
      </w:r>
    </w:p>
    <w:p w:rsidR="00000000" w:rsidRPr="005F2BA3" w:rsidP="00883E3D">
      <w:pPr>
        <w:pStyle w:val="BodyText"/>
      </w:pPr>
      <w:r w:rsidRPr="005F2BA3">
        <w:t>This unit describes the skills and knowledge required to research, identify and analyse the taxation requ</w:t>
      </w:r>
      <w:r w:rsidRPr="005F2BA3">
        <w:t>irements that apply to taxation administration when providing tax advice services to clients within own role.</w:t>
      </w:r>
    </w:p>
    <w:p w:rsidR="00000000" w:rsidRPr="005F2BA3" w:rsidP="00883E3D">
      <w:pPr>
        <w:pStyle w:val="BodyText"/>
      </w:pPr>
      <w:r w:rsidRPr="005F2BA3">
        <w:t>The unit applies to individuals who provide tax (financial) advice services as defined in the Tax Agent Services Act 2009. Individuals providing s</w:t>
      </w:r>
      <w:r w:rsidRPr="005F2BA3">
        <w:t>uch services may be required to be registered tax agents with a tax (financial) advice services condition.</w:t>
      </w:r>
    </w:p>
    <w:p w:rsidR="00000000" w:rsidRPr="005F2BA3" w:rsidP="00883E3D">
      <w:pPr>
        <w:pStyle w:val="BodyText"/>
      </w:pPr>
      <w:r w:rsidRPr="005F2BA3">
        <w:t xml:space="preserve">Work functions in the occupational areas where this unit is used are generally subject to regulatory requirements. This unit is designed to meet the </w:t>
      </w:r>
      <w:r w:rsidRPr="005F2BA3">
        <w:t>education requirements of the Tax Practitioners Board (TPB). Users are advised to check with the relevant regulatory authorities to confirm those requirements.</w:t>
      </w:r>
    </w:p>
    <w:p w:rsidR="00000000" w:rsidRPr="005F2BA3" w:rsidP="005F2BA3">
      <w:pPr>
        <w:pStyle w:val="Heading1"/>
      </w:pPr>
      <w:bookmarkStart w:id="3" w:name="O_1231413"/>
      <w:bookmarkEnd w:id="3"/>
      <w:r w:rsidRPr="005F2BA3">
        <w:t>Unit Sector</w:t>
      </w:r>
    </w:p>
    <w:p w:rsidR="00000000" w:rsidRPr="005F2BA3" w:rsidP="00883E3D">
      <w:pPr>
        <w:pStyle w:val="BodyText"/>
      </w:pPr>
      <w:r w:rsidRPr="005F2BA3">
        <w:t>Tax practitioners</w:t>
      </w:r>
    </w:p>
    <w:p w:rsidR="00000000" w:rsidRPr="005F2BA3" w:rsidP="005F2BA3">
      <w:pPr>
        <w:pStyle w:val="Heading1"/>
      </w:pPr>
      <w:bookmarkStart w:id="4" w:name="O_1231414"/>
      <w:bookmarkEnd w:id="4"/>
      <w:r w:rsidRPr="005F2BA3">
        <w:t>Elements and Performance Cri</w:t>
      </w:r>
      <w:r w:rsidRPr="005F2BA3">
        <w:t>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3"/>
        <w:gridCol w:w="6927"/>
      </w:tblGrid>
      <w:tr w:rsidTr="005F2BA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BA3" w:rsidP="005F2BA3">
            <w:pPr>
              <w:pStyle w:val="BodyText"/>
            </w:pPr>
            <w:r w:rsidRPr="005F2BA3">
              <w:rPr>
                <w:rStyle w:val="SpecialBold"/>
              </w:rPr>
              <w:t>ELEMENT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BA3">
            <w:pPr>
              <w:pStyle w:val="BodyText"/>
              <w:rPr>
                <w:lang w:val="en-NZ"/>
              </w:rPr>
            </w:pPr>
            <w:r w:rsidRPr="005F2BA3">
              <w:rPr>
                <w:rStyle w:val="SpecialBold"/>
              </w:rPr>
              <w:t>PERFORMANCE CRITERIA</w:t>
            </w:r>
          </w:p>
        </w:tc>
      </w:tr>
      <w:tr w:rsidTr="005F2BA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BA3" w:rsidP="005F2BA3">
            <w:pPr>
              <w:pStyle w:val="BodyText"/>
            </w:pPr>
            <w:r w:rsidRPr="005F2BA3">
              <w:rPr>
                <w:rStyle w:val="Emphasis"/>
              </w:rPr>
              <w:t>Elements describe the essential outcomes.</w:t>
            </w:r>
          </w:p>
        </w:tc>
        <w:tc>
          <w:tcPr>
            <w:tcW w:w="69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BA3">
            <w:pPr>
              <w:pStyle w:val="BodyText"/>
              <w:rPr>
                <w:lang w:val="en-NZ"/>
              </w:rPr>
            </w:pPr>
            <w:r w:rsidRPr="005F2B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2BA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BA3">
            <w:pPr>
              <w:pStyle w:val="List"/>
              <w:rPr>
                <w:lang w:val="en-NZ"/>
              </w:rPr>
            </w:pPr>
            <w:r w:rsidRPr="005F2BA3">
              <w:t>1. Research tax requirements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BA3" w:rsidP="005F2BA3">
            <w:pPr>
              <w:pStyle w:val="List"/>
            </w:pPr>
            <w:r w:rsidRPr="005F2BA3">
              <w:t>1.1 Identify client’</w:t>
            </w:r>
            <w:r w:rsidRPr="005F2BA3">
              <w:t>s circumstances and tax (financial) advice services relevant to tax requirements</w:t>
            </w:r>
          </w:p>
          <w:p w:rsidR="00000000" w:rsidRPr="005F2BA3" w:rsidP="005F2BA3">
            <w:pPr>
              <w:pStyle w:val="List"/>
            </w:pPr>
            <w:r w:rsidRPr="005F2BA3">
              <w:t>1.2 Identify sources of tax information relevant to client’s circumstances and tax (financial) advice services requirements</w:t>
            </w:r>
          </w:p>
          <w:p w:rsidR="00000000" w:rsidP="005F2BA3">
            <w:pPr>
              <w:pStyle w:val="List"/>
              <w:rPr>
                <w:lang w:val="en-NZ"/>
              </w:rPr>
            </w:pPr>
            <w:r w:rsidRPr="005F2BA3">
              <w:t>1.3 Research relevant legislation, guidelines and o</w:t>
            </w:r>
            <w:r w:rsidRPr="005F2BA3">
              <w:t xml:space="preserve">ther regulatory and </w:t>
            </w:r>
            <w:r w:rsidRPr="005F2BA3">
              <w:t>ethical requirements relevant to tax requirements of the client’s circumstances and the tax (financial) advice services being provided</w:t>
            </w:r>
          </w:p>
        </w:tc>
      </w:tr>
      <w:tr w:rsidTr="005F2BA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BA3">
            <w:pPr>
              <w:pStyle w:val="List"/>
              <w:rPr>
                <w:lang w:val="en-NZ"/>
              </w:rPr>
            </w:pPr>
            <w:r w:rsidRPr="005F2BA3">
              <w:t>2. Explain relevant tax requirements and adviser’s scope of authority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BA3" w:rsidP="005F2BA3">
            <w:pPr>
              <w:pStyle w:val="List"/>
            </w:pPr>
            <w:r w:rsidRPr="005F2BA3">
              <w:t>2.1 Identify legal, regulatory and ethical requirements that apply to the tax requirements relevant to the client’s circumstances and tax (financial) advice services</w:t>
            </w:r>
          </w:p>
          <w:p w:rsidR="00000000" w:rsidRPr="005F2BA3" w:rsidP="005F2BA3">
            <w:pPr>
              <w:pStyle w:val="List"/>
            </w:pPr>
            <w:r w:rsidRPr="005F2BA3">
              <w:t>2.2 Explain the scope and authority of providing tax (financial) advice services to the cl</w:t>
            </w:r>
            <w:r w:rsidRPr="005F2BA3">
              <w:t>ient</w:t>
            </w:r>
          </w:p>
          <w:p w:rsidR="00000000" w:rsidRPr="005F2BA3" w:rsidP="005F2BA3">
            <w:pPr>
              <w:pStyle w:val="List"/>
            </w:pPr>
            <w:r w:rsidRPr="005F2BA3">
              <w:t>2.3 Explain to client, within scope of authority, tax requirements that apply to their circumstances and tax (financial) advice services being provided</w:t>
            </w:r>
          </w:p>
          <w:p w:rsidR="00000000" w:rsidP="005F2BA3">
            <w:pPr>
              <w:pStyle w:val="List"/>
              <w:rPr>
                <w:lang w:val="en-NZ"/>
              </w:rPr>
            </w:pPr>
            <w:r w:rsidRPr="005F2BA3">
              <w:t>2.4 Advise client to seek independent tax advice and specialist advice as required</w:t>
            </w:r>
          </w:p>
        </w:tc>
      </w:tr>
      <w:tr w:rsidTr="005F2BA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BA3">
            <w:pPr>
              <w:pStyle w:val="List"/>
              <w:rPr>
                <w:lang w:val="en-NZ"/>
              </w:rPr>
            </w:pPr>
            <w:r w:rsidRPr="005F2BA3">
              <w:t>3. Explain impl</w:t>
            </w:r>
            <w:r w:rsidRPr="005F2BA3">
              <w:t xml:space="preserve">ications of tax requirements 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BA3" w:rsidP="005F2BA3">
            <w:pPr>
              <w:pStyle w:val="List"/>
            </w:pPr>
            <w:r w:rsidRPr="005F2BA3">
              <w:t>3.1 Analyse implications of tax requirements relevant to client’s circumstances and tax (financial) advice services, and how tax requirements that apply to individuals and different legal entities</w:t>
            </w:r>
          </w:p>
          <w:p w:rsidR="00000000" w:rsidP="005F2BA3">
            <w:pPr>
              <w:pStyle w:val="List"/>
              <w:rPr>
                <w:lang w:val="en-NZ"/>
              </w:rPr>
            </w:pPr>
            <w:r w:rsidRPr="005F2BA3">
              <w:t>3.2 Explain to client, within</w:t>
            </w:r>
            <w:r w:rsidRPr="005F2BA3">
              <w:t xml:space="preserve"> scope of authority, implications of tax requirements that apply to their circumstances and tax (financial) advice services provided</w:t>
            </w:r>
          </w:p>
        </w:tc>
      </w:tr>
      <w:tr w:rsidTr="005F2BA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BA3">
            <w:pPr>
              <w:pStyle w:val="List"/>
              <w:rPr>
                <w:lang w:val="en-NZ"/>
              </w:rPr>
            </w:pPr>
            <w:r w:rsidRPr="005F2BA3">
              <w:t>4. Maintain knowledge of tax and tax administration requirements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BA3" w:rsidP="005F2BA3">
            <w:pPr>
              <w:pStyle w:val="List"/>
            </w:pPr>
            <w:r w:rsidRPr="005F2BA3">
              <w:t>4.1 Identify sources of information for tax administratio</w:t>
            </w:r>
            <w:r w:rsidRPr="005F2BA3">
              <w:t>n requirements, relevant to the client’s circumstances and tax (financial) advice services</w:t>
            </w:r>
          </w:p>
          <w:p w:rsidR="00000000" w:rsidRPr="005F2BA3" w:rsidP="005F2BA3">
            <w:pPr>
              <w:pStyle w:val="List"/>
            </w:pPr>
            <w:r w:rsidRPr="005F2BA3">
              <w:t>4.2 Review client’s circumstances and tax (financial) advice services provided and apply changes in tax and tax administration requirements, as required</w:t>
            </w:r>
          </w:p>
          <w:p w:rsidR="00000000" w:rsidRPr="005F2BA3" w:rsidP="005F2BA3">
            <w:pPr>
              <w:pStyle w:val="List"/>
            </w:pPr>
            <w:r w:rsidRPr="005F2BA3">
              <w:t>4.3 Access a</w:t>
            </w:r>
            <w:r w:rsidRPr="005F2BA3">
              <w:t>nd use systems for maintaining up-to-date knowledge about relevant tax and tax administration requirements</w:t>
            </w:r>
          </w:p>
          <w:p w:rsidR="00000000" w:rsidRPr="005F2BA3" w:rsidP="005F2BA3">
            <w:pPr>
              <w:pStyle w:val="List"/>
            </w:pPr>
            <w:r w:rsidRPr="005F2BA3">
              <w:t>4.4 Establish process to identify updates and additions to tax and tax administration requirements relevant to client’s circumstances and tax (financ</w:t>
            </w:r>
            <w:r w:rsidRPr="005F2BA3">
              <w:t>ial) advice services provided</w:t>
            </w:r>
          </w:p>
        </w:tc>
      </w:tr>
    </w:tbl>
    <w:p w:rsidR="00000000" w:rsidRPr="005F2BA3" w:rsidP="005F2BA3">
      <w:pPr>
        <w:pStyle w:val="BodyText"/>
      </w:pPr>
    </w:p>
    <w:p w:rsidR="00000000" w:rsidRPr="005F2BA3" w:rsidP="005F2BA3">
      <w:pPr>
        <w:pStyle w:val="AllowPageBreak"/>
      </w:pPr>
    </w:p>
    <w:p w:rsidR="00000000" w:rsidRPr="005F2BA3" w:rsidP="005F2BA3">
      <w:pPr>
        <w:pStyle w:val="Heading1"/>
      </w:pPr>
      <w:bookmarkStart w:id="5" w:name="O_1231415"/>
      <w:bookmarkEnd w:id="5"/>
      <w:r w:rsidRPr="005F2BA3">
        <w:t>Foundation Skills</w:t>
      </w:r>
    </w:p>
    <w:p w:rsidR="00000000" w:rsidRPr="00883E3D" w:rsidP="00883E3D">
      <w:pPr>
        <w:pStyle w:val="BodyText"/>
        <w:rPr>
          <w:i/>
        </w:rPr>
      </w:pPr>
      <w:r w:rsidRPr="00883E3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7"/>
        <w:gridCol w:w="6367"/>
      </w:tblGrid>
      <w:tr w:rsidTr="005F2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BA3" w:rsidP="005F2BA3">
            <w:pPr>
              <w:pStyle w:val="BodyText"/>
            </w:pPr>
            <w:r w:rsidRPr="005F2BA3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BA3">
            <w:pPr>
              <w:pStyle w:val="BodyText"/>
              <w:rPr>
                <w:lang w:val="en-NZ"/>
              </w:rPr>
            </w:pPr>
            <w:r w:rsidRPr="005F2BA3">
              <w:rPr>
                <w:rStyle w:val="SpecialBold"/>
              </w:rPr>
              <w:t>DESCRIPTION</w:t>
            </w:r>
          </w:p>
        </w:tc>
      </w:tr>
      <w:tr w:rsidTr="005F2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BA3">
            <w:pPr>
              <w:pStyle w:val="BodyText"/>
              <w:rPr>
                <w:lang w:val="en-NZ"/>
              </w:rPr>
            </w:pPr>
            <w:r w:rsidRPr="005F2BA3">
              <w:t>Numeracy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BA3">
            <w:pPr>
              <w:pStyle w:val="ListBullet"/>
              <w:rPr>
                <w:lang w:val="en-NZ"/>
              </w:rPr>
            </w:pPr>
            <w:r w:rsidRPr="005F2BA3">
              <w:t>Extracts, comprehends and analyses mathematical information embedded in a range of complex documents relating to taxation and with taxation implications</w:t>
            </w:r>
          </w:p>
        </w:tc>
      </w:tr>
      <w:tr w:rsidTr="005F2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BA3">
            <w:pPr>
              <w:pStyle w:val="BodyText"/>
              <w:rPr>
                <w:lang w:val="en-NZ"/>
              </w:rPr>
            </w:pPr>
            <w:r w:rsidRPr="005F2BA3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BA3" w:rsidP="005F2BA3">
            <w:pPr>
              <w:pStyle w:val="ListBullet"/>
            </w:pPr>
            <w:r w:rsidRPr="005F2BA3">
              <w:t>Presents information choosing language appropriate to audience</w:t>
            </w:r>
          </w:p>
          <w:p w:rsidR="00000000" w:rsidP="005F2BA3">
            <w:pPr>
              <w:pStyle w:val="ListBullet"/>
              <w:rPr>
                <w:lang w:val="en-NZ"/>
              </w:rPr>
            </w:pPr>
            <w:r w:rsidRPr="005F2BA3">
              <w:t>Asks questions an</w:t>
            </w:r>
            <w:r w:rsidRPr="005F2BA3">
              <w:t>d listens to responses from clients and others using appropriate vocabulary and non-verbal features</w:t>
            </w:r>
          </w:p>
        </w:tc>
      </w:tr>
      <w:tr w:rsidTr="005F2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BA3">
            <w:pPr>
              <w:pStyle w:val="BodyText"/>
              <w:rPr>
                <w:lang w:val="en-NZ"/>
              </w:rPr>
            </w:pPr>
            <w:r w:rsidRPr="005F2BA3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BA3">
            <w:pPr>
              <w:pStyle w:val="ListBullet"/>
              <w:rPr>
                <w:lang w:val="en-NZ"/>
              </w:rPr>
            </w:pPr>
            <w:r w:rsidRPr="005F2BA3">
              <w:t>Accesses, comprehends, assesses and interprets complex documents with a high level of technical detail</w:t>
            </w:r>
          </w:p>
        </w:tc>
      </w:tr>
      <w:tr w:rsidTr="005F2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BA3">
            <w:pPr>
              <w:pStyle w:val="BodyText"/>
              <w:rPr>
                <w:lang w:val="en-NZ"/>
              </w:rPr>
            </w:pPr>
            <w:r w:rsidRPr="005F2BA3">
              <w:t>Planning and organising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BA3" w:rsidP="005F2BA3">
            <w:pPr>
              <w:pStyle w:val="ListBullet"/>
            </w:pPr>
            <w:r w:rsidRPr="005F2BA3">
              <w:t>Plans and organises tasks required to provide accurate information to clients</w:t>
            </w:r>
          </w:p>
          <w:p w:rsidR="00000000" w:rsidP="005F2BA3">
            <w:pPr>
              <w:pStyle w:val="ListBullet"/>
              <w:rPr>
                <w:lang w:val="en-NZ"/>
              </w:rPr>
            </w:pPr>
            <w:r w:rsidRPr="005F2BA3">
              <w:t>Applies systematic and analytical processes to decide on most appropriate advice for clients</w:t>
            </w:r>
          </w:p>
        </w:tc>
      </w:tr>
      <w:tr w:rsidTr="005F2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BA3">
            <w:pPr>
              <w:pStyle w:val="BodyText"/>
              <w:rPr>
                <w:lang w:val="en-NZ"/>
              </w:rPr>
            </w:pPr>
            <w:r w:rsidRPr="005F2BA3">
              <w:t>Self-management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BA3">
            <w:pPr>
              <w:pStyle w:val="ListBullet"/>
              <w:rPr>
                <w:lang w:val="en-NZ"/>
              </w:rPr>
            </w:pPr>
            <w:r w:rsidRPr="005F2BA3">
              <w:t>Accepts responsibility for providing advice according to requiremen</w:t>
            </w:r>
            <w:r w:rsidRPr="005F2BA3">
              <w:t>ts of own role and relevant legislation</w:t>
            </w:r>
          </w:p>
        </w:tc>
      </w:tr>
      <w:tr w:rsidTr="005F2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BA3">
            <w:pPr>
              <w:pStyle w:val="BodyText"/>
              <w:rPr>
                <w:lang w:val="en-NZ"/>
              </w:rPr>
            </w:pPr>
            <w:r w:rsidRPr="005F2BA3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BA3" w:rsidP="005F2BA3">
            <w:pPr>
              <w:pStyle w:val="ListBullet"/>
            </w:pPr>
            <w:r w:rsidRPr="005F2BA3">
              <w:t>Uses the main features and functions of digital tools to complete work tasks and to access information</w:t>
            </w:r>
          </w:p>
        </w:tc>
      </w:tr>
    </w:tbl>
    <w:p w:rsidR="00000000" w:rsidRPr="005F2BA3" w:rsidP="005F2BA3">
      <w:pPr>
        <w:pStyle w:val="BodyText"/>
      </w:pPr>
    </w:p>
    <w:p w:rsidR="00000000" w:rsidRPr="005F2BA3" w:rsidP="005F2BA3">
      <w:pPr>
        <w:pStyle w:val="AllowPageBreak"/>
      </w:pPr>
    </w:p>
    <w:p w:rsidR="00000000" w:rsidRPr="005F2BA3" w:rsidP="005F2BA3">
      <w:pPr>
        <w:pStyle w:val="Heading1"/>
      </w:pPr>
      <w:bookmarkStart w:id="6" w:name="O_1231417"/>
      <w:bookmarkEnd w:id="6"/>
      <w:r w:rsidRPr="005F2BA3">
        <w:t>Unit Mapping Information</w:t>
      </w:r>
    </w:p>
    <w:p w:rsidR="00000000" w:rsidRPr="005F2BA3" w:rsidP="00883E3D">
      <w:pPr>
        <w:pStyle w:val="BodyText"/>
      </w:pPr>
      <w:r w:rsidRPr="005F2BA3">
        <w:t>Supersedes and is equival</w:t>
      </w:r>
      <w:r w:rsidRPr="005F2BA3">
        <w:t>ent to FNSTPB506 Apply taxation requirements when providing tax (financial) advice services.</w:t>
      </w:r>
    </w:p>
    <w:p w:rsidR="00000000" w:rsidRPr="005F2BA3" w:rsidP="005F2BA3">
      <w:pPr>
        <w:pStyle w:val="Heading1"/>
      </w:pPr>
      <w:bookmarkStart w:id="7" w:name="O_1231424"/>
      <w:bookmarkEnd w:id="7"/>
      <w:r w:rsidRPr="005F2BA3">
        <w:t>Links</w:t>
      </w:r>
    </w:p>
    <w:p w:rsidR="00000000" w:rsidRPr="005F2BA3" w:rsidP="00883E3D">
      <w:pPr>
        <w:pStyle w:val="BodyText"/>
      </w:pPr>
      <w:r w:rsidRPr="005F2B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1033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F2BA3" w:rsidP="005F2BA3"/>
    <w:sectPr w:rsidSect="005F2B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B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BA3" w:rsidRPr="00883E3D" w:rsidP="00883E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B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3D" w:rsidP="005F2B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3E3D" w:rsidP="005F2B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3E3D" w:rsidP="005F2B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B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BA3" w:rsidRPr="00883E3D" w:rsidP="00883E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B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3D" w:rsidRPr="002D2AF8" w:rsidP="005F2B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FNSTPB516 Apply taxation requirements when providing tax (financial) advice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83E3D" w:rsidP="005F2B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E88F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78E2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B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B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B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B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B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B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B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B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B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B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B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BA3"/>
  </w:style>
  <w:style w:type="character" w:customStyle="1" w:styleId="Heading1Char">
    <w:name w:val="Heading 1 Char"/>
    <w:basedOn w:val="DefaultParagraphFont"/>
    <w:link w:val="Heading1"/>
    <w:rsid w:val="005F2B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B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B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2B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2B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2BA3"/>
    <w:rPr>
      <w:b/>
      <w:spacing w:val="0"/>
    </w:rPr>
  </w:style>
  <w:style w:type="character" w:styleId="Emphasis">
    <w:name w:val="Emphasis"/>
    <w:basedOn w:val="DefaultParagraphFont"/>
    <w:qFormat/>
    <w:rsid w:val="005F2BA3"/>
    <w:rPr>
      <w:i/>
    </w:rPr>
  </w:style>
  <w:style w:type="paragraph" w:customStyle="1" w:styleId="SuperHeading">
    <w:name w:val="SuperHeading"/>
    <w:basedOn w:val="Normal"/>
    <w:rsid w:val="005F2B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B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2B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B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B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B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B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B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B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B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B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B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B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B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B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B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2B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2B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B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B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2B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2B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B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B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B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B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B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B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B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B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2B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B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B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BA3"/>
  </w:style>
  <w:style w:type="paragraph" w:styleId="TableofFigures">
    <w:name w:val="table of figures"/>
    <w:basedOn w:val="Normal"/>
    <w:next w:val="Normal"/>
    <w:semiHidden/>
    <w:rsid w:val="005F2B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B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2BA3"/>
    <w:rPr>
      <w:rFonts w:ascii="Wingdings" w:hAnsi="Wingdings"/>
    </w:rPr>
  </w:style>
  <w:style w:type="paragraph" w:customStyle="1" w:styleId="TableHeading">
    <w:name w:val="Table Heading"/>
    <w:basedOn w:val="HeadingBase"/>
    <w:rsid w:val="005F2B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BA3"/>
    <w:rPr>
      <w:color w:val="0033CC"/>
      <w:u w:val="none"/>
    </w:rPr>
  </w:style>
  <w:style w:type="paragraph" w:customStyle="1" w:styleId="BodyTextRight">
    <w:name w:val="Body Text Right"/>
    <w:basedOn w:val="BodyText"/>
    <w:rsid w:val="005F2B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B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B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B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B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B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BA3"/>
    <w:rPr>
      <w:sz w:val="32"/>
    </w:rPr>
  </w:style>
  <w:style w:type="paragraph" w:customStyle="1" w:styleId="HeadingProcedure">
    <w:name w:val="Heading Procedure"/>
    <w:basedOn w:val="HeadingBase"/>
    <w:next w:val="Normal"/>
    <w:rsid w:val="005F2B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BA3"/>
    <w:pPr>
      <w:spacing w:before="60" w:after="60"/>
    </w:pPr>
  </w:style>
  <w:style w:type="paragraph" w:styleId="ListContinue">
    <w:name w:val="List Continue"/>
    <w:basedOn w:val="List"/>
    <w:rsid w:val="005F2BA3"/>
    <w:pPr>
      <w:ind w:firstLine="0"/>
    </w:pPr>
  </w:style>
  <w:style w:type="paragraph" w:customStyle="1" w:styleId="ListNote">
    <w:name w:val="List Note"/>
    <w:basedOn w:val="List"/>
    <w:rsid w:val="005F2B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B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B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BA3"/>
    <w:rPr>
      <w:rFonts w:ascii="Courier New" w:hAnsi="Courier New"/>
    </w:rPr>
  </w:style>
  <w:style w:type="paragraph" w:customStyle="1" w:styleId="NoteBullet">
    <w:name w:val="Note Bullet"/>
    <w:basedOn w:val="Note"/>
    <w:rsid w:val="005F2B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B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B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B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B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2B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B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BA3"/>
    <w:rPr>
      <w:b/>
      <w:smallCaps/>
    </w:rPr>
  </w:style>
  <w:style w:type="paragraph" w:customStyle="1" w:styleId="TableListNumber">
    <w:name w:val="Table List Number"/>
    <w:basedOn w:val="ListNumber"/>
    <w:rsid w:val="005F2B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B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BA3"/>
    <w:pPr>
      <w:numPr>
        <w:numId w:val="8"/>
      </w:numPr>
    </w:pPr>
  </w:style>
  <w:style w:type="paragraph" w:customStyle="1" w:styleId="ListAlpha2">
    <w:name w:val="List Alpha 2"/>
    <w:basedOn w:val="List2"/>
    <w:rsid w:val="005F2BA3"/>
    <w:pPr>
      <w:numPr>
        <w:numId w:val="7"/>
      </w:numPr>
    </w:pPr>
  </w:style>
  <w:style w:type="paragraph" w:styleId="List2">
    <w:name w:val="List 2"/>
    <w:basedOn w:val="BodyText"/>
    <w:rsid w:val="005F2B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B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B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B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B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B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2BA3"/>
    <w:pPr>
      <w:numPr>
        <w:numId w:val="3"/>
      </w:numPr>
    </w:pPr>
  </w:style>
  <w:style w:type="paragraph" w:styleId="ListContinue2">
    <w:name w:val="List Continue 2"/>
    <w:basedOn w:val="List2"/>
    <w:rsid w:val="005F2BA3"/>
    <w:pPr>
      <w:ind w:firstLine="0"/>
    </w:pPr>
  </w:style>
  <w:style w:type="paragraph" w:styleId="ListContinue3">
    <w:name w:val="List Continue 3"/>
    <w:basedOn w:val="List3"/>
    <w:rsid w:val="005F2BA3"/>
    <w:pPr>
      <w:ind w:left="1021" w:firstLine="0"/>
    </w:pPr>
  </w:style>
  <w:style w:type="paragraph" w:styleId="ListContinue4">
    <w:name w:val="List Continue 4"/>
    <w:basedOn w:val="List4"/>
    <w:rsid w:val="005F2BA3"/>
    <w:pPr>
      <w:ind w:firstLine="0"/>
    </w:pPr>
  </w:style>
  <w:style w:type="paragraph" w:styleId="ListContinue5">
    <w:name w:val="List Continue 5"/>
    <w:basedOn w:val="List5"/>
    <w:rsid w:val="005F2BA3"/>
    <w:pPr>
      <w:ind w:firstLine="0"/>
    </w:pPr>
  </w:style>
  <w:style w:type="paragraph" w:styleId="ListNumber3">
    <w:name w:val="List Number 3"/>
    <w:basedOn w:val="List3"/>
    <w:rsid w:val="005F2BA3"/>
    <w:pPr>
      <w:numPr>
        <w:numId w:val="4"/>
      </w:numPr>
    </w:pPr>
  </w:style>
  <w:style w:type="paragraph" w:styleId="ListNumber4">
    <w:name w:val="List Number 4"/>
    <w:basedOn w:val="List4"/>
    <w:rsid w:val="005F2BA3"/>
    <w:pPr>
      <w:numPr>
        <w:numId w:val="5"/>
      </w:numPr>
    </w:pPr>
  </w:style>
  <w:style w:type="paragraph" w:styleId="ListNumber5">
    <w:name w:val="List Number 5"/>
    <w:basedOn w:val="List5"/>
    <w:rsid w:val="005F2BA3"/>
    <w:pPr>
      <w:numPr>
        <w:numId w:val="6"/>
      </w:numPr>
    </w:pPr>
  </w:style>
  <w:style w:type="paragraph" w:styleId="BlockText">
    <w:name w:val="Block Text"/>
    <w:basedOn w:val="Normal"/>
    <w:rsid w:val="005F2B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B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BA3"/>
    <w:rPr>
      <w:sz w:val="16"/>
      <w:vertAlign w:val="superscript"/>
    </w:rPr>
  </w:style>
  <w:style w:type="character" w:customStyle="1" w:styleId="Symbols">
    <w:name w:val="Symbols"/>
    <w:basedOn w:val="DefaultParagraphFont"/>
    <w:rsid w:val="005F2BA3"/>
    <w:rPr>
      <w:rFonts w:ascii="Symbol" w:hAnsi="Symbol"/>
    </w:rPr>
  </w:style>
  <w:style w:type="character" w:customStyle="1" w:styleId="MenuOptions">
    <w:name w:val="Menu Options"/>
    <w:basedOn w:val="DefaultParagraphFont"/>
    <w:rsid w:val="005F2B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BA3"/>
    <w:rPr>
      <w:b/>
    </w:rPr>
  </w:style>
  <w:style w:type="character" w:customStyle="1" w:styleId="Underlined">
    <w:name w:val="Underlined"/>
    <w:basedOn w:val="DefaultParagraphFont"/>
    <w:rsid w:val="005F2BA3"/>
    <w:rPr>
      <w:u w:val="single"/>
    </w:rPr>
  </w:style>
  <w:style w:type="paragraph" w:customStyle="1" w:styleId="TableBodyTextRight">
    <w:name w:val="Table Body Text Right"/>
    <w:basedOn w:val="TableBodyText"/>
    <w:rsid w:val="005F2B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BA3"/>
    <w:rPr>
      <w:sz w:val="18"/>
    </w:rPr>
  </w:style>
  <w:style w:type="paragraph" w:customStyle="1" w:styleId="BodySmallRight">
    <w:name w:val="Body Small Right"/>
    <w:basedOn w:val="BodyTextRight"/>
    <w:rsid w:val="005F2BA3"/>
    <w:rPr>
      <w:sz w:val="18"/>
      <w:szCs w:val="18"/>
    </w:rPr>
  </w:style>
  <w:style w:type="paragraph" w:customStyle="1" w:styleId="MarginEdition">
    <w:name w:val="Margin Edition"/>
    <w:basedOn w:val="MarginNote"/>
    <w:rsid w:val="005F2B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BA3"/>
    <w:rPr>
      <w:sz w:val="2"/>
      <w:szCs w:val="2"/>
    </w:rPr>
  </w:style>
  <w:style w:type="character" w:customStyle="1" w:styleId="Small">
    <w:name w:val="Small"/>
    <w:basedOn w:val="DefaultParagraphFont"/>
    <w:rsid w:val="005F2BA3"/>
    <w:rPr>
      <w:sz w:val="16"/>
    </w:rPr>
  </w:style>
  <w:style w:type="paragraph" w:customStyle="1" w:styleId="WideTable">
    <w:name w:val="Wide Table"/>
    <w:basedOn w:val="Normal"/>
    <w:rsid w:val="005F2B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BA3"/>
  </w:style>
  <w:style w:type="paragraph" w:styleId="Quote">
    <w:name w:val="Quote"/>
    <w:basedOn w:val="Heading1"/>
    <w:link w:val="QuoteChar"/>
    <w:qFormat/>
    <w:rsid w:val="005F2B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B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BA3"/>
    <w:pPr>
      <w:pageBreakBefore/>
    </w:pPr>
  </w:style>
  <w:style w:type="paragraph" w:customStyle="1" w:styleId="Border">
    <w:name w:val="Border"/>
    <w:basedOn w:val="Normal"/>
    <w:qFormat/>
    <w:rsid w:val="005F2B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B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B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B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B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B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B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B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B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BA3"/>
    <w:rPr>
      <w:u w:val="single"/>
    </w:rPr>
  </w:style>
  <w:style w:type="character" w:customStyle="1" w:styleId="BoldandItalics">
    <w:name w:val="Bold and Italics"/>
    <w:qFormat/>
    <w:rsid w:val="005F2BA3"/>
    <w:rPr>
      <w:b/>
      <w:i/>
      <w:u w:val="none"/>
    </w:rPr>
  </w:style>
  <w:style w:type="paragraph" w:styleId="BalloonText">
    <w:name w:val="Balloon Text"/>
    <w:basedOn w:val="Normal"/>
    <w:link w:val="BalloonTextChar"/>
    <w:rsid w:val="005F2B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B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B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B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B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B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BA3"/>
    <w:pPr>
      <w:spacing w:before="0" w:after="0"/>
    </w:pPr>
  </w:style>
  <w:style w:type="paragraph" w:customStyle="1" w:styleId="BodyTextBold">
    <w:name w:val="Body Text Bold"/>
    <w:basedOn w:val="BodyText"/>
    <w:qFormat/>
    <w:rsid w:val="005F2BA3"/>
    <w:rPr>
      <w:b/>
    </w:rPr>
  </w:style>
  <w:style w:type="character" w:styleId="Hyperlink">
    <w:name w:val="Hyperlink"/>
    <w:basedOn w:val="DefaultParagraphFont"/>
    <w:uiPriority w:val="99"/>
    <w:unhideWhenUsed/>
    <w:rsid w:val="00883E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4446</Characters>
  <Application>Microsoft Office Word</Application>
  <DocSecurity>0</DocSecurity>
  <Lines>130</Lines>
  <Paragraphs>70</Paragraphs>
  <ScaleCrop>false</ScaleCrop>
  <Company>Author-it Software Corporation Ltd.</Company>
  <LinksUpToDate>false</LinksUpToDate>
  <CharactersWithSpaces>5066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FNSTPB516 Apply taxation requirements when providing tax (financial) advice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2022-11-03T07:26:00Z</dcterms:modified>
</cp:coreProperties>
</file>