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F94" w:rsidP="00107F94">
      <w:pPr>
        <w:pStyle w:val="Title"/>
      </w:pPr>
      <w:r>
        <w:fldChar w:fldCharType="begin"/>
      </w:r>
      <w:r>
        <w:instrText xml:space="preserve"> TITLE   \* MERGEFORMAT </w:instrText>
      </w:r>
      <w:r>
        <w:fldChar w:fldCharType="separate"/>
      </w:r>
      <w:r>
        <w:t>Assessment Requirements for FNSTPB516 Apply taxation requirements when providing tax (financial) advice services</w:t>
      </w:r>
      <w:r>
        <w:fldChar w:fldCharType="end"/>
      </w:r>
    </w:p>
    <w:p w:rsidR="00107F94" w:rsidP="00107F94">
      <w:pPr>
        <w:pStyle w:val="Version"/>
        <w:sectPr w:rsidSect="00A44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12D" w:rsidP="00A4412D">
      <w:pPr>
        <w:pStyle w:val="SuperHeading"/>
      </w:pPr>
      <w:r w:rsidRPr="00A4412D">
        <w:t>Assessment Requirements for FNSTPB516 Apply taxation requirements when providing tax (financial) advice services</w:t>
      </w:r>
    </w:p>
    <w:p w:rsidR="00000000" w:rsidRPr="00A4412D" w:rsidP="00A4412D">
      <w:pPr>
        <w:pStyle w:val="Heading1"/>
      </w:pPr>
      <w:bookmarkStart w:id="1" w:name="O_1231419"/>
      <w:bookmarkEnd w:id="1"/>
      <w:r w:rsidRPr="00A4412D">
        <w:t>Modification History</w:t>
      </w:r>
    </w:p>
    <w:tbl>
      <w:tblPr>
        <w:tblW w:w="0" w:type="auto"/>
        <w:tblLayout w:type="fixed"/>
        <w:tblCellMar>
          <w:left w:w="62" w:type="dxa"/>
          <w:right w:w="62" w:type="dxa"/>
        </w:tblCellMar>
        <w:tblLook w:val="0000"/>
      </w:tblPr>
      <w:tblGrid>
        <w:gridCol w:w="2616"/>
        <w:gridCol w:w="6456"/>
      </w:tblGrid>
      <w:tr w:rsidTr="00A441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12D" w:rsidP="00A4412D">
            <w:pPr>
              <w:pStyle w:val="BodyText"/>
            </w:pPr>
            <w:r w:rsidRPr="00A4412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12D">
            <w:pPr>
              <w:pStyle w:val="BodyText"/>
              <w:rPr>
                <w:lang w:val="en-NZ"/>
              </w:rPr>
            </w:pPr>
            <w:r w:rsidRPr="00A4412D">
              <w:rPr>
                <w:rStyle w:val="SpecialBold"/>
              </w:rPr>
              <w:t>Comments</w:t>
            </w:r>
          </w:p>
        </w:tc>
      </w:tr>
      <w:tr w:rsidTr="00A441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12D">
            <w:pPr>
              <w:pStyle w:val="BodyText"/>
              <w:rPr>
                <w:lang w:val="en-NZ"/>
              </w:rPr>
            </w:pPr>
            <w:r w:rsidRPr="00A4412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12D" w:rsidP="00A4412D">
            <w:pPr>
              <w:pStyle w:val="BodyText"/>
            </w:pPr>
            <w:r w:rsidRPr="00A4412D">
              <w:t>This version first released with the FNS Financial Services Training Package Version 8.0.</w:t>
            </w:r>
          </w:p>
          <w:p w:rsidR="00000000" w:rsidRPr="00A4412D" w:rsidP="00A4412D">
            <w:pPr>
              <w:pStyle w:val="BodyText"/>
            </w:pPr>
            <w:r w:rsidRPr="00A4412D">
              <w:t>Supersedes and is equivalent to FNSTPB506 Apply taxation requirements when providing tax (financial) advice services.</w:t>
            </w:r>
          </w:p>
        </w:tc>
      </w:tr>
    </w:tbl>
    <w:p w:rsidR="00000000" w:rsidRPr="00A4412D" w:rsidP="00A4412D">
      <w:pPr>
        <w:pStyle w:val="BodyText"/>
      </w:pPr>
    </w:p>
    <w:p w:rsidR="00000000" w:rsidRPr="00A4412D" w:rsidP="00A4412D">
      <w:pPr>
        <w:pStyle w:val="AllowPageBreak"/>
      </w:pPr>
    </w:p>
    <w:p w:rsidR="00000000" w:rsidRPr="00A4412D" w:rsidP="00A4412D">
      <w:pPr>
        <w:pStyle w:val="Heading1"/>
      </w:pPr>
      <w:bookmarkStart w:id="2" w:name="O_1231420"/>
      <w:bookmarkEnd w:id="2"/>
      <w:r w:rsidRPr="00A4412D">
        <w:t>Performance Evidence</w:t>
      </w:r>
    </w:p>
    <w:p w:rsidR="00000000" w:rsidRPr="00A4412D" w:rsidP="00107F94">
      <w:pPr>
        <w:pStyle w:val="BodyText"/>
      </w:pPr>
      <w:r w:rsidRPr="00A4412D">
        <w:t>The ca</w:t>
      </w:r>
      <w:r w:rsidRPr="00A4412D">
        <w:t>ndidate must demonstrate the ability to complete the tasks outlined in the elements, performance criteria and foundation skills of this unit, including evidence of the ability to:</w:t>
      </w:r>
    </w:p>
    <w:p w:rsidR="00000000" w:rsidRPr="00A4412D" w:rsidP="00A4412D">
      <w:pPr>
        <w:pStyle w:val="ListBullet"/>
      </w:pPr>
      <w:r w:rsidRPr="00A4412D">
        <w:t>provide taxation services to at least two different clients.</w:t>
      </w:r>
    </w:p>
    <w:p w:rsidR="00000000" w:rsidRPr="00A4412D" w:rsidP="00A4412D">
      <w:pPr>
        <w:pStyle w:val="BodyText"/>
      </w:pPr>
    </w:p>
    <w:p w:rsidR="00000000" w:rsidRPr="00A4412D" w:rsidP="00107F94">
      <w:pPr>
        <w:pStyle w:val="BodyText"/>
      </w:pPr>
      <w:r w:rsidRPr="00A4412D">
        <w:t>In the course of the above, the candidate must:</w:t>
      </w:r>
    </w:p>
    <w:p w:rsidR="00000000" w:rsidRPr="00A4412D" w:rsidP="00A4412D">
      <w:pPr>
        <w:pStyle w:val="ListBullet"/>
      </w:pPr>
      <w:r w:rsidRPr="00A4412D">
        <w:t>analyse each client’s needs and tax (financial) advice services requiring specialised independent tax advice</w:t>
      </w:r>
    </w:p>
    <w:p w:rsidR="00000000" w:rsidRPr="00A4412D" w:rsidP="00A4412D">
      <w:pPr>
        <w:pStyle w:val="ListBullet"/>
      </w:pPr>
      <w:r w:rsidRPr="00A4412D">
        <w:t xml:space="preserve">research, analyse and evaluate relevant national requirements and guidelines on tax requirements, </w:t>
      </w:r>
      <w:r w:rsidRPr="00A4412D">
        <w:t>including tax administration, relevant to each client’s circumstances and the tax (financial) advice services being provided</w:t>
      </w:r>
    </w:p>
    <w:p w:rsidR="00000000" w:rsidRPr="00A4412D" w:rsidP="00A4412D">
      <w:pPr>
        <w:pStyle w:val="ListBullet"/>
      </w:pPr>
      <w:r w:rsidRPr="00A4412D">
        <w:t>present implications of tax requirements to each client when providing the tax (financial) advice.</w:t>
      </w:r>
    </w:p>
    <w:p w:rsidR="00000000" w:rsidRPr="00A4412D" w:rsidP="00A4412D">
      <w:pPr>
        <w:pStyle w:val="AllowPageBreak"/>
      </w:pPr>
    </w:p>
    <w:p w:rsidR="00000000" w:rsidRPr="00A4412D" w:rsidP="00A4412D">
      <w:pPr>
        <w:pStyle w:val="Heading1"/>
      </w:pPr>
      <w:bookmarkStart w:id="3" w:name="O_1231421"/>
      <w:bookmarkEnd w:id="3"/>
      <w:r w:rsidRPr="00A4412D">
        <w:t>Knowledge Evi</w:t>
      </w:r>
      <w:r w:rsidRPr="00A4412D">
        <w:t>dence</w:t>
      </w:r>
    </w:p>
    <w:p w:rsidR="00000000" w:rsidRPr="00A4412D" w:rsidP="00107F94">
      <w:pPr>
        <w:pStyle w:val="BodyText"/>
      </w:pPr>
      <w:r w:rsidRPr="00A4412D">
        <w:t>The candidate must be able to demonstrate knowledge to complete the tasks outlined in the elements, performance criteria and foundation skills of this unit, including knowledge of:</w:t>
      </w:r>
    </w:p>
    <w:p w:rsidR="00000000" w:rsidRPr="00A4412D" w:rsidP="00A4412D">
      <w:pPr>
        <w:pStyle w:val="ListBullet"/>
      </w:pPr>
      <w:r w:rsidRPr="00A4412D">
        <w:t>key issues, ethical considerations, industry obligations and legisla</w:t>
      </w:r>
      <w:r w:rsidRPr="00A4412D">
        <w:t>tive requirements when providing tax (financial) advice services which impacts on taxation matters, including:</w:t>
      </w:r>
    </w:p>
    <w:p w:rsidR="00000000" w:rsidRPr="00A4412D" w:rsidP="00A4412D">
      <w:pPr>
        <w:pStyle w:val="ListBullet2"/>
      </w:pPr>
      <w:r w:rsidRPr="00A4412D">
        <w:t>conflicts of interest</w:t>
      </w:r>
    </w:p>
    <w:p w:rsidR="00000000" w:rsidRPr="00A4412D" w:rsidP="00A4412D">
      <w:pPr>
        <w:pStyle w:val="ListBullet2"/>
      </w:pPr>
      <w:r w:rsidRPr="00A4412D">
        <w:t xml:space="preserve">responsibilities of tax agents with a tax (financial) advice services condition, including the Australian Taxation Office </w:t>
      </w:r>
      <w:r w:rsidRPr="00A4412D">
        <w:t>(ATO) guidelines and Code of Professional Conduct obligations, under the Tax Agent Services Act 2009 (TASA) and accompanying Regulations</w:t>
      </w:r>
    </w:p>
    <w:p w:rsidR="00000000" w:rsidRPr="00A4412D" w:rsidP="00A4412D">
      <w:pPr>
        <w:pStyle w:val="ListBullet2"/>
      </w:pPr>
      <w:r w:rsidRPr="00A4412D">
        <w:t>requirements and processes for clients who need specialised tax advice in capital gains tax and self-managed superannua</w:t>
      </w:r>
      <w:r w:rsidRPr="00A4412D">
        <w:t>tion funds</w:t>
      </w:r>
    </w:p>
    <w:p w:rsidR="00000000" w:rsidRPr="00A4412D" w:rsidP="00A4412D">
      <w:pPr>
        <w:pStyle w:val="ListBullet2"/>
      </w:pPr>
      <w:r w:rsidRPr="00A4412D">
        <w:t>anti-avoidance provisions</w:t>
      </w:r>
    </w:p>
    <w:p w:rsidR="00000000" w:rsidRPr="00A4412D" w:rsidP="00A4412D">
      <w:pPr>
        <w:pStyle w:val="ListBullet"/>
      </w:pPr>
      <w:r w:rsidRPr="00A4412D">
        <w:t>critical and key elements of Australian taxation law as it relates to tax of individuals, companies, trusts, partnerships and sole traders</w:t>
      </w:r>
    </w:p>
    <w:p w:rsidR="00000000" w:rsidRPr="00A4412D" w:rsidP="00A4412D">
      <w:pPr>
        <w:pStyle w:val="ListBullet"/>
      </w:pPr>
      <w:r w:rsidRPr="00A4412D">
        <w:t>key aspects of the income tax law covering concepts of:</w:t>
      </w:r>
    </w:p>
    <w:p w:rsidR="00000000" w:rsidRPr="00A4412D" w:rsidP="00A4412D">
      <w:pPr>
        <w:pStyle w:val="ListBullet2"/>
      </w:pPr>
      <w:r w:rsidRPr="00A4412D">
        <w:t>residence and source</w:t>
      </w:r>
    </w:p>
    <w:p w:rsidR="00000000" w:rsidRPr="00A4412D" w:rsidP="00A4412D">
      <w:pPr>
        <w:pStyle w:val="ListBullet2"/>
      </w:pPr>
      <w:r w:rsidRPr="00A4412D">
        <w:t>related elements of international tax</w:t>
      </w:r>
    </w:p>
    <w:p w:rsidR="00000000" w:rsidRPr="00A4412D" w:rsidP="00A4412D">
      <w:pPr>
        <w:pStyle w:val="ListBullet2"/>
      </w:pPr>
      <w:r w:rsidRPr="00A4412D">
        <w:t>assessable income</w:t>
      </w:r>
    </w:p>
    <w:p w:rsidR="00000000" w:rsidRPr="00A4412D" w:rsidP="00A4412D">
      <w:pPr>
        <w:pStyle w:val="ListBullet2"/>
      </w:pPr>
      <w:r w:rsidRPr="00A4412D">
        <w:t>deductions (general, specific and capital allowance and depreciation)</w:t>
      </w:r>
    </w:p>
    <w:p w:rsidR="00000000" w:rsidRPr="00A4412D" w:rsidP="00A4412D">
      <w:pPr>
        <w:pStyle w:val="ListBullet2"/>
      </w:pPr>
      <w:r w:rsidRPr="00A4412D">
        <w:t>tax rebates and offsets (including imputation credits)</w:t>
      </w:r>
    </w:p>
    <w:p w:rsidR="00000000" w:rsidRPr="00A4412D" w:rsidP="00A4412D">
      <w:pPr>
        <w:pStyle w:val="ListBullet2"/>
      </w:pPr>
      <w:r w:rsidRPr="00A4412D">
        <w:t>deferred and tax-free trust distributions</w:t>
      </w:r>
    </w:p>
    <w:p w:rsidR="00000000" w:rsidRPr="00A4412D" w:rsidP="00A4412D">
      <w:pPr>
        <w:pStyle w:val="ListBullet2"/>
      </w:pPr>
      <w:r w:rsidRPr="00A4412D">
        <w:t>income test definitions that incl</w:t>
      </w:r>
      <w:r w:rsidRPr="00A4412D">
        <w:t>ude reportable superannuation and fringe benefits tax</w:t>
      </w:r>
    </w:p>
    <w:p w:rsidR="00000000" w:rsidRPr="00A4412D" w:rsidP="00A4412D">
      <w:pPr>
        <w:pStyle w:val="ListBullet"/>
      </w:pPr>
      <w:r w:rsidRPr="00A4412D">
        <w:t>key aspects of taxes that extend the ordinary statutory income tax base, including relevant principles and application of:</w:t>
      </w:r>
    </w:p>
    <w:p w:rsidR="00000000" w:rsidRPr="00A4412D" w:rsidP="00A4412D">
      <w:pPr>
        <w:pStyle w:val="ListBullet2"/>
      </w:pPr>
      <w:r w:rsidRPr="00A4412D">
        <w:t>capital gains tax (CGT) including exemptions, disposals, discounts and conseq</w:t>
      </w:r>
      <w:r w:rsidRPr="00A4412D">
        <w:t>uences of CGT on death and CGT concessions for small business</w:t>
      </w:r>
    </w:p>
    <w:p w:rsidR="00000000" w:rsidRPr="00A4412D" w:rsidP="00A4412D">
      <w:pPr>
        <w:pStyle w:val="ListBullet2"/>
      </w:pPr>
      <w:r w:rsidRPr="00A4412D">
        <w:t>fringe benefits tax, including the concept of salary packaging</w:t>
      </w:r>
    </w:p>
    <w:p w:rsidR="00000000" w:rsidRPr="00A4412D" w:rsidP="00A4412D">
      <w:pPr>
        <w:pStyle w:val="ListBullet2"/>
      </w:pPr>
      <w:r w:rsidRPr="00A4412D">
        <w:t>employee termination payments</w:t>
      </w:r>
    </w:p>
    <w:p w:rsidR="00000000" w:rsidRPr="00A4412D" w:rsidP="00A4412D">
      <w:pPr>
        <w:pStyle w:val="ListBullet2"/>
      </w:pPr>
      <w:r w:rsidRPr="00A4412D">
        <w:t>employee share schemes</w:t>
      </w:r>
    </w:p>
    <w:p w:rsidR="00000000" w:rsidRPr="00A4412D" w:rsidP="00A4412D">
      <w:pPr>
        <w:pStyle w:val="ListBullet2"/>
      </w:pPr>
      <w:r w:rsidRPr="00A4412D">
        <w:t>goods and services tax at a basic level</w:t>
      </w:r>
    </w:p>
    <w:p w:rsidR="00000000" w:rsidRPr="00A4412D" w:rsidP="00A4412D">
      <w:pPr>
        <w:pStyle w:val="ListBullet2"/>
      </w:pPr>
      <w:r w:rsidRPr="00A4412D">
        <w:t>superannuation contributions, funds ea</w:t>
      </w:r>
      <w:r w:rsidRPr="00A4412D">
        <w:t>rnings and benefit payments</w:t>
      </w:r>
    </w:p>
    <w:p w:rsidR="00000000" w:rsidRPr="00A4412D" w:rsidP="00A4412D">
      <w:pPr>
        <w:pStyle w:val="ListBullet2"/>
      </w:pPr>
      <w:r w:rsidRPr="00A4412D">
        <w:t>at a basic level, the administrative aspects of the taxes identified above, including returns, tax collection and withholding mechanisms, assessments, obligations, rulings, penalties, amendments and objections</w:t>
      </w:r>
    </w:p>
    <w:p w:rsidR="00000000" w:rsidRPr="00A4412D" w:rsidP="00A4412D">
      <w:pPr>
        <w:pStyle w:val="ListBullet"/>
      </w:pPr>
      <w:r w:rsidRPr="00A4412D">
        <w:t>key sources of information for tax administration requirements, including assessments, amendments and objections, relevant to the client’s circumstances and tax (financial) advice services, including:</w:t>
      </w:r>
    </w:p>
    <w:p w:rsidR="00000000" w:rsidRPr="00A4412D" w:rsidP="00A4412D">
      <w:pPr>
        <w:pStyle w:val="ListBullet2"/>
      </w:pPr>
      <w:r w:rsidRPr="00A4412D">
        <w:t>ATO</w:t>
      </w:r>
    </w:p>
    <w:p w:rsidR="00000000" w:rsidRPr="00A4412D" w:rsidP="00A4412D">
      <w:pPr>
        <w:pStyle w:val="ListBullet2"/>
      </w:pPr>
      <w:r w:rsidRPr="00A4412D">
        <w:t>Australian Securities and Investments Commission</w:t>
      </w:r>
    </w:p>
    <w:p w:rsidR="00000000" w:rsidRPr="00A4412D" w:rsidP="00A4412D">
      <w:pPr>
        <w:pStyle w:val="ListBullet2"/>
      </w:pPr>
      <w:r w:rsidRPr="00A4412D">
        <w:t>c</w:t>
      </w:r>
      <w:r w:rsidRPr="00A4412D">
        <w:t>ourts</w:t>
      </w:r>
    </w:p>
    <w:p w:rsidR="00000000" w:rsidRPr="00A4412D" w:rsidP="00A4412D">
      <w:pPr>
        <w:pStyle w:val="ListBullet2"/>
      </w:pPr>
      <w:r w:rsidRPr="00A4412D">
        <w:t>securities dealers</w:t>
      </w:r>
    </w:p>
    <w:p w:rsidR="00000000" w:rsidRPr="00A4412D" w:rsidP="00A4412D">
      <w:pPr>
        <w:pStyle w:val="ListBullet2"/>
      </w:pPr>
      <w:r w:rsidRPr="00A4412D">
        <w:t>existing or proposed trust deeds</w:t>
      </w:r>
    </w:p>
    <w:p w:rsidR="00000000" w:rsidRPr="00A4412D" w:rsidP="00A4412D">
      <w:pPr>
        <w:pStyle w:val="ListBullet2"/>
      </w:pPr>
      <w:r w:rsidRPr="00A4412D">
        <w:t>fund managers</w:t>
      </w:r>
    </w:p>
    <w:p w:rsidR="00000000" w:rsidRPr="00A4412D" w:rsidP="00A4412D">
      <w:pPr>
        <w:pStyle w:val="ListBullet2"/>
      </w:pPr>
      <w:r w:rsidRPr="00A4412D">
        <w:t>industry bodies</w:t>
      </w:r>
    </w:p>
    <w:p w:rsidR="00000000" w:rsidRPr="00A4412D" w:rsidP="00A4412D">
      <w:pPr>
        <w:pStyle w:val="ListBullet2"/>
      </w:pPr>
      <w:r w:rsidRPr="00A4412D">
        <w:t>legislation</w:t>
      </w:r>
    </w:p>
    <w:p w:rsidR="00000000" w:rsidRPr="00A4412D" w:rsidP="00A4412D">
      <w:pPr>
        <w:pStyle w:val="ListBullet2"/>
      </w:pPr>
      <w:r w:rsidRPr="00A4412D">
        <w:t>Australian Financial Services licensees</w:t>
      </w:r>
    </w:p>
    <w:p w:rsidR="00000000" w:rsidRPr="00A4412D" w:rsidP="00A4412D">
      <w:pPr>
        <w:pStyle w:val="ListBullet2"/>
      </w:pPr>
      <w:r w:rsidRPr="00A4412D">
        <w:t>professional associations</w:t>
      </w:r>
    </w:p>
    <w:p w:rsidR="00000000" w:rsidRPr="00A4412D" w:rsidP="00A4412D">
      <w:pPr>
        <w:pStyle w:val="ListBullet2"/>
      </w:pPr>
      <w:r w:rsidRPr="00A4412D">
        <w:t>regulations</w:t>
      </w:r>
    </w:p>
    <w:p w:rsidR="00000000" w:rsidRPr="00A4412D" w:rsidP="00A4412D">
      <w:pPr>
        <w:pStyle w:val="ListBullet2"/>
      </w:pPr>
      <w:r w:rsidRPr="00A4412D">
        <w:t>relevant commonwealth, state or territory government organisations.</w:t>
      </w:r>
    </w:p>
    <w:p w:rsidR="00000000" w:rsidRPr="00A4412D" w:rsidP="00A4412D">
      <w:pPr>
        <w:pStyle w:val="AllowPageBreak"/>
      </w:pPr>
    </w:p>
    <w:p w:rsidR="00000000" w:rsidRPr="00A4412D" w:rsidP="00A4412D">
      <w:pPr>
        <w:pStyle w:val="Heading1"/>
      </w:pPr>
      <w:bookmarkStart w:id="4" w:name="O_1231422"/>
      <w:bookmarkEnd w:id="4"/>
      <w:r w:rsidRPr="00A4412D">
        <w:t>Assessment Conditions</w:t>
      </w:r>
    </w:p>
    <w:p w:rsidR="00000000" w:rsidRPr="00A4412D" w:rsidP="00107F94">
      <w:pPr>
        <w:pStyle w:val="BodyText"/>
      </w:pPr>
      <w:r w:rsidRPr="00A4412D">
        <w:t>Skills in this unit must be demonstrated in a workplace or simulated environment where the conditions are typical of those in a working environment in this industry.</w:t>
      </w:r>
    </w:p>
    <w:p w:rsidR="00000000" w:rsidRPr="00A4412D" w:rsidP="00107F94">
      <w:pPr>
        <w:pStyle w:val="BodyText"/>
      </w:pPr>
      <w:r w:rsidRPr="00A4412D">
        <w:t>This includes access to:</w:t>
      </w:r>
    </w:p>
    <w:p w:rsidR="00000000" w:rsidRPr="00A4412D" w:rsidP="00A4412D">
      <w:pPr>
        <w:pStyle w:val="ListBullet"/>
      </w:pPr>
      <w:r w:rsidRPr="00A4412D">
        <w:t>office equipment, technology, sof</w:t>
      </w:r>
      <w:r w:rsidRPr="00A4412D">
        <w:t>tware and consumables</w:t>
      </w:r>
    </w:p>
    <w:p w:rsidR="00000000" w:rsidRPr="00A4412D" w:rsidP="00A4412D">
      <w:pPr>
        <w:pStyle w:val="ListBullet"/>
      </w:pPr>
      <w:r w:rsidRPr="00A4412D">
        <w:t>clients requiring tax (financial) advice services</w:t>
      </w:r>
    </w:p>
    <w:p w:rsidR="00000000" w:rsidRPr="00A4412D" w:rsidP="00A4412D">
      <w:pPr>
        <w:pStyle w:val="ListBullet"/>
      </w:pPr>
      <w:r w:rsidRPr="00A4412D">
        <w:t>relevant legislation, regulations and codes of practice.</w:t>
      </w:r>
    </w:p>
    <w:p w:rsidR="00000000" w:rsidRPr="00A4412D" w:rsidP="00A4412D">
      <w:pPr>
        <w:pStyle w:val="BodyText"/>
      </w:pPr>
    </w:p>
    <w:p w:rsidR="00000000" w:rsidRPr="00A4412D" w:rsidP="00107F94">
      <w:pPr>
        <w:pStyle w:val="BodyText"/>
      </w:pPr>
      <w:r w:rsidRPr="00A4412D">
        <w:t>Assessors of this unit must satisfy the requirements for assessors in applicable vocational education and training legislation</w:t>
      </w:r>
      <w:r w:rsidRPr="00A4412D">
        <w:t>, frameworks and/or standards.</w:t>
      </w:r>
    </w:p>
    <w:p w:rsidR="00000000" w:rsidRPr="00A4412D" w:rsidP="00107F94">
      <w:pPr>
        <w:pStyle w:val="BodyText"/>
      </w:pPr>
      <w:r w:rsidRPr="00A4412D">
        <w:t>This unit is designed to meet the education requirements of the Tax Practitioners Board (TPB). Where registration with the TPB is sought, assessment must reflect the conditions described by the regulator. Where recognition of</w:t>
      </w:r>
      <w:r w:rsidRPr="00A4412D">
        <w:t xml:space="preserve"> prior learning (RPL) is used, it must also meet the requirements of the TPB’s policy on RPL.</w:t>
      </w:r>
    </w:p>
    <w:p w:rsidR="00000000" w:rsidRPr="00A4412D" w:rsidP="00107F94">
      <w:pPr>
        <w:pStyle w:val="BodyText"/>
      </w:pPr>
      <w:r w:rsidRPr="00A4412D">
        <w:t>Details of requirements can be accessed on the TPB website (</w:t>
      </w:r>
      <w:r>
        <w:fldChar w:fldCharType="begin"/>
      </w:r>
      <w:r>
        <w:instrText xml:space="preserve"> HYPERLINK "http://www.tpb.gov.au" </w:instrText>
      </w:r>
      <w:r>
        <w:fldChar w:fldCharType="separate"/>
      </w:r>
      <w:r w:rsidRPr="004B2043">
        <w:rPr>
          <w:rStyle w:val="Hyperlink"/>
        </w:rPr>
        <w:t>www.tpb.gov.au</w:t>
      </w:r>
      <w:r>
        <w:fldChar w:fldCharType="end"/>
      </w:r>
      <w:r w:rsidRPr="00A4412D">
        <w:t>).</w:t>
      </w:r>
    </w:p>
    <w:p w:rsidR="00000000" w:rsidRPr="00A4412D" w:rsidP="00A4412D">
      <w:pPr>
        <w:pStyle w:val="Heading1"/>
      </w:pPr>
      <w:bookmarkStart w:id="5" w:name="O_1231425"/>
      <w:bookmarkEnd w:id="5"/>
      <w:r w:rsidRPr="00A4412D">
        <w:t>Links</w:t>
      </w:r>
    </w:p>
    <w:p w:rsidR="00000000" w:rsidRPr="00A4412D" w:rsidP="00107F94">
      <w:pPr>
        <w:pStyle w:val="BodyText"/>
      </w:pPr>
      <w:r w:rsidRPr="00A4412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B2043">
        <w:rPr>
          <w:rStyle w:val="Hyperlink"/>
        </w:rPr>
        <w:t>https://vetnet.gov.au/Pages/TrainingDocs.aspx?q=c7200cc8-0566-4f04-b76f-e89fd6f102fe</w:t>
      </w:r>
      <w:r>
        <w:fldChar w:fldCharType="end"/>
      </w:r>
    </w:p>
    <w:p w:rsidR="00000000" w:rsidRPr="00A4412D" w:rsidP="00A4412D"/>
    <w:sectPr w:rsidSect="00A44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2D" w:rsidRPr="00107F94" w:rsidP="00107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94" w:rsidP="00A44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F94" w:rsidP="00A441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07F94" w:rsidP="00A44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12D" w:rsidRPr="00107F94" w:rsidP="00107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94" w:rsidRPr="002D2AF8" w:rsidP="00A4412D">
    <w:pPr>
      <w:pStyle w:val="Header"/>
      <w:framePr w:wrap="around"/>
    </w:pPr>
    <w:r>
      <w:fldChar w:fldCharType="begin"/>
    </w:r>
    <w:r>
      <w:instrText xml:space="preserve"> TITLE   \* MERGEFORMAT </w:instrText>
    </w:r>
    <w:r>
      <w:fldChar w:fldCharType="separate"/>
    </w:r>
    <w:r>
      <w:t>Assessment Requirements for FNSTPB516 Apply taxation requirements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07F94" w:rsidP="00A44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45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25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8C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12D"/>
    <w:pPr>
      <w:spacing w:before="360" w:after="60"/>
      <w:outlineLvl w:val="0"/>
    </w:pPr>
    <w:rPr>
      <w:sz w:val="32"/>
    </w:rPr>
  </w:style>
  <w:style w:type="paragraph" w:styleId="Heading2">
    <w:name w:val="heading 2"/>
    <w:basedOn w:val="HeadingBase"/>
    <w:next w:val="BodyText"/>
    <w:link w:val="Heading2Char"/>
    <w:qFormat/>
    <w:rsid w:val="00A4412D"/>
    <w:pPr>
      <w:keepLines/>
      <w:spacing w:before="240" w:after="120"/>
      <w:outlineLvl w:val="1"/>
    </w:pPr>
    <w:rPr>
      <w:sz w:val="28"/>
      <w:szCs w:val="40"/>
    </w:rPr>
  </w:style>
  <w:style w:type="paragraph" w:styleId="Heading3">
    <w:name w:val="heading 3"/>
    <w:basedOn w:val="HeadingBase"/>
    <w:next w:val="BodyText"/>
    <w:link w:val="Heading3Char"/>
    <w:qFormat/>
    <w:rsid w:val="00A4412D"/>
    <w:pPr>
      <w:spacing w:before="180" w:after="120"/>
      <w:outlineLvl w:val="2"/>
    </w:pPr>
    <w:rPr>
      <w:spacing w:val="-10"/>
      <w:kern w:val="32"/>
    </w:rPr>
  </w:style>
  <w:style w:type="paragraph" w:styleId="Heading4">
    <w:name w:val="heading 4"/>
    <w:basedOn w:val="HeadingBase"/>
    <w:next w:val="BodyText"/>
    <w:link w:val="Heading4Char"/>
    <w:qFormat/>
    <w:rsid w:val="00A4412D"/>
    <w:pPr>
      <w:spacing w:before="160" w:after="120"/>
      <w:outlineLvl w:val="3"/>
    </w:pPr>
    <w:rPr>
      <w:sz w:val="22"/>
    </w:rPr>
  </w:style>
  <w:style w:type="paragraph" w:styleId="Heading5">
    <w:name w:val="heading 5"/>
    <w:basedOn w:val="HeadingBase"/>
    <w:next w:val="Normal"/>
    <w:link w:val="Heading5Char"/>
    <w:qFormat/>
    <w:rsid w:val="00A4412D"/>
    <w:pPr>
      <w:spacing w:before="80"/>
      <w:outlineLvl w:val="4"/>
    </w:pPr>
    <w:rPr>
      <w:color w:val="918585"/>
      <w:sz w:val="20"/>
    </w:rPr>
  </w:style>
  <w:style w:type="paragraph" w:styleId="Heading6">
    <w:name w:val="heading 6"/>
    <w:basedOn w:val="HeadingBase"/>
    <w:next w:val="Normal"/>
    <w:link w:val="Heading6Char"/>
    <w:qFormat/>
    <w:rsid w:val="00A4412D"/>
    <w:pPr>
      <w:spacing w:before="60"/>
      <w:outlineLvl w:val="5"/>
    </w:pPr>
    <w:rPr>
      <w:color w:val="918585"/>
      <w:sz w:val="20"/>
    </w:rPr>
  </w:style>
  <w:style w:type="paragraph" w:styleId="Heading7">
    <w:name w:val="heading 7"/>
    <w:basedOn w:val="Normal"/>
    <w:next w:val="Normal"/>
    <w:link w:val="Heading7Char"/>
    <w:qFormat/>
    <w:rsid w:val="00A4412D"/>
    <w:pPr>
      <w:ind w:left="720"/>
      <w:outlineLvl w:val="6"/>
    </w:pPr>
    <w:rPr>
      <w:i/>
    </w:rPr>
  </w:style>
  <w:style w:type="paragraph" w:styleId="Heading8">
    <w:name w:val="heading 8"/>
    <w:basedOn w:val="Normal"/>
    <w:next w:val="Normal"/>
    <w:link w:val="Heading8Char"/>
    <w:qFormat/>
    <w:rsid w:val="00A4412D"/>
    <w:pPr>
      <w:ind w:left="720"/>
      <w:outlineLvl w:val="7"/>
    </w:pPr>
    <w:rPr>
      <w:i/>
    </w:rPr>
  </w:style>
  <w:style w:type="paragraph" w:styleId="Heading9">
    <w:name w:val="heading 9"/>
    <w:basedOn w:val="Normal"/>
    <w:next w:val="Normal"/>
    <w:link w:val="Heading9Char"/>
    <w:qFormat/>
    <w:rsid w:val="00A4412D"/>
    <w:pPr>
      <w:ind w:left="720"/>
      <w:outlineLvl w:val="8"/>
    </w:pPr>
    <w:rPr>
      <w:i/>
    </w:rPr>
  </w:style>
  <w:style w:type="character" w:default="1" w:styleId="DefaultParagraphFont">
    <w:name w:val="Default Paragraph Font"/>
    <w:uiPriority w:val="1"/>
    <w:unhideWhenUsed/>
    <w:rsid w:val="00A44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12D"/>
  </w:style>
  <w:style w:type="character" w:customStyle="1" w:styleId="Heading1Char">
    <w:name w:val="Heading 1 Char"/>
    <w:basedOn w:val="DefaultParagraphFont"/>
    <w:link w:val="Heading1"/>
    <w:rsid w:val="00A4412D"/>
    <w:rPr>
      <w:rFonts w:ascii="Times New Roman" w:eastAsia="Times New Roman" w:hAnsi="Times New Roman" w:cs="Times New Roman"/>
      <w:b/>
      <w:sz w:val="32"/>
      <w:szCs w:val="20"/>
      <w:lang w:eastAsia="en-US"/>
    </w:rPr>
  </w:style>
  <w:style w:type="paragraph" w:styleId="BodyText">
    <w:name w:val="Body Text"/>
    <w:basedOn w:val="Normal"/>
    <w:link w:val="BodyTextChar"/>
    <w:rsid w:val="00A44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12D"/>
    <w:rPr>
      <w:rFonts w:ascii="Times New Roman" w:eastAsia="Times New Roman" w:hAnsi="Times New Roman" w:cs="Times New Roman"/>
      <w:sz w:val="24"/>
      <w:lang w:eastAsia="en-US"/>
    </w:rPr>
  </w:style>
  <w:style w:type="paragraph" w:styleId="ListBullet">
    <w:name w:val="List Bullet"/>
    <w:basedOn w:val="List"/>
    <w:rsid w:val="00A4412D"/>
    <w:pPr>
      <w:numPr>
        <w:numId w:val="12"/>
      </w:numPr>
      <w:tabs>
        <w:tab w:val="clear" w:pos="340"/>
      </w:tabs>
      <w:spacing w:before="40" w:after="40"/>
    </w:pPr>
  </w:style>
  <w:style w:type="character" w:customStyle="1" w:styleId="SpecialBold">
    <w:name w:val="Special Bold"/>
    <w:basedOn w:val="DefaultParagraphFont"/>
    <w:rsid w:val="00A4412D"/>
    <w:rPr>
      <w:b/>
      <w:spacing w:val="0"/>
    </w:rPr>
  </w:style>
  <w:style w:type="paragraph" w:styleId="ListBullet2">
    <w:name w:val="List Bullet 2"/>
    <w:basedOn w:val="List2"/>
    <w:rsid w:val="00A4412D"/>
    <w:pPr>
      <w:numPr>
        <w:numId w:val="13"/>
      </w:numPr>
      <w:tabs>
        <w:tab w:val="clear" w:pos="680"/>
      </w:tabs>
    </w:pPr>
  </w:style>
  <w:style w:type="paragraph" w:customStyle="1" w:styleId="SuperHeading">
    <w:name w:val="SuperHeading"/>
    <w:basedOn w:val="Normal"/>
    <w:rsid w:val="00A4412D"/>
    <w:pPr>
      <w:spacing w:before="240" w:after="120"/>
      <w:outlineLvl w:val="0"/>
    </w:pPr>
    <w:rPr>
      <w:rFonts w:ascii="Times New Roman" w:hAnsi="Times New Roman"/>
      <w:b/>
      <w:sz w:val="32"/>
    </w:rPr>
  </w:style>
  <w:style w:type="paragraph" w:customStyle="1" w:styleId="AllowPageBreak">
    <w:name w:val="AllowPageBreak"/>
    <w:rsid w:val="00A44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12D"/>
    <w:rPr>
      <w:rFonts w:ascii="Courier New" w:eastAsia="Times New Roman" w:hAnsi="Courier New" w:cs="Times New Roman"/>
      <w:i/>
      <w:szCs w:val="20"/>
      <w:lang w:eastAsia="en-US"/>
    </w:rPr>
  </w:style>
  <w:style w:type="paragraph" w:customStyle="1" w:styleId="HeadingBase">
    <w:name w:val="Heading Base"/>
    <w:rsid w:val="00A44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12D"/>
    <w:pPr>
      <w:tabs>
        <w:tab w:val="right" w:leader="dot" w:pos="9072"/>
      </w:tabs>
      <w:ind w:left="567"/>
    </w:pPr>
    <w:rPr>
      <w:szCs w:val="22"/>
    </w:rPr>
  </w:style>
  <w:style w:type="paragraph" w:customStyle="1" w:styleId="TOCBase">
    <w:name w:val="TOC Base"/>
    <w:rsid w:val="00A44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12D"/>
    <w:pPr>
      <w:tabs>
        <w:tab w:val="right" w:leader="dot" w:pos="9072"/>
      </w:tabs>
      <w:spacing w:before="40" w:after="40"/>
      <w:ind w:left="284"/>
    </w:pPr>
    <w:rPr>
      <w:rFonts w:ascii="Times New Roman" w:hAnsi="Times New Roman"/>
    </w:rPr>
  </w:style>
  <w:style w:type="paragraph" w:styleId="TOC1">
    <w:name w:val="toc 1"/>
    <w:basedOn w:val="TOCBase"/>
    <w:next w:val="Normal"/>
    <w:rsid w:val="00A44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12D"/>
    <w:rPr>
      <w:rFonts w:ascii="Times New Roman" w:eastAsia="Times New Roman" w:hAnsi="Times New Roman" w:cs="Times New Roman"/>
      <w:sz w:val="16"/>
      <w:lang w:eastAsia="en-US"/>
    </w:rPr>
  </w:style>
  <w:style w:type="paragraph" w:styleId="Title">
    <w:name w:val="Title"/>
    <w:basedOn w:val="HeadingBase"/>
    <w:link w:val="TitleChar"/>
    <w:qFormat/>
    <w:rsid w:val="00A4412D"/>
    <w:pPr>
      <w:spacing w:before="5040"/>
      <w:jc w:val="center"/>
    </w:pPr>
    <w:rPr>
      <w:sz w:val="48"/>
      <w:szCs w:val="72"/>
      <w:lang w:val="en-US"/>
    </w:rPr>
  </w:style>
  <w:style w:type="character" w:customStyle="1" w:styleId="TitleChar">
    <w:name w:val="Title Char"/>
    <w:basedOn w:val="DefaultParagraphFont"/>
    <w:link w:val="Title"/>
    <w:rsid w:val="00A44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12D"/>
    <w:pPr>
      <w:tabs>
        <w:tab w:val="left" w:pos="3600"/>
        <w:tab w:val="left" w:pos="3958"/>
      </w:tabs>
    </w:pPr>
  </w:style>
  <w:style w:type="paragraph" w:styleId="List">
    <w:name w:val="List"/>
    <w:basedOn w:val="BodyText"/>
    <w:next w:val="BodyText"/>
    <w:rsid w:val="00A4412D"/>
    <w:pPr>
      <w:tabs>
        <w:tab w:val="left" w:pos="340"/>
      </w:tabs>
      <w:spacing w:before="60" w:after="60"/>
      <w:ind w:left="340" w:hanging="340"/>
    </w:pPr>
  </w:style>
  <w:style w:type="paragraph" w:customStyle="1" w:styleId="Note">
    <w:name w:val="Note"/>
    <w:basedOn w:val="BodyText"/>
    <w:rsid w:val="00A44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12D"/>
    <w:pPr>
      <w:framePr w:wrap="auto" w:hAnchor="text" w:y="6049"/>
    </w:pPr>
    <w:rPr>
      <w:color w:val="000000"/>
      <w:sz w:val="40"/>
    </w:rPr>
  </w:style>
  <w:style w:type="paragraph" w:customStyle="1" w:styleId="TOCTitle">
    <w:name w:val="TOCTitle"/>
    <w:basedOn w:val="Heading1"/>
    <w:rsid w:val="00A4412D"/>
    <w:pPr>
      <w:spacing w:after="240"/>
      <w:jc w:val="center"/>
      <w:outlineLvl w:val="9"/>
    </w:pPr>
    <w:rPr>
      <w:caps/>
    </w:rPr>
  </w:style>
  <w:style w:type="paragraph" w:customStyle="1" w:styleId="Version">
    <w:name w:val="Version"/>
    <w:rsid w:val="00A44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12D"/>
    <w:pPr>
      <w:keepNext w:val="0"/>
      <w:tabs>
        <w:tab w:val="right" w:pos="4176"/>
      </w:tabs>
      <w:ind w:left="198" w:hanging="198"/>
    </w:pPr>
    <w:rPr>
      <w:rFonts w:ascii="Garamond" w:hAnsi="Garamond"/>
    </w:rPr>
  </w:style>
  <w:style w:type="paragraph" w:styleId="IndexHeading">
    <w:name w:val="index heading"/>
    <w:basedOn w:val="Normal"/>
    <w:next w:val="Index1"/>
    <w:semiHidden/>
    <w:rsid w:val="00A4412D"/>
    <w:pPr>
      <w:spacing w:before="120" w:after="120"/>
    </w:pPr>
    <w:rPr>
      <w:rFonts w:ascii="Arial" w:hAnsi="Arial"/>
      <w:b/>
      <w:color w:val="918585"/>
      <w:sz w:val="24"/>
    </w:rPr>
  </w:style>
  <w:style w:type="paragraph" w:styleId="Header">
    <w:name w:val="header"/>
    <w:basedOn w:val="Normal"/>
    <w:link w:val="HeaderChar"/>
    <w:rsid w:val="00A44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12D"/>
    <w:rPr>
      <w:rFonts w:ascii="Times New Roman" w:eastAsia="Times New Roman" w:hAnsi="Times New Roman" w:cs="Times New Roman"/>
      <w:sz w:val="16"/>
      <w:szCs w:val="20"/>
      <w:lang w:val="en-GB" w:eastAsia="en-US"/>
    </w:rPr>
  </w:style>
  <w:style w:type="paragraph" w:customStyle="1" w:styleId="Chapter">
    <w:name w:val="Chapter"/>
    <w:basedOn w:val="Normal"/>
    <w:rsid w:val="00A4412D"/>
    <w:pPr>
      <w:spacing w:before="240"/>
    </w:pPr>
    <w:rPr>
      <w:rFonts w:ascii="Times New Roman" w:hAnsi="Times New Roman"/>
      <w:smallCaps/>
      <w:spacing w:val="80"/>
      <w:sz w:val="28"/>
    </w:rPr>
  </w:style>
  <w:style w:type="paragraph" w:customStyle="1" w:styleId="InChapter">
    <w:name w:val="InChapter"/>
    <w:basedOn w:val="Heading3"/>
    <w:rsid w:val="00A4412D"/>
    <w:pPr>
      <w:spacing w:after="240"/>
      <w:outlineLvl w:val="9"/>
    </w:pPr>
    <w:rPr>
      <w:noProof/>
    </w:rPr>
  </w:style>
  <w:style w:type="paragraph" w:styleId="Index2">
    <w:name w:val="index 2"/>
    <w:basedOn w:val="Normal"/>
    <w:next w:val="Normal"/>
    <w:semiHidden/>
    <w:rsid w:val="00A4412D"/>
    <w:pPr>
      <w:tabs>
        <w:tab w:val="right" w:pos="4176"/>
      </w:tabs>
      <w:ind w:left="568" w:hanging="284"/>
    </w:pPr>
    <w:rPr>
      <w:rFonts w:ascii="Garamond" w:hAnsi="Garamond"/>
    </w:rPr>
  </w:style>
  <w:style w:type="paragraph" w:customStyle="1" w:styleId="Byline">
    <w:name w:val="Byline"/>
    <w:rsid w:val="00A44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12D"/>
    <w:pPr>
      <w:tabs>
        <w:tab w:val="clear" w:pos="3600"/>
        <w:tab w:val="clear" w:pos="3958"/>
      </w:tabs>
      <w:jc w:val="right"/>
    </w:pPr>
  </w:style>
  <w:style w:type="character" w:styleId="Emphasis">
    <w:name w:val="Emphasis"/>
    <w:basedOn w:val="DefaultParagraphFont"/>
    <w:qFormat/>
    <w:rsid w:val="00A4412D"/>
    <w:rPr>
      <w:i/>
    </w:rPr>
  </w:style>
  <w:style w:type="paragraph" w:styleId="Caption">
    <w:name w:val="caption"/>
    <w:basedOn w:val="BodyText"/>
    <w:next w:val="Normal"/>
    <w:qFormat/>
    <w:rsid w:val="00A4412D"/>
    <w:pPr>
      <w:framePr w:w="2268" w:hSpace="181" w:vSpace="181" w:wrap="around" w:vAnchor="text" w:hAnchor="page" w:x="1135" w:y="285" w:anchorLock="1"/>
    </w:pPr>
    <w:rPr>
      <w:i/>
    </w:rPr>
  </w:style>
  <w:style w:type="paragraph" w:customStyle="1" w:styleId="MiniTOCTitle">
    <w:name w:val="MiniTOCTitle"/>
    <w:basedOn w:val="Heading4"/>
    <w:rsid w:val="00A4412D"/>
    <w:pPr>
      <w:spacing w:before="240"/>
      <w:outlineLvl w:val="9"/>
    </w:pPr>
    <w:rPr>
      <w:noProof/>
      <w:sz w:val="24"/>
    </w:rPr>
  </w:style>
  <w:style w:type="paragraph" w:customStyle="1" w:styleId="MiniTOCItem">
    <w:name w:val="MiniTOCItem"/>
    <w:basedOn w:val="ListBullet"/>
    <w:rsid w:val="00A4412D"/>
    <w:pPr>
      <w:numPr>
        <w:numId w:val="0"/>
      </w:numPr>
      <w:tabs>
        <w:tab w:val="right" w:leader="dot" w:pos="6521"/>
      </w:tabs>
      <w:spacing w:before="0" w:after="0"/>
    </w:pPr>
  </w:style>
  <w:style w:type="paragraph" w:customStyle="1" w:styleId="TOFTitle">
    <w:name w:val="TOFTitle"/>
    <w:basedOn w:val="TOCTitle"/>
    <w:rsid w:val="00A4412D"/>
  </w:style>
  <w:style w:type="paragraph" w:styleId="TableofFigures">
    <w:name w:val="table of figures"/>
    <w:basedOn w:val="Normal"/>
    <w:next w:val="Normal"/>
    <w:semiHidden/>
    <w:rsid w:val="00A4412D"/>
    <w:pPr>
      <w:tabs>
        <w:tab w:val="right" w:leader="dot" w:pos="9072"/>
      </w:tabs>
      <w:ind w:left="970" w:hanging="403"/>
    </w:pPr>
    <w:rPr>
      <w:rFonts w:ascii="Times New Roman" w:hAnsi="Times New Roman"/>
      <w:b/>
    </w:rPr>
  </w:style>
  <w:style w:type="paragraph" w:styleId="ListNumber">
    <w:name w:val="List Number"/>
    <w:basedOn w:val="List"/>
    <w:rsid w:val="00A4412D"/>
    <w:pPr>
      <w:numPr>
        <w:numId w:val="15"/>
      </w:numPr>
      <w:tabs>
        <w:tab w:val="clear" w:pos="340"/>
      </w:tabs>
    </w:pPr>
  </w:style>
  <w:style w:type="character" w:customStyle="1" w:styleId="WingdingSymbols">
    <w:name w:val="Wingding Symbols"/>
    <w:rsid w:val="00A4412D"/>
    <w:rPr>
      <w:rFonts w:ascii="Wingdings" w:hAnsi="Wingdings"/>
    </w:rPr>
  </w:style>
  <w:style w:type="paragraph" w:customStyle="1" w:styleId="TableHeading">
    <w:name w:val="Table Heading"/>
    <w:basedOn w:val="HeadingBase"/>
    <w:rsid w:val="00A4412D"/>
    <w:pPr>
      <w:keepLines/>
      <w:pBdr>
        <w:bottom w:val="single" w:sz="6" w:space="1" w:color="918585"/>
      </w:pBdr>
      <w:spacing w:before="240"/>
    </w:pPr>
  </w:style>
  <w:style w:type="character" w:customStyle="1" w:styleId="HotSpot">
    <w:name w:val="HotSpot"/>
    <w:rsid w:val="00A4412D"/>
    <w:rPr>
      <w:color w:val="0033CC"/>
      <w:u w:val="none"/>
    </w:rPr>
  </w:style>
  <w:style w:type="paragraph" w:customStyle="1" w:styleId="BodyTextRight">
    <w:name w:val="Body Text Right"/>
    <w:basedOn w:val="BodyText"/>
    <w:rsid w:val="00A4412D"/>
    <w:pPr>
      <w:spacing w:before="0" w:after="0"/>
      <w:jc w:val="right"/>
    </w:pPr>
  </w:style>
  <w:style w:type="paragraph" w:styleId="Index3">
    <w:name w:val="index 3"/>
    <w:basedOn w:val="ListNumber2"/>
    <w:next w:val="Normal"/>
    <w:semiHidden/>
    <w:rsid w:val="00A4412D"/>
    <w:pPr>
      <w:numPr>
        <w:numId w:val="0"/>
      </w:numPr>
      <w:tabs>
        <w:tab w:val="right" w:leader="dot" w:pos="4176"/>
      </w:tabs>
    </w:pPr>
  </w:style>
  <w:style w:type="paragraph" w:styleId="ListNumber2">
    <w:name w:val="List Number 2"/>
    <w:basedOn w:val="List2"/>
    <w:rsid w:val="00A4412D"/>
    <w:pPr>
      <w:numPr>
        <w:numId w:val="10"/>
      </w:numPr>
      <w:tabs>
        <w:tab w:val="clear" w:pos="1060"/>
      </w:tabs>
    </w:pPr>
  </w:style>
  <w:style w:type="paragraph" w:customStyle="1" w:styleId="MarginNote">
    <w:name w:val="Margin Note"/>
    <w:basedOn w:val="BodyText"/>
    <w:rsid w:val="00A44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12D"/>
    <w:rPr>
      <w:sz w:val="32"/>
    </w:rPr>
  </w:style>
  <w:style w:type="paragraph" w:customStyle="1" w:styleId="HeadingProcedure">
    <w:name w:val="Heading Procedure"/>
    <w:basedOn w:val="HeadingBase"/>
    <w:next w:val="Normal"/>
    <w:rsid w:val="00A4412D"/>
    <w:pPr>
      <w:tabs>
        <w:tab w:val="left" w:pos="0"/>
      </w:tabs>
      <w:spacing w:before="120" w:after="60"/>
    </w:pPr>
    <w:rPr>
      <w:i/>
      <w:color w:val="918585"/>
      <w:sz w:val="22"/>
    </w:rPr>
  </w:style>
  <w:style w:type="paragraph" w:customStyle="1" w:styleId="TableBodyText">
    <w:name w:val="Table Body Text"/>
    <w:basedOn w:val="BodyText"/>
    <w:rsid w:val="00A4412D"/>
    <w:pPr>
      <w:spacing w:before="60" w:after="60"/>
    </w:pPr>
  </w:style>
  <w:style w:type="paragraph" w:styleId="ListContinue">
    <w:name w:val="List Continue"/>
    <w:basedOn w:val="List"/>
    <w:rsid w:val="00A4412D"/>
    <w:pPr>
      <w:ind w:firstLine="0"/>
    </w:pPr>
  </w:style>
  <w:style w:type="paragraph" w:customStyle="1" w:styleId="ListNote">
    <w:name w:val="List Note"/>
    <w:basedOn w:val="List"/>
    <w:rsid w:val="00A4412D"/>
    <w:pPr>
      <w:pBdr>
        <w:top w:val="single" w:sz="6" w:space="2" w:color="918585"/>
        <w:bottom w:val="single" w:sz="6" w:space="2" w:color="918585"/>
      </w:pBdr>
      <w:tabs>
        <w:tab w:val="left" w:pos="1021"/>
      </w:tabs>
      <w:ind w:firstLine="0"/>
    </w:pPr>
  </w:style>
  <w:style w:type="paragraph" w:customStyle="1" w:styleId="Warning">
    <w:name w:val="Warning"/>
    <w:basedOn w:val="BodyText"/>
    <w:rsid w:val="00A4412D"/>
    <w:pPr>
      <w:shd w:val="clear" w:color="auto" w:fill="D9D9D9"/>
      <w:tabs>
        <w:tab w:val="left" w:pos="992"/>
      </w:tabs>
      <w:ind w:left="119" w:right="119"/>
    </w:pPr>
    <w:rPr>
      <w:sz w:val="20"/>
    </w:rPr>
  </w:style>
  <w:style w:type="paragraph" w:customStyle="1" w:styleId="MarginIcons">
    <w:name w:val="Margin Icons"/>
    <w:basedOn w:val="BodyText"/>
    <w:rsid w:val="00A44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12D"/>
    <w:rPr>
      <w:rFonts w:ascii="Courier New" w:hAnsi="Courier New"/>
    </w:rPr>
  </w:style>
  <w:style w:type="paragraph" w:customStyle="1" w:styleId="NoteBullet">
    <w:name w:val="Note Bullet"/>
    <w:basedOn w:val="Note"/>
    <w:rsid w:val="00A4412D"/>
    <w:pPr>
      <w:tabs>
        <w:tab w:val="clear" w:pos="680"/>
      </w:tabs>
      <w:spacing w:before="60" w:after="60"/>
    </w:pPr>
  </w:style>
  <w:style w:type="paragraph" w:customStyle="1" w:styleId="SubHeading2">
    <w:name w:val="SubHeading2"/>
    <w:basedOn w:val="HeadingBase"/>
    <w:rsid w:val="00A4412D"/>
    <w:pPr>
      <w:spacing w:before="240" w:after="60"/>
    </w:pPr>
    <w:rPr>
      <w:sz w:val="20"/>
    </w:rPr>
  </w:style>
  <w:style w:type="paragraph" w:customStyle="1" w:styleId="SubHeading1">
    <w:name w:val="SubHeading1"/>
    <w:basedOn w:val="HeadingBase"/>
    <w:rsid w:val="00A4412D"/>
    <w:pPr>
      <w:spacing w:before="240" w:after="60"/>
    </w:pPr>
    <w:rPr>
      <w:color w:val="918585"/>
      <w:sz w:val="22"/>
    </w:rPr>
  </w:style>
  <w:style w:type="paragraph" w:customStyle="1" w:styleId="SideHeading">
    <w:name w:val="Side Heading"/>
    <w:basedOn w:val="HeadingBase"/>
    <w:rsid w:val="00A44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12D"/>
    <w:pPr>
      <w:tabs>
        <w:tab w:val="num" w:pos="360"/>
      </w:tabs>
    </w:pPr>
  </w:style>
  <w:style w:type="paragraph" w:styleId="PlainText">
    <w:name w:val="Plain Text"/>
    <w:basedOn w:val="Normal"/>
    <w:link w:val="PlainTextChar"/>
    <w:rsid w:val="00A4412D"/>
    <w:rPr>
      <w:sz w:val="20"/>
    </w:rPr>
  </w:style>
  <w:style w:type="character" w:customStyle="1" w:styleId="PlainTextChar">
    <w:name w:val="Plain Text Char"/>
    <w:basedOn w:val="DefaultParagraphFont"/>
    <w:link w:val="PlainText"/>
    <w:rsid w:val="00A4412D"/>
    <w:rPr>
      <w:rFonts w:ascii="Courier New" w:eastAsia="Times New Roman" w:hAnsi="Courier New" w:cs="Times New Roman"/>
      <w:sz w:val="20"/>
      <w:szCs w:val="20"/>
      <w:lang w:eastAsia="en-US"/>
    </w:rPr>
  </w:style>
  <w:style w:type="character" w:customStyle="1" w:styleId="MenuOption">
    <w:name w:val="Menu Option"/>
    <w:basedOn w:val="DefaultParagraphFont"/>
    <w:rsid w:val="00A4412D"/>
    <w:rPr>
      <w:b/>
      <w:smallCaps/>
    </w:rPr>
  </w:style>
  <w:style w:type="paragraph" w:customStyle="1" w:styleId="TableListNumber">
    <w:name w:val="Table List Number"/>
    <w:basedOn w:val="ListNumber"/>
    <w:rsid w:val="00A4412D"/>
    <w:pPr>
      <w:numPr>
        <w:numId w:val="0"/>
      </w:numPr>
    </w:pPr>
  </w:style>
  <w:style w:type="paragraph" w:styleId="TOC4">
    <w:name w:val="toc 4"/>
    <w:basedOn w:val="TOCBase"/>
    <w:next w:val="Normal"/>
    <w:semiHidden/>
    <w:rsid w:val="00A4412D"/>
    <w:pPr>
      <w:tabs>
        <w:tab w:val="right" w:leader="dot" w:pos="9071"/>
      </w:tabs>
      <w:ind w:left="1701"/>
    </w:pPr>
  </w:style>
  <w:style w:type="paragraph" w:customStyle="1" w:styleId="ListAlpha">
    <w:name w:val="List Alpha"/>
    <w:basedOn w:val="List"/>
    <w:rsid w:val="00A4412D"/>
    <w:pPr>
      <w:numPr>
        <w:numId w:val="9"/>
      </w:numPr>
    </w:pPr>
  </w:style>
  <w:style w:type="paragraph" w:customStyle="1" w:styleId="ListAlpha2">
    <w:name w:val="List Alpha 2"/>
    <w:basedOn w:val="List2"/>
    <w:rsid w:val="00A4412D"/>
    <w:pPr>
      <w:numPr>
        <w:numId w:val="8"/>
      </w:numPr>
    </w:pPr>
  </w:style>
  <w:style w:type="paragraph" w:styleId="List2">
    <w:name w:val="List 2"/>
    <w:basedOn w:val="BodyText"/>
    <w:rsid w:val="00A4412D"/>
    <w:pPr>
      <w:tabs>
        <w:tab w:val="left" w:pos="680"/>
      </w:tabs>
      <w:spacing w:before="60" w:after="60"/>
      <w:ind w:left="680" w:hanging="340"/>
    </w:pPr>
  </w:style>
  <w:style w:type="paragraph" w:styleId="List3">
    <w:name w:val="List 3"/>
    <w:basedOn w:val="BodyText"/>
    <w:rsid w:val="00A4412D"/>
    <w:pPr>
      <w:tabs>
        <w:tab w:val="left" w:pos="1021"/>
      </w:tabs>
      <w:spacing w:before="60" w:after="60"/>
      <w:ind w:left="1020" w:hanging="340"/>
    </w:pPr>
  </w:style>
  <w:style w:type="paragraph" w:styleId="List4">
    <w:name w:val="List 4"/>
    <w:basedOn w:val="BodyText"/>
    <w:rsid w:val="00A4412D"/>
    <w:pPr>
      <w:tabs>
        <w:tab w:val="left" w:pos="1361"/>
      </w:tabs>
      <w:spacing w:before="60" w:after="60"/>
      <w:ind w:left="1361" w:hanging="340"/>
    </w:pPr>
  </w:style>
  <w:style w:type="paragraph" w:styleId="List5">
    <w:name w:val="List 5"/>
    <w:basedOn w:val="BodyText"/>
    <w:rsid w:val="00A4412D"/>
    <w:pPr>
      <w:tabs>
        <w:tab w:val="left" w:pos="1701"/>
      </w:tabs>
      <w:spacing w:before="60" w:after="60"/>
      <w:ind w:left="1701" w:hanging="340"/>
    </w:pPr>
  </w:style>
  <w:style w:type="paragraph" w:styleId="ListBullet3">
    <w:name w:val="List Bullet 3"/>
    <w:basedOn w:val="List3"/>
    <w:rsid w:val="00A4412D"/>
    <w:pPr>
      <w:numPr>
        <w:numId w:val="14"/>
      </w:numPr>
      <w:tabs>
        <w:tab w:val="clear" w:pos="1021"/>
      </w:tabs>
      <w:ind w:left="1037" w:hanging="357"/>
    </w:pPr>
  </w:style>
  <w:style w:type="paragraph" w:styleId="ListBullet4">
    <w:name w:val="List Bullet 4"/>
    <w:basedOn w:val="List4"/>
    <w:rsid w:val="00A4412D"/>
    <w:pPr>
      <w:numPr>
        <w:numId w:val="3"/>
      </w:numPr>
      <w:tabs>
        <w:tab w:val="clear" w:pos="1361"/>
      </w:tabs>
    </w:pPr>
  </w:style>
  <w:style w:type="paragraph" w:styleId="ListBullet5">
    <w:name w:val="List Bullet 5"/>
    <w:basedOn w:val="List5"/>
    <w:rsid w:val="00A4412D"/>
    <w:pPr>
      <w:numPr>
        <w:numId w:val="4"/>
      </w:numPr>
    </w:pPr>
  </w:style>
  <w:style w:type="paragraph" w:styleId="ListContinue2">
    <w:name w:val="List Continue 2"/>
    <w:basedOn w:val="List2"/>
    <w:rsid w:val="00A4412D"/>
    <w:pPr>
      <w:ind w:firstLine="0"/>
    </w:pPr>
  </w:style>
  <w:style w:type="paragraph" w:styleId="ListContinue3">
    <w:name w:val="List Continue 3"/>
    <w:basedOn w:val="List3"/>
    <w:rsid w:val="00A4412D"/>
    <w:pPr>
      <w:ind w:left="1021" w:firstLine="0"/>
    </w:pPr>
  </w:style>
  <w:style w:type="paragraph" w:styleId="ListContinue4">
    <w:name w:val="List Continue 4"/>
    <w:basedOn w:val="List4"/>
    <w:rsid w:val="00A4412D"/>
    <w:pPr>
      <w:ind w:firstLine="0"/>
    </w:pPr>
  </w:style>
  <w:style w:type="paragraph" w:styleId="ListContinue5">
    <w:name w:val="List Continue 5"/>
    <w:basedOn w:val="List5"/>
    <w:rsid w:val="00A4412D"/>
    <w:pPr>
      <w:ind w:firstLine="0"/>
    </w:pPr>
  </w:style>
  <w:style w:type="paragraph" w:styleId="ListNumber3">
    <w:name w:val="List Number 3"/>
    <w:basedOn w:val="List3"/>
    <w:rsid w:val="00A4412D"/>
    <w:pPr>
      <w:numPr>
        <w:numId w:val="5"/>
      </w:numPr>
    </w:pPr>
  </w:style>
  <w:style w:type="paragraph" w:styleId="ListNumber4">
    <w:name w:val="List Number 4"/>
    <w:basedOn w:val="List4"/>
    <w:rsid w:val="00A4412D"/>
    <w:pPr>
      <w:numPr>
        <w:numId w:val="6"/>
      </w:numPr>
    </w:pPr>
  </w:style>
  <w:style w:type="paragraph" w:styleId="ListNumber5">
    <w:name w:val="List Number 5"/>
    <w:basedOn w:val="List5"/>
    <w:rsid w:val="00A4412D"/>
    <w:pPr>
      <w:numPr>
        <w:numId w:val="7"/>
      </w:numPr>
    </w:pPr>
  </w:style>
  <w:style w:type="paragraph" w:styleId="BlockText">
    <w:name w:val="Block Text"/>
    <w:basedOn w:val="Normal"/>
    <w:rsid w:val="00A4412D"/>
    <w:pPr>
      <w:spacing w:after="120"/>
      <w:ind w:left="1440" w:right="1440"/>
    </w:pPr>
  </w:style>
  <w:style w:type="character" w:customStyle="1" w:styleId="Subscript">
    <w:name w:val="Subscript"/>
    <w:basedOn w:val="DefaultParagraphFont"/>
    <w:rsid w:val="00A4412D"/>
    <w:rPr>
      <w:sz w:val="16"/>
      <w:vertAlign w:val="subscript"/>
    </w:rPr>
  </w:style>
  <w:style w:type="character" w:customStyle="1" w:styleId="Superscript">
    <w:name w:val="Superscript"/>
    <w:basedOn w:val="DefaultParagraphFont"/>
    <w:rsid w:val="00A4412D"/>
    <w:rPr>
      <w:sz w:val="16"/>
      <w:vertAlign w:val="superscript"/>
    </w:rPr>
  </w:style>
  <w:style w:type="character" w:customStyle="1" w:styleId="Symbols">
    <w:name w:val="Symbols"/>
    <w:basedOn w:val="DefaultParagraphFont"/>
    <w:rsid w:val="00A4412D"/>
    <w:rPr>
      <w:rFonts w:ascii="Symbol" w:hAnsi="Symbol"/>
    </w:rPr>
  </w:style>
  <w:style w:type="character" w:customStyle="1" w:styleId="MenuOptions">
    <w:name w:val="Menu Options"/>
    <w:basedOn w:val="DefaultParagraphFont"/>
    <w:rsid w:val="00A4412D"/>
    <w:rPr>
      <w:rFonts w:ascii="Arial Narrow" w:hAnsi="Arial Narrow"/>
      <w:smallCaps/>
    </w:rPr>
  </w:style>
  <w:style w:type="character" w:customStyle="1" w:styleId="Buttons">
    <w:name w:val="Buttons"/>
    <w:basedOn w:val="DefaultParagraphFont"/>
    <w:rsid w:val="00A4412D"/>
    <w:rPr>
      <w:b/>
    </w:rPr>
  </w:style>
  <w:style w:type="character" w:customStyle="1" w:styleId="Underlined">
    <w:name w:val="Underlined"/>
    <w:basedOn w:val="DefaultParagraphFont"/>
    <w:rsid w:val="00A4412D"/>
    <w:rPr>
      <w:u w:val="single"/>
    </w:rPr>
  </w:style>
  <w:style w:type="paragraph" w:customStyle="1" w:styleId="TableBodyTextRight">
    <w:name w:val="Table Body Text Right"/>
    <w:basedOn w:val="TableBodyText"/>
    <w:rsid w:val="00A4412D"/>
    <w:pPr>
      <w:widowControl w:val="0"/>
      <w:autoSpaceDE w:val="0"/>
      <w:autoSpaceDN w:val="0"/>
      <w:adjustRightInd w:val="0"/>
      <w:jc w:val="right"/>
    </w:pPr>
    <w:rPr>
      <w:rFonts w:cs="Arial"/>
      <w:szCs w:val="18"/>
    </w:rPr>
  </w:style>
  <w:style w:type="paragraph" w:customStyle="1" w:styleId="CopyrightText">
    <w:name w:val="Copyright Text"/>
    <w:basedOn w:val="BodyText"/>
    <w:rsid w:val="00A4412D"/>
    <w:rPr>
      <w:sz w:val="18"/>
    </w:rPr>
  </w:style>
  <w:style w:type="paragraph" w:customStyle="1" w:styleId="BodySmallRight">
    <w:name w:val="Body Small Right"/>
    <w:basedOn w:val="BodyTextRight"/>
    <w:rsid w:val="00A4412D"/>
    <w:rPr>
      <w:sz w:val="18"/>
      <w:szCs w:val="18"/>
    </w:rPr>
  </w:style>
  <w:style w:type="paragraph" w:customStyle="1" w:styleId="MarginEdition">
    <w:name w:val="Margin Edition"/>
    <w:basedOn w:val="MarginNote"/>
    <w:rsid w:val="00A4412D"/>
    <w:pPr>
      <w:spacing w:before="0" w:after="0"/>
    </w:pPr>
    <w:rPr>
      <w:rFonts w:ascii="Times New Roman" w:hAnsi="Times New Roman"/>
      <w:color w:val="999999"/>
    </w:rPr>
  </w:style>
  <w:style w:type="paragraph" w:customStyle="1" w:styleId="Spacer">
    <w:name w:val="Spacer"/>
    <w:basedOn w:val="Normal"/>
    <w:rsid w:val="00A4412D"/>
    <w:rPr>
      <w:sz w:val="2"/>
      <w:szCs w:val="2"/>
    </w:rPr>
  </w:style>
  <w:style w:type="character" w:customStyle="1" w:styleId="Small">
    <w:name w:val="Small"/>
    <w:basedOn w:val="DefaultParagraphFont"/>
    <w:rsid w:val="00A4412D"/>
    <w:rPr>
      <w:sz w:val="16"/>
    </w:rPr>
  </w:style>
  <w:style w:type="paragraph" w:customStyle="1" w:styleId="WideTable">
    <w:name w:val="Wide Table"/>
    <w:basedOn w:val="Normal"/>
    <w:rsid w:val="00A4412D"/>
    <w:pPr>
      <w:ind w:left="-1418"/>
    </w:pPr>
    <w:rPr>
      <w:sz w:val="2"/>
      <w:szCs w:val="2"/>
    </w:rPr>
  </w:style>
  <w:style w:type="character" w:styleId="PageNumber">
    <w:name w:val="page number"/>
    <w:basedOn w:val="DefaultParagraphFont"/>
    <w:rsid w:val="00A4412D"/>
  </w:style>
  <w:style w:type="paragraph" w:styleId="Quote">
    <w:name w:val="Quote"/>
    <w:basedOn w:val="Heading1"/>
    <w:link w:val="QuoteChar"/>
    <w:qFormat/>
    <w:rsid w:val="00A4412D"/>
    <w:rPr>
      <w:b w:val="0"/>
      <w:sz w:val="72"/>
      <w:szCs w:val="72"/>
      <w:lang w:val="en-NZ"/>
    </w:rPr>
  </w:style>
  <w:style w:type="character" w:customStyle="1" w:styleId="QuoteChar">
    <w:name w:val="Quote Char"/>
    <w:basedOn w:val="DefaultParagraphFont"/>
    <w:link w:val="Quote"/>
    <w:rsid w:val="00A44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12D"/>
    <w:pPr>
      <w:pageBreakBefore/>
    </w:pPr>
  </w:style>
  <w:style w:type="paragraph" w:customStyle="1" w:styleId="Border">
    <w:name w:val="Border"/>
    <w:basedOn w:val="Normal"/>
    <w:qFormat/>
    <w:rsid w:val="00A44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12D"/>
    <w:rPr>
      <w:b/>
      <w:bCs/>
      <w:i/>
      <w:iCs/>
      <w:color w:val="auto"/>
    </w:rPr>
  </w:style>
  <w:style w:type="paragraph" w:styleId="IntenseQuote">
    <w:name w:val="Intense Quote"/>
    <w:basedOn w:val="Normal"/>
    <w:next w:val="Normal"/>
    <w:link w:val="IntenseQuoteChar"/>
    <w:uiPriority w:val="30"/>
    <w:qFormat/>
    <w:rsid w:val="00A44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12D"/>
    <w:rPr>
      <w:smallCaps/>
      <w:color w:val="auto"/>
      <w:u w:val="single"/>
    </w:rPr>
  </w:style>
  <w:style w:type="character" w:styleId="IntenseReference">
    <w:name w:val="Intense Reference"/>
    <w:basedOn w:val="DefaultParagraphFont"/>
    <w:uiPriority w:val="32"/>
    <w:qFormat/>
    <w:rsid w:val="00A4412D"/>
    <w:rPr>
      <w:b/>
      <w:bCs/>
      <w:smallCaps/>
      <w:color w:val="auto"/>
      <w:spacing w:val="5"/>
      <w:u w:val="single"/>
    </w:rPr>
  </w:style>
  <w:style w:type="paragraph" w:customStyle="1" w:styleId="2ColumnHeading">
    <w:name w:val="2Column Heading"/>
    <w:basedOn w:val="BodyText"/>
    <w:qFormat/>
    <w:rsid w:val="00A4412D"/>
    <w:pPr>
      <w:spacing w:after="60"/>
      <w:ind w:left="-2268"/>
    </w:pPr>
    <w:rPr>
      <w:b/>
    </w:rPr>
  </w:style>
  <w:style w:type="paragraph" w:customStyle="1" w:styleId="Heading1TOC">
    <w:name w:val="Heading1 TOC"/>
    <w:basedOn w:val="Normal"/>
    <w:qFormat/>
    <w:rsid w:val="00A4412D"/>
    <w:pPr>
      <w:spacing w:before="240" w:after="120"/>
    </w:pPr>
    <w:rPr>
      <w:rFonts w:ascii="Times New Roman" w:hAnsi="Times New Roman"/>
      <w:b/>
      <w:sz w:val="32"/>
    </w:rPr>
  </w:style>
  <w:style w:type="paragraph" w:customStyle="1" w:styleId="Heading2TOC">
    <w:name w:val="Heading2 TOC"/>
    <w:basedOn w:val="Normal"/>
    <w:qFormat/>
    <w:rsid w:val="00A4412D"/>
    <w:pPr>
      <w:spacing w:before="240" w:after="60"/>
    </w:pPr>
    <w:rPr>
      <w:rFonts w:ascii="Times New Roman" w:hAnsi="Times New Roman"/>
      <w:b/>
      <w:sz w:val="28"/>
    </w:rPr>
  </w:style>
  <w:style w:type="character" w:customStyle="1" w:styleId="Underline">
    <w:name w:val="Underline"/>
    <w:basedOn w:val="DefaultParagraphFont"/>
    <w:qFormat/>
    <w:rsid w:val="00A4412D"/>
    <w:rPr>
      <w:u w:val="single"/>
    </w:rPr>
  </w:style>
  <w:style w:type="character" w:customStyle="1" w:styleId="BoldandItalics">
    <w:name w:val="Bold and Italics"/>
    <w:qFormat/>
    <w:rsid w:val="00A4412D"/>
    <w:rPr>
      <w:b/>
      <w:i/>
      <w:u w:val="none"/>
    </w:rPr>
  </w:style>
  <w:style w:type="paragraph" w:styleId="BalloonText">
    <w:name w:val="Balloon Text"/>
    <w:basedOn w:val="Normal"/>
    <w:link w:val="BalloonTextChar"/>
    <w:rsid w:val="00A4412D"/>
    <w:rPr>
      <w:rFonts w:ascii="Tahoma" w:hAnsi="Tahoma" w:cs="Tahoma"/>
      <w:sz w:val="16"/>
      <w:szCs w:val="16"/>
    </w:rPr>
  </w:style>
  <w:style w:type="character" w:customStyle="1" w:styleId="BalloonTextChar">
    <w:name w:val="Balloon Text Char"/>
    <w:basedOn w:val="DefaultParagraphFont"/>
    <w:link w:val="BalloonText"/>
    <w:rsid w:val="00A44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12D"/>
    <w:rPr>
      <w:b/>
      <w:color w:val="660033"/>
      <w:spacing w:val="0"/>
    </w:rPr>
  </w:style>
  <w:style w:type="paragraph" w:customStyle="1" w:styleId="Nameditemlist">
    <w:name w:val="Named item list"/>
    <w:basedOn w:val="BodyText"/>
    <w:qFormat/>
    <w:rsid w:val="00A4412D"/>
    <w:pPr>
      <w:tabs>
        <w:tab w:val="left" w:pos="2835"/>
      </w:tabs>
      <w:ind w:left="2835" w:hanging="2835"/>
    </w:pPr>
  </w:style>
  <w:style w:type="paragraph" w:customStyle="1" w:styleId="BodyTextnopadding">
    <w:name w:val="Body Text no padding"/>
    <w:basedOn w:val="BodyText"/>
    <w:qFormat/>
    <w:rsid w:val="00A4412D"/>
    <w:pPr>
      <w:spacing w:before="0" w:after="0"/>
    </w:pPr>
  </w:style>
  <w:style w:type="paragraph" w:customStyle="1" w:styleId="BodyTextBold">
    <w:name w:val="Body Text Bold"/>
    <w:basedOn w:val="BodyText"/>
    <w:qFormat/>
    <w:rsid w:val="00A4412D"/>
    <w:rPr>
      <w:b/>
    </w:rPr>
  </w:style>
  <w:style w:type="character" w:styleId="Hyperlink">
    <w:name w:val="Hyperlink"/>
    <w:basedOn w:val="DefaultParagraphFont"/>
    <w:uiPriority w:val="99"/>
    <w:unhideWhenUsed/>
    <w:rsid w:val="00107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4407</Characters>
  <Application>Microsoft Office Word</Application>
  <DocSecurity>0</DocSecurity>
  <Lines>107</Lines>
  <Paragraphs>75</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FNSTPB516 Apply taxation requirements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