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2E0" w:rsidP="005572E0">
      <w:pPr>
        <w:pStyle w:val="Title"/>
      </w:pPr>
      <w:r>
        <w:fldChar w:fldCharType="begin"/>
      </w:r>
      <w:r>
        <w:instrText xml:space="preserve"> TITLE   \* MERGEFORMAT </w:instrText>
      </w:r>
      <w:r>
        <w:fldChar w:fldCharType="separate"/>
      </w:r>
      <w:r>
        <w:t>Assessment Requirements for FNSTPB507 Apply legal principles in commercial law when providing tax (financial) advice services</w:t>
      </w:r>
      <w:r>
        <w:fldChar w:fldCharType="end"/>
      </w:r>
    </w:p>
    <w:p w:rsidR="005572E0" w:rsidP="005572E0">
      <w:pPr>
        <w:pStyle w:val="Version"/>
        <w:sectPr w:rsidSect="004626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67C" w:rsidP="0046267C">
      <w:pPr>
        <w:pStyle w:val="SuperHeading"/>
      </w:pPr>
      <w:r w:rsidRPr="0046267C">
        <w:t>Assessment Requirements for FNSTPB507 Apply legal principles in commercial law when providing tax (financial) advice services</w:t>
      </w:r>
    </w:p>
    <w:p w:rsidR="00000000" w:rsidRPr="0046267C" w:rsidP="0046267C">
      <w:pPr>
        <w:pStyle w:val="Heading1"/>
      </w:pPr>
      <w:bookmarkStart w:id="1" w:name="O_718038"/>
      <w:bookmarkEnd w:id="1"/>
      <w:r w:rsidRPr="0046267C">
        <w:t>Modification History</w:t>
      </w:r>
    </w:p>
    <w:tbl>
      <w:tblPr>
        <w:tblW w:w="0" w:type="auto"/>
        <w:tblLayout w:type="fixed"/>
        <w:tblCellMar>
          <w:left w:w="62" w:type="dxa"/>
          <w:right w:w="62" w:type="dxa"/>
        </w:tblCellMar>
        <w:tblLook w:val="0000"/>
      </w:tblPr>
      <w:tblGrid>
        <w:gridCol w:w="2689"/>
        <w:gridCol w:w="6337"/>
      </w:tblGrid>
      <w:tr w:rsidTr="0046267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67C" w:rsidP="0046267C">
            <w:pPr>
              <w:pStyle w:val="BodyText"/>
            </w:pPr>
            <w:r w:rsidRPr="0046267C">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67C">
            <w:pPr>
              <w:pStyle w:val="BodyText"/>
              <w:rPr>
                <w:lang w:val="en-NZ"/>
              </w:rPr>
            </w:pPr>
            <w:r w:rsidRPr="0046267C">
              <w:rPr>
                <w:rStyle w:val="SpecialBold"/>
              </w:rPr>
              <w:t>Comments</w:t>
            </w:r>
          </w:p>
        </w:tc>
      </w:tr>
      <w:tr w:rsidTr="0046267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67C">
            <w:pPr>
              <w:pStyle w:val="BodyText"/>
              <w:rPr>
                <w:lang w:val="en-NZ"/>
              </w:rPr>
            </w:pPr>
            <w:r w:rsidRPr="004626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67C" w:rsidP="0046267C">
            <w:pPr>
              <w:pStyle w:val="BodyText"/>
            </w:pPr>
            <w:r w:rsidRPr="0046267C">
              <w:t>This version first released with FNS Financial Services Training Package Version 1.0.</w:t>
            </w:r>
          </w:p>
        </w:tc>
      </w:tr>
    </w:tbl>
    <w:p w:rsidR="00000000" w:rsidRPr="0046267C" w:rsidP="0046267C">
      <w:pPr>
        <w:pStyle w:val="BodyText"/>
      </w:pPr>
    </w:p>
    <w:p w:rsidR="00000000" w:rsidRPr="0046267C" w:rsidP="0046267C">
      <w:pPr>
        <w:pStyle w:val="AllowPageBreak"/>
      </w:pPr>
    </w:p>
    <w:p w:rsidR="00000000" w:rsidRPr="0046267C" w:rsidP="0046267C">
      <w:pPr>
        <w:pStyle w:val="Heading1"/>
      </w:pPr>
      <w:bookmarkStart w:id="2" w:name="O_718039"/>
      <w:bookmarkEnd w:id="2"/>
      <w:r w:rsidRPr="0046267C">
        <w:t>Performance Evidence</w:t>
      </w:r>
    </w:p>
    <w:p w:rsidR="00000000" w:rsidRPr="0046267C" w:rsidP="005572E0">
      <w:pPr>
        <w:pStyle w:val="BodyText"/>
      </w:pPr>
      <w:r w:rsidRPr="0046267C">
        <w:t>Evidence of the ability to:</w:t>
      </w:r>
    </w:p>
    <w:p w:rsidR="00000000" w:rsidRPr="0046267C" w:rsidP="0046267C">
      <w:pPr>
        <w:pStyle w:val="ListBullet"/>
      </w:pPr>
      <w:r w:rsidRPr="0046267C">
        <w:t>research, analyse and apply current commercial law principles relevant to the client</w:t>
      </w:r>
      <w:r>
        <w:t>’</w:t>
      </w:r>
      <w:r w:rsidRPr="0046267C">
        <w:t xml:space="preserve">s circumstances </w:t>
      </w:r>
      <w:r w:rsidRPr="0046267C">
        <w:t>and the tax (financial) advice services being provided</w:t>
      </w:r>
    </w:p>
    <w:p w:rsidR="00000000" w:rsidRPr="0046267C" w:rsidP="0046267C">
      <w:pPr>
        <w:pStyle w:val="ListBullet"/>
      </w:pPr>
      <w:r w:rsidRPr="0046267C">
        <w:t>identify the client</w:t>
      </w:r>
      <w:r>
        <w:t>’</w:t>
      </w:r>
      <w:r w:rsidRPr="0046267C">
        <w:t xml:space="preserve">s circumstances and the tax (financial) advice services requiring independent legal or other specialist advice </w:t>
      </w:r>
    </w:p>
    <w:p w:rsidR="00000000" w:rsidRPr="0046267C" w:rsidP="0046267C">
      <w:pPr>
        <w:pStyle w:val="ListBullet"/>
      </w:pPr>
      <w:r w:rsidRPr="0046267C">
        <w:t>present commercial law principles and implications to clients, releva</w:t>
      </w:r>
      <w:r w:rsidRPr="0046267C">
        <w:t xml:space="preserve">nt to the their circumstances and the tax (financial) advice services </w:t>
      </w:r>
    </w:p>
    <w:p w:rsidR="00000000" w:rsidRPr="0046267C" w:rsidP="0046267C">
      <w:pPr>
        <w:pStyle w:val="ListBullet"/>
      </w:pPr>
      <w:r w:rsidRPr="0046267C">
        <w:t>access and use systems and relevant legal sources to maintain knowledge on commercial law principles.</w:t>
      </w:r>
    </w:p>
    <w:p w:rsidR="00000000" w:rsidRPr="0046267C" w:rsidP="0046267C">
      <w:pPr>
        <w:pStyle w:val="BodyText"/>
      </w:pPr>
    </w:p>
    <w:p w:rsidR="00000000" w:rsidRPr="0046267C" w:rsidP="005572E0">
      <w:pPr>
        <w:pStyle w:val="BodyText"/>
      </w:pPr>
      <w:r w:rsidRPr="0046267C">
        <w:t>Note: If a specific volume or frequency is not stated, then evidence must be provided at least once.</w:t>
      </w:r>
    </w:p>
    <w:p w:rsidR="00000000" w:rsidRPr="0046267C" w:rsidP="0046267C">
      <w:pPr>
        <w:pStyle w:val="Heading1"/>
      </w:pPr>
      <w:bookmarkStart w:id="3" w:name="O_718040"/>
      <w:bookmarkEnd w:id="3"/>
      <w:r w:rsidRPr="0046267C">
        <w:t>Knowledge Evidence</w:t>
      </w:r>
    </w:p>
    <w:p w:rsidR="00000000" w:rsidRPr="0046267C" w:rsidP="005572E0">
      <w:pPr>
        <w:pStyle w:val="BodyText"/>
      </w:pPr>
      <w:r w:rsidRPr="0046267C">
        <w:t>To complete the unit requirements safely and effectively, the individual must:</w:t>
      </w:r>
    </w:p>
    <w:p w:rsidR="00000000" w:rsidRPr="0046267C" w:rsidP="0046267C">
      <w:pPr>
        <w:pStyle w:val="ListBullet"/>
      </w:pPr>
      <w:r w:rsidRPr="0046267C">
        <w:t>explain the operation of the Australian</w:t>
      </w:r>
      <w:r w:rsidRPr="0046267C">
        <w:t xml:space="preserve"> legal systems and processes relevant to areas of commercial law including: </w:t>
      </w:r>
    </w:p>
    <w:p w:rsidR="00000000" w:rsidRPr="0046267C" w:rsidP="0046267C">
      <w:pPr>
        <w:pStyle w:val="ListBullet2"/>
      </w:pPr>
      <w:r w:rsidRPr="0046267C">
        <w:t>basic principles, current statute, common law and equitable principles</w:t>
      </w:r>
    </w:p>
    <w:p w:rsidR="00000000" w:rsidRPr="0046267C" w:rsidP="0046267C">
      <w:pPr>
        <w:pStyle w:val="ListBullet2"/>
      </w:pPr>
      <w:r w:rsidRPr="0046267C">
        <w:t>roles and responsibilities of key organisations</w:t>
      </w:r>
    </w:p>
    <w:p w:rsidR="00000000" w:rsidRPr="0046267C" w:rsidP="0046267C">
      <w:pPr>
        <w:pStyle w:val="ListBullet2"/>
      </w:pPr>
      <w:r w:rsidRPr="0046267C">
        <w:t>separation of powers</w:t>
      </w:r>
    </w:p>
    <w:p w:rsidR="00000000" w:rsidRPr="0046267C" w:rsidP="0046267C">
      <w:pPr>
        <w:pStyle w:val="ListBullet2"/>
      </w:pPr>
      <w:r w:rsidRPr="0046267C">
        <w:t>basic principles of contract law</w:t>
      </w:r>
    </w:p>
    <w:p w:rsidR="00000000" w:rsidRPr="0046267C" w:rsidP="0046267C">
      <w:pPr>
        <w:pStyle w:val="ListBullet2"/>
      </w:pPr>
      <w:r w:rsidRPr="0046267C">
        <w:t>basic</w:t>
      </w:r>
      <w:r w:rsidRPr="0046267C">
        <w:t xml:space="preserve"> principles of the law of torts, particularly relating to negligence and negligent misstatement </w:t>
      </w:r>
    </w:p>
    <w:p w:rsidR="00000000" w:rsidRPr="0046267C" w:rsidP="0046267C">
      <w:pPr>
        <w:pStyle w:val="ListBullet2"/>
      </w:pPr>
      <w:r w:rsidRPr="0046267C">
        <w:t>courts and regulatory bodies</w:t>
      </w:r>
    </w:p>
    <w:p w:rsidR="00000000" w:rsidRPr="0046267C" w:rsidP="0046267C">
      <w:pPr>
        <w:pStyle w:val="ListBullet2"/>
      </w:pPr>
      <w:r w:rsidRPr="0046267C">
        <w:t>requirements and processes for clients who need specialised legal advice in commercial law matters</w:t>
      </w:r>
    </w:p>
    <w:p w:rsidR="00000000" w:rsidRPr="0046267C" w:rsidP="0046267C">
      <w:pPr>
        <w:pStyle w:val="ListBullet"/>
      </w:pPr>
      <w:r w:rsidRPr="0046267C">
        <w:t>explain how laws are enacted a</w:t>
      </w:r>
      <w:r w:rsidRPr="0046267C">
        <w:t>nd their underlying policy aims, and how those laws may be interpreted by existing common law and equitable rules</w:t>
      </w:r>
    </w:p>
    <w:p w:rsidR="00000000" w:rsidRPr="0046267C" w:rsidP="0046267C">
      <w:pPr>
        <w:pStyle w:val="ListBullet"/>
      </w:pPr>
      <w:r w:rsidRPr="0046267C">
        <w:t>examine legal concepts and scope of contract law with reference to:</w:t>
      </w:r>
    </w:p>
    <w:p w:rsidR="00000000" w:rsidRPr="0046267C" w:rsidP="0046267C">
      <w:pPr>
        <w:pStyle w:val="ListBullet2"/>
      </w:pPr>
      <w:r w:rsidRPr="0046267C">
        <w:t>formation – agreement and intention to create legal relations</w:t>
      </w:r>
    </w:p>
    <w:p w:rsidR="00000000" w:rsidRPr="0046267C" w:rsidP="0046267C">
      <w:pPr>
        <w:pStyle w:val="ListBullet2"/>
      </w:pPr>
      <w:r w:rsidRPr="0046267C">
        <w:t>formation –</w:t>
      </w:r>
      <w:r w:rsidRPr="0046267C">
        <w:t xml:space="preserve"> consideration, form, legality and capacity</w:t>
      </w:r>
    </w:p>
    <w:p w:rsidR="00000000" w:rsidRPr="0046267C" w:rsidP="0046267C">
      <w:pPr>
        <w:pStyle w:val="ListBullet2"/>
      </w:pPr>
      <w:r w:rsidRPr="0046267C">
        <w:t>contents – express terms, exclusion clauses</w:t>
      </w:r>
    </w:p>
    <w:p w:rsidR="00000000" w:rsidRPr="0046267C" w:rsidP="0046267C">
      <w:pPr>
        <w:pStyle w:val="ListBullet2"/>
      </w:pPr>
      <w:r w:rsidRPr="0046267C">
        <w:t>contents – implied terms, common law and statute (Commonwealth, State or Territory competition and consumer legislation)</w:t>
      </w:r>
    </w:p>
    <w:p w:rsidR="00000000" w:rsidRPr="0046267C" w:rsidP="0046267C">
      <w:pPr>
        <w:pStyle w:val="ListBullet2"/>
      </w:pPr>
      <w:r w:rsidRPr="0046267C">
        <w:t>vitiating elements – unconscionability, misrepr</w:t>
      </w:r>
      <w:r w:rsidRPr="0046267C">
        <w:t>esentation, capacity</w:t>
      </w:r>
    </w:p>
    <w:p w:rsidR="00000000" w:rsidRPr="0046267C" w:rsidP="0046267C">
      <w:pPr>
        <w:pStyle w:val="ListBullet2"/>
      </w:pPr>
      <w:r w:rsidRPr="0046267C">
        <w:t>discharge – remedies, including damages, rescission for unconscionable conduct</w:t>
      </w:r>
    </w:p>
    <w:p w:rsidR="00000000" w:rsidRPr="0046267C" w:rsidP="0046267C">
      <w:pPr>
        <w:pStyle w:val="ListBullet2"/>
      </w:pPr>
      <w:r w:rsidRPr="0046267C">
        <w:t>agency</w:t>
      </w:r>
    </w:p>
    <w:p w:rsidR="00000000" w:rsidRPr="0046267C" w:rsidP="0046267C">
      <w:pPr>
        <w:pStyle w:val="ListBullet"/>
      </w:pPr>
      <w:r w:rsidRPr="0046267C">
        <w:t>describe legal concepts and scope of consumer law:</w:t>
      </w:r>
    </w:p>
    <w:p w:rsidR="00000000" w:rsidRPr="0046267C" w:rsidP="0046267C">
      <w:pPr>
        <w:pStyle w:val="ListBullet2"/>
      </w:pPr>
      <w:r w:rsidRPr="0046267C">
        <w:t>misleading and deceptive conduct</w:t>
      </w:r>
    </w:p>
    <w:p w:rsidR="00000000" w:rsidRPr="0046267C" w:rsidP="0046267C">
      <w:pPr>
        <w:pStyle w:val="ListBullet2"/>
      </w:pPr>
      <w:r w:rsidRPr="0046267C">
        <w:t>function of the Competition and Consumer Act 2010</w:t>
      </w:r>
    </w:p>
    <w:p w:rsidR="00000000" w:rsidRPr="0046267C" w:rsidP="0046267C">
      <w:pPr>
        <w:pStyle w:val="ListBullet2"/>
      </w:pPr>
      <w:r w:rsidRPr="0046267C">
        <w:t>role and juri</w:t>
      </w:r>
      <w:r w:rsidRPr="0046267C">
        <w:t>sdiction of the Australian Competition and Consumer Commission (ACCC)</w:t>
      </w:r>
    </w:p>
    <w:p w:rsidR="00000000" w:rsidRPr="0046267C" w:rsidP="0046267C">
      <w:pPr>
        <w:pStyle w:val="ListBullet"/>
      </w:pPr>
      <w:r w:rsidRPr="0046267C">
        <w:t>analyse legal concepts of business organisational structures, and underlying regulation including the application of these to:</w:t>
      </w:r>
    </w:p>
    <w:p w:rsidR="00000000" w:rsidRPr="0046267C" w:rsidP="0046267C">
      <w:pPr>
        <w:pStyle w:val="ListBullet2"/>
      </w:pPr>
      <w:r w:rsidRPr="0046267C">
        <w:t>sole traders</w:t>
      </w:r>
    </w:p>
    <w:p w:rsidR="00000000" w:rsidRPr="0046267C" w:rsidP="0046267C">
      <w:pPr>
        <w:pStyle w:val="ListBullet2"/>
      </w:pPr>
      <w:r w:rsidRPr="0046267C">
        <w:t>partnerships</w:t>
      </w:r>
    </w:p>
    <w:p w:rsidR="00000000" w:rsidRPr="0046267C" w:rsidP="0046267C">
      <w:pPr>
        <w:pStyle w:val="ListBullet2"/>
      </w:pPr>
      <w:r w:rsidRPr="0046267C">
        <w:t>corporations</w:t>
      </w:r>
    </w:p>
    <w:p w:rsidR="00000000" w:rsidRPr="0046267C" w:rsidP="0046267C">
      <w:pPr>
        <w:pStyle w:val="ListBullet2"/>
      </w:pPr>
      <w:r w:rsidRPr="0046267C">
        <w:t>trusts</w:t>
      </w:r>
    </w:p>
    <w:p w:rsidR="00000000" w:rsidRPr="0046267C" w:rsidP="0046267C">
      <w:pPr>
        <w:pStyle w:val="ListBullet2"/>
      </w:pPr>
      <w:r w:rsidRPr="0046267C">
        <w:t>agencies</w:t>
      </w:r>
    </w:p>
    <w:p w:rsidR="00000000" w:rsidRPr="0046267C" w:rsidP="0046267C">
      <w:pPr>
        <w:pStyle w:val="ListBullet2"/>
      </w:pPr>
      <w:r w:rsidRPr="0046267C">
        <w:t>joint ventures</w:t>
      </w:r>
    </w:p>
    <w:p w:rsidR="00000000" w:rsidRPr="0046267C" w:rsidP="0046267C">
      <w:pPr>
        <w:pStyle w:val="ListBullet2"/>
      </w:pPr>
      <w:r w:rsidRPr="0046267C">
        <w:t>incorporated associations</w:t>
      </w:r>
    </w:p>
    <w:p w:rsidR="00000000" w:rsidRPr="0046267C" w:rsidP="0046267C">
      <w:pPr>
        <w:pStyle w:val="ListBullet"/>
      </w:pPr>
      <w:r w:rsidRPr="0046267C">
        <w:t xml:space="preserve">identify and reference the key features of Australian corporations law </w:t>
      </w:r>
    </w:p>
    <w:p w:rsidR="00000000" w:rsidRPr="0046267C" w:rsidP="0046267C">
      <w:pPr>
        <w:pStyle w:val="ListBullet"/>
      </w:pPr>
      <w:r w:rsidRPr="0046267C">
        <w:t>examine legal concepts and scope of law covering trusts</w:t>
      </w:r>
    </w:p>
    <w:p w:rsidR="00000000" w:rsidRPr="0046267C" w:rsidP="0046267C">
      <w:pPr>
        <w:pStyle w:val="AllowPageBreak"/>
      </w:pPr>
    </w:p>
    <w:p w:rsidR="00000000" w:rsidRPr="0046267C" w:rsidP="0046267C">
      <w:pPr>
        <w:pStyle w:val="Heading1"/>
      </w:pPr>
      <w:bookmarkStart w:id="4" w:name="O_718041"/>
      <w:bookmarkEnd w:id="4"/>
      <w:r w:rsidRPr="0046267C">
        <w:t>Assessment Conditions</w:t>
      </w:r>
    </w:p>
    <w:p w:rsidR="00000000" w:rsidRPr="0046267C" w:rsidP="005572E0">
      <w:pPr>
        <w:pStyle w:val="BodyText"/>
      </w:pPr>
      <w:r w:rsidRPr="0046267C">
        <w:t>Gather evidence to demonstrate consistent perfo</w:t>
      </w:r>
      <w:r w:rsidRPr="0046267C">
        <w:t xml:space="preserve">rmance in conditions that are safe and replicate the workplace. Noise levels, production flow, interruptions and time variances must be typical of those experienced in the tax (financial) advice services field of work and include access to: </w:t>
      </w:r>
    </w:p>
    <w:p w:rsidR="00000000" w:rsidRPr="0046267C" w:rsidP="0046267C">
      <w:pPr>
        <w:pStyle w:val="ListBullet"/>
      </w:pPr>
      <w:r w:rsidRPr="0046267C">
        <w:t>office equipm</w:t>
      </w:r>
      <w:r w:rsidRPr="0046267C">
        <w:t>ent, technology, software and consumables</w:t>
      </w:r>
    </w:p>
    <w:p w:rsidR="00000000" w:rsidRPr="0046267C" w:rsidP="0046267C">
      <w:pPr>
        <w:pStyle w:val="ListBullet"/>
      </w:pPr>
      <w:r w:rsidRPr="0046267C">
        <w:t>relevant legislation, regulations and codes of practice.</w:t>
      </w:r>
    </w:p>
    <w:p w:rsidR="00000000" w:rsidRPr="0046267C" w:rsidP="0046267C">
      <w:pPr>
        <w:pStyle w:val="BodyText"/>
      </w:pPr>
    </w:p>
    <w:p w:rsidR="00000000" w:rsidRPr="0046267C" w:rsidP="005572E0">
      <w:pPr>
        <w:pStyle w:val="BodyText"/>
      </w:pPr>
      <w:r w:rsidRPr="0046267C">
        <w:t xml:space="preserve">Assessors must satisfy NVR/AQTF assessor requirements. </w:t>
      </w:r>
    </w:p>
    <w:p w:rsidR="00000000" w:rsidRPr="0046267C" w:rsidP="005572E0">
      <w:pPr>
        <w:pStyle w:val="BodyText"/>
      </w:pPr>
      <w:r w:rsidRPr="0046267C">
        <w:t xml:space="preserve">This unit is designed to meet the education requirements of the Tax Practitioners Board (TPB). Where registration with the TPB is sought, assessment must reflect the conditions described by the regulator which stipulate that at least 40% of the assessment </w:t>
      </w:r>
      <w:r w:rsidRPr="0046267C">
        <w:t>must be completed under some form of independent supervision. Where recognition of prior learning (RPL) is used, it must also meet the requirements of the TPB’s policy on RPL. Details of requirements can be accessed on the TPB website (</w:t>
      </w:r>
      <w:r>
        <w:fldChar w:fldCharType="begin"/>
      </w:r>
      <w:r>
        <w:instrText xml:space="preserve"> HYPERLINK "http://www.tpb.gov.au" </w:instrText>
      </w:r>
      <w:r>
        <w:fldChar w:fldCharType="separate"/>
      </w:r>
      <w:r w:rsidRPr="0036099D">
        <w:rPr>
          <w:rStyle w:val="Hyperlink"/>
        </w:rPr>
        <w:t>www.tpb.gov.au</w:t>
      </w:r>
      <w:r>
        <w:fldChar w:fldCharType="end"/>
      </w:r>
      <w:r w:rsidRPr="0046267C">
        <w:t xml:space="preserve">). </w:t>
      </w:r>
    </w:p>
    <w:p w:rsidR="00000000" w:rsidRPr="0046267C" w:rsidP="0046267C">
      <w:pPr>
        <w:pStyle w:val="Heading1"/>
      </w:pPr>
      <w:bookmarkStart w:id="5" w:name="O_718044"/>
      <w:bookmarkEnd w:id="5"/>
      <w:r w:rsidRPr="0046267C">
        <w:t>Links</w:t>
      </w:r>
    </w:p>
    <w:p w:rsidR="00000000" w:rsidRPr="0046267C" w:rsidP="005572E0">
      <w:pPr>
        <w:pStyle w:val="BodyText"/>
      </w:pPr>
      <w:r w:rsidRPr="0046267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6099D">
        <w:rPr>
          <w:rStyle w:val="Hyperlink"/>
        </w:rPr>
        <w:t>https://vetnet.gov.au/Pages/TrainingDocs.aspx?q=c7200cc8-0566-4f04-b76f-e89fd6f102fe</w:t>
      </w:r>
      <w:r>
        <w:fldChar w:fldCharType="end"/>
      </w:r>
    </w:p>
    <w:p w:rsidR="00000000" w:rsidRPr="0046267C" w:rsidP="0046267C"/>
    <w:sectPr w:rsidSect="004626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C" w:rsidRPr="005572E0" w:rsidP="00557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E0" w:rsidP="00462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2E0" w:rsidP="004626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572E0" w:rsidP="004626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67C" w:rsidRPr="005572E0" w:rsidP="00557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2E0" w:rsidRPr="002D2AF8" w:rsidP="0046267C">
    <w:pPr>
      <w:pStyle w:val="Header"/>
      <w:framePr w:wrap="around"/>
    </w:pPr>
    <w:r>
      <w:fldChar w:fldCharType="begin"/>
    </w:r>
    <w:r>
      <w:instrText xml:space="preserve"> TITLE   \* MERGEFORMAT </w:instrText>
    </w:r>
    <w:r>
      <w:fldChar w:fldCharType="separate"/>
    </w:r>
    <w:r>
      <w:t>Assessment Requirements for FNSTPB507 Apply legal principles in commercial law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5572E0" w:rsidP="004626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C5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961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244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67C"/>
    <w:pPr>
      <w:spacing w:before="360" w:after="60"/>
      <w:outlineLvl w:val="0"/>
    </w:pPr>
    <w:rPr>
      <w:sz w:val="32"/>
    </w:rPr>
  </w:style>
  <w:style w:type="paragraph" w:styleId="Heading2">
    <w:name w:val="heading 2"/>
    <w:basedOn w:val="HeadingBase"/>
    <w:next w:val="BodyText"/>
    <w:link w:val="Heading2Char"/>
    <w:qFormat/>
    <w:rsid w:val="0046267C"/>
    <w:pPr>
      <w:keepLines/>
      <w:spacing w:before="240" w:after="120"/>
      <w:outlineLvl w:val="1"/>
    </w:pPr>
    <w:rPr>
      <w:sz w:val="28"/>
      <w:szCs w:val="40"/>
    </w:rPr>
  </w:style>
  <w:style w:type="paragraph" w:styleId="Heading3">
    <w:name w:val="heading 3"/>
    <w:basedOn w:val="HeadingBase"/>
    <w:next w:val="BodyText"/>
    <w:link w:val="Heading3Char"/>
    <w:qFormat/>
    <w:rsid w:val="0046267C"/>
    <w:pPr>
      <w:spacing w:before="180" w:after="120"/>
      <w:outlineLvl w:val="2"/>
    </w:pPr>
    <w:rPr>
      <w:spacing w:val="-10"/>
      <w:kern w:val="32"/>
    </w:rPr>
  </w:style>
  <w:style w:type="paragraph" w:styleId="Heading4">
    <w:name w:val="heading 4"/>
    <w:basedOn w:val="HeadingBase"/>
    <w:next w:val="BodyText"/>
    <w:link w:val="Heading4Char"/>
    <w:qFormat/>
    <w:rsid w:val="0046267C"/>
    <w:pPr>
      <w:spacing w:before="160" w:after="120"/>
      <w:outlineLvl w:val="3"/>
    </w:pPr>
    <w:rPr>
      <w:sz w:val="22"/>
    </w:rPr>
  </w:style>
  <w:style w:type="paragraph" w:styleId="Heading5">
    <w:name w:val="heading 5"/>
    <w:basedOn w:val="HeadingBase"/>
    <w:next w:val="Normal"/>
    <w:link w:val="Heading5Char"/>
    <w:qFormat/>
    <w:rsid w:val="0046267C"/>
    <w:pPr>
      <w:spacing w:before="80"/>
      <w:outlineLvl w:val="4"/>
    </w:pPr>
    <w:rPr>
      <w:color w:val="918585"/>
      <w:sz w:val="20"/>
    </w:rPr>
  </w:style>
  <w:style w:type="paragraph" w:styleId="Heading6">
    <w:name w:val="heading 6"/>
    <w:basedOn w:val="HeadingBase"/>
    <w:next w:val="Normal"/>
    <w:link w:val="Heading6Char"/>
    <w:qFormat/>
    <w:rsid w:val="0046267C"/>
    <w:pPr>
      <w:spacing w:before="60"/>
      <w:outlineLvl w:val="5"/>
    </w:pPr>
    <w:rPr>
      <w:color w:val="918585"/>
      <w:sz w:val="20"/>
    </w:rPr>
  </w:style>
  <w:style w:type="paragraph" w:styleId="Heading7">
    <w:name w:val="heading 7"/>
    <w:basedOn w:val="Normal"/>
    <w:next w:val="Normal"/>
    <w:link w:val="Heading7Char"/>
    <w:qFormat/>
    <w:rsid w:val="0046267C"/>
    <w:pPr>
      <w:ind w:left="720"/>
      <w:outlineLvl w:val="6"/>
    </w:pPr>
    <w:rPr>
      <w:i/>
    </w:rPr>
  </w:style>
  <w:style w:type="paragraph" w:styleId="Heading8">
    <w:name w:val="heading 8"/>
    <w:basedOn w:val="Normal"/>
    <w:next w:val="Normal"/>
    <w:link w:val="Heading8Char"/>
    <w:qFormat/>
    <w:rsid w:val="0046267C"/>
    <w:pPr>
      <w:ind w:left="720"/>
      <w:outlineLvl w:val="7"/>
    </w:pPr>
    <w:rPr>
      <w:i/>
    </w:rPr>
  </w:style>
  <w:style w:type="paragraph" w:styleId="Heading9">
    <w:name w:val="heading 9"/>
    <w:basedOn w:val="Normal"/>
    <w:next w:val="Normal"/>
    <w:link w:val="Heading9Char"/>
    <w:qFormat/>
    <w:rsid w:val="0046267C"/>
    <w:pPr>
      <w:ind w:left="720"/>
      <w:outlineLvl w:val="8"/>
    </w:pPr>
    <w:rPr>
      <w:i/>
    </w:rPr>
  </w:style>
  <w:style w:type="character" w:default="1" w:styleId="DefaultParagraphFont">
    <w:name w:val="Default Paragraph Font"/>
    <w:uiPriority w:val="1"/>
    <w:unhideWhenUsed/>
    <w:rsid w:val="00462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67C"/>
  </w:style>
  <w:style w:type="character" w:customStyle="1" w:styleId="Heading1Char">
    <w:name w:val="Heading 1 Char"/>
    <w:basedOn w:val="DefaultParagraphFont"/>
    <w:link w:val="Heading1"/>
    <w:rsid w:val="0046267C"/>
    <w:rPr>
      <w:rFonts w:ascii="Times New Roman" w:eastAsia="Times New Roman" w:hAnsi="Times New Roman" w:cs="Times New Roman"/>
      <w:b/>
      <w:sz w:val="32"/>
      <w:szCs w:val="20"/>
      <w:lang w:eastAsia="en-US"/>
    </w:rPr>
  </w:style>
  <w:style w:type="paragraph" w:styleId="BodyText">
    <w:name w:val="Body Text"/>
    <w:basedOn w:val="Normal"/>
    <w:link w:val="BodyTextChar"/>
    <w:rsid w:val="004626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67C"/>
    <w:rPr>
      <w:rFonts w:ascii="Times New Roman" w:eastAsia="Times New Roman" w:hAnsi="Times New Roman" w:cs="Times New Roman"/>
      <w:sz w:val="24"/>
      <w:lang w:eastAsia="en-US"/>
    </w:rPr>
  </w:style>
  <w:style w:type="paragraph" w:styleId="ListBullet">
    <w:name w:val="List Bullet"/>
    <w:basedOn w:val="List"/>
    <w:rsid w:val="0046267C"/>
    <w:pPr>
      <w:numPr>
        <w:numId w:val="12"/>
      </w:numPr>
      <w:tabs>
        <w:tab w:val="clear" w:pos="340"/>
      </w:tabs>
      <w:spacing w:before="40" w:after="40"/>
    </w:pPr>
  </w:style>
  <w:style w:type="character" w:customStyle="1" w:styleId="SpecialBold">
    <w:name w:val="Special Bold"/>
    <w:basedOn w:val="DefaultParagraphFont"/>
    <w:rsid w:val="0046267C"/>
    <w:rPr>
      <w:b/>
      <w:spacing w:val="0"/>
    </w:rPr>
  </w:style>
  <w:style w:type="paragraph" w:styleId="ListBullet2">
    <w:name w:val="List Bullet 2"/>
    <w:basedOn w:val="List2"/>
    <w:rsid w:val="0046267C"/>
    <w:pPr>
      <w:numPr>
        <w:numId w:val="13"/>
      </w:numPr>
      <w:tabs>
        <w:tab w:val="clear" w:pos="680"/>
      </w:tabs>
    </w:pPr>
  </w:style>
  <w:style w:type="paragraph" w:customStyle="1" w:styleId="SuperHeading">
    <w:name w:val="SuperHeading"/>
    <w:basedOn w:val="Normal"/>
    <w:rsid w:val="0046267C"/>
    <w:pPr>
      <w:spacing w:before="240" w:after="120"/>
      <w:outlineLvl w:val="0"/>
    </w:pPr>
    <w:rPr>
      <w:rFonts w:ascii="Times New Roman" w:hAnsi="Times New Roman"/>
      <w:b/>
      <w:sz w:val="32"/>
    </w:rPr>
  </w:style>
  <w:style w:type="paragraph" w:customStyle="1" w:styleId="AllowPageBreak">
    <w:name w:val="AllowPageBreak"/>
    <w:rsid w:val="004626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6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6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67C"/>
    <w:rPr>
      <w:rFonts w:ascii="Courier New" w:eastAsia="Times New Roman" w:hAnsi="Courier New" w:cs="Times New Roman"/>
      <w:i/>
      <w:szCs w:val="20"/>
      <w:lang w:eastAsia="en-US"/>
    </w:rPr>
  </w:style>
  <w:style w:type="paragraph" w:customStyle="1" w:styleId="HeadingBase">
    <w:name w:val="Heading Base"/>
    <w:rsid w:val="00462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67C"/>
    <w:pPr>
      <w:tabs>
        <w:tab w:val="right" w:leader="dot" w:pos="9072"/>
      </w:tabs>
      <w:ind w:left="567"/>
    </w:pPr>
    <w:rPr>
      <w:szCs w:val="22"/>
    </w:rPr>
  </w:style>
  <w:style w:type="paragraph" w:customStyle="1" w:styleId="TOCBase">
    <w:name w:val="TOC Base"/>
    <w:rsid w:val="00462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67C"/>
    <w:pPr>
      <w:tabs>
        <w:tab w:val="right" w:leader="dot" w:pos="9072"/>
      </w:tabs>
      <w:spacing w:before="40" w:after="40"/>
      <w:ind w:left="284"/>
    </w:pPr>
    <w:rPr>
      <w:rFonts w:ascii="Times New Roman" w:hAnsi="Times New Roman"/>
    </w:rPr>
  </w:style>
  <w:style w:type="paragraph" w:styleId="TOC1">
    <w:name w:val="toc 1"/>
    <w:basedOn w:val="TOCBase"/>
    <w:next w:val="Normal"/>
    <w:rsid w:val="004626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67C"/>
    <w:rPr>
      <w:rFonts w:ascii="Times New Roman" w:eastAsia="Times New Roman" w:hAnsi="Times New Roman" w:cs="Times New Roman"/>
      <w:sz w:val="16"/>
      <w:lang w:eastAsia="en-US"/>
    </w:rPr>
  </w:style>
  <w:style w:type="paragraph" w:styleId="Title">
    <w:name w:val="Title"/>
    <w:basedOn w:val="HeadingBase"/>
    <w:link w:val="TitleChar"/>
    <w:qFormat/>
    <w:rsid w:val="0046267C"/>
    <w:pPr>
      <w:spacing w:before="5040"/>
      <w:jc w:val="center"/>
    </w:pPr>
    <w:rPr>
      <w:sz w:val="48"/>
      <w:szCs w:val="72"/>
      <w:lang w:val="en-US"/>
    </w:rPr>
  </w:style>
  <w:style w:type="character" w:customStyle="1" w:styleId="TitleChar">
    <w:name w:val="Title Char"/>
    <w:basedOn w:val="DefaultParagraphFont"/>
    <w:link w:val="Title"/>
    <w:rsid w:val="00462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67C"/>
    <w:pPr>
      <w:tabs>
        <w:tab w:val="left" w:pos="3600"/>
        <w:tab w:val="left" w:pos="3958"/>
      </w:tabs>
    </w:pPr>
  </w:style>
  <w:style w:type="paragraph" w:styleId="List">
    <w:name w:val="List"/>
    <w:basedOn w:val="BodyText"/>
    <w:next w:val="BodyText"/>
    <w:rsid w:val="0046267C"/>
    <w:pPr>
      <w:tabs>
        <w:tab w:val="left" w:pos="340"/>
      </w:tabs>
      <w:spacing w:before="60" w:after="60"/>
      <w:ind w:left="340" w:hanging="340"/>
    </w:pPr>
  </w:style>
  <w:style w:type="paragraph" w:customStyle="1" w:styleId="Note">
    <w:name w:val="Note"/>
    <w:basedOn w:val="BodyText"/>
    <w:rsid w:val="00462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67C"/>
    <w:pPr>
      <w:framePr w:wrap="auto" w:hAnchor="text" w:y="6049"/>
    </w:pPr>
    <w:rPr>
      <w:color w:val="000000"/>
      <w:sz w:val="40"/>
    </w:rPr>
  </w:style>
  <w:style w:type="paragraph" w:customStyle="1" w:styleId="TOCTitle">
    <w:name w:val="TOCTitle"/>
    <w:basedOn w:val="Heading1"/>
    <w:rsid w:val="0046267C"/>
    <w:pPr>
      <w:spacing w:after="240"/>
      <w:jc w:val="center"/>
      <w:outlineLvl w:val="9"/>
    </w:pPr>
    <w:rPr>
      <w:caps/>
    </w:rPr>
  </w:style>
  <w:style w:type="paragraph" w:customStyle="1" w:styleId="Version">
    <w:name w:val="Version"/>
    <w:rsid w:val="004626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67C"/>
    <w:pPr>
      <w:keepNext w:val="0"/>
      <w:tabs>
        <w:tab w:val="right" w:pos="4176"/>
      </w:tabs>
      <w:ind w:left="198" w:hanging="198"/>
    </w:pPr>
    <w:rPr>
      <w:rFonts w:ascii="Garamond" w:hAnsi="Garamond"/>
    </w:rPr>
  </w:style>
  <w:style w:type="paragraph" w:styleId="IndexHeading">
    <w:name w:val="index heading"/>
    <w:basedOn w:val="Normal"/>
    <w:next w:val="Index1"/>
    <w:semiHidden/>
    <w:rsid w:val="0046267C"/>
    <w:pPr>
      <w:spacing w:before="120" w:after="120"/>
    </w:pPr>
    <w:rPr>
      <w:rFonts w:ascii="Arial" w:hAnsi="Arial"/>
      <w:b/>
      <w:color w:val="918585"/>
      <w:sz w:val="24"/>
    </w:rPr>
  </w:style>
  <w:style w:type="paragraph" w:styleId="Header">
    <w:name w:val="header"/>
    <w:basedOn w:val="Normal"/>
    <w:link w:val="HeaderChar"/>
    <w:rsid w:val="00462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67C"/>
    <w:rPr>
      <w:rFonts w:ascii="Times New Roman" w:eastAsia="Times New Roman" w:hAnsi="Times New Roman" w:cs="Times New Roman"/>
      <w:sz w:val="16"/>
      <w:szCs w:val="20"/>
      <w:lang w:val="en-GB" w:eastAsia="en-US"/>
    </w:rPr>
  </w:style>
  <w:style w:type="paragraph" w:customStyle="1" w:styleId="Chapter">
    <w:name w:val="Chapter"/>
    <w:basedOn w:val="Normal"/>
    <w:rsid w:val="0046267C"/>
    <w:pPr>
      <w:spacing w:before="240"/>
    </w:pPr>
    <w:rPr>
      <w:rFonts w:ascii="Times New Roman" w:hAnsi="Times New Roman"/>
      <w:smallCaps/>
      <w:spacing w:val="80"/>
      <w:sz w:val="28"/>
    </w:rPr>
  </w:style>
  <w:style w:type="paragraph" w:customStyle="1" w:styleId="InChapter">
    <w:name w:val="InChapter"/>
    <w:basedOn w:val="Heading3"/>
    <w:rsid w:val="0046267C"/>
    <w:pPr>
      <w:spacing w:after="240"/>
      <w:outlineLvl w:val="9"/>
    </w:pPr>
    <w:rPr>
      <w:noProof/>
    </w:rPr>
  </w:style>
  <w:style w:type="paragraph" w:styleId="Index2">
    <w:name w:val="index 2"/>
    <w:basedOn w:val="Normal"/>
    <w:next w:val="Normal"/>
    <w:semiHidden/>
    <w:rsid w:val="0046267C"/>
    <w:pPr>
      <w:tabs>
        <w:tab w:val="right" w:pos="4176"/>
      </w:tabs>
      <w:ind w:left="568" w:hanging="284"/>
    </w:pPr>
    <w:rPr>
      <w:rFonts w:ascii="Garamond" w:hAnsi="Garamond"/>
    </w:rPr>
  </w:style>
  <w:style w:type="paragraph" w:customStyle="1" w:styleId="Byline">
    <w:name w:val="Byline"/>
    <w:rsid w:val="00462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67C"/>
    <w:pPr>
      <w:tabs>
        <w:tab w:val="clear" w:pos="3600"/>
        <w:tab w:val="clear" w:pos="3958"/>
      </w:tabs>
      <w:jc w:val="right"/>
    </w:pPr>
  </w:style>
  <w:style w:type="character" w:styleId="Emphasis">
    <w:name w:val="Emphasis"/>
    <w:basedOn w:val="DefaultParagraphFont"/>
    <w:qFormat/>
    <w:rsid w:val="0046267C"/>
    <w:rPr>
      <w:i/>
    </w:rPr>
  </w:style>
  <w:style w:type="paragraph" w:styleId="Caption">
    <w:name w:val="caption"/>
    <w:basedOn w:val="BodyText"/>
    <w:next w:val="Normal"/>
    <w:qFormat/>
    <w:rsid w:val="0046267C"/>
    <w:pPr>
      <w:framePr w:w="2268" w:hSpace="181" w:vSpace="181" w:wrap="around" w:vAnchor="text" w:hAnchor="page" w:x="1135" w:y="285" w:anchorLock="1"/>
    </w:pPr>
    <w:rPr>
      <w:i/>
    </w:rPr>
  </w:style>
  <w:style w:type="paragraph" w:customStyle="1" w:styleId="MiniTOCTitle">
    <w:name w:val="MiniTOCTitle"/>
    <w:basedOn w:val="Heading4"/>
    <w:rsid w:val="0046267C"/>
    <w:pPr>
      <w:spacing w:before="240"/>
      <w:outlineLvl w:val="9"/>
    </w:pPr>
    <w:rPr>
      <w:noProof/>
      <w:sz w:val="24"/>
    </w:rPr>
  </w:style>
  <w:style w:type="paragraph" w:customStyle="1" w:styleId="MiniTOCItem">
    <w:name w:val="MiniTOCItem"/>
    <w:basedOn w:val="ListBullet"/>
    <w:rsid w:val="0046267C"/>
    <w:pPr>
      <w:numPr>
        <w:numId w:val="0"/>
      </w:numPr>
      <w:tabs>
        <w:tab w:val="right" w:leader="dot" w:pos="6521"/>
      </w:tabs>
      <w:spacing w:before="0" w:after="0"/>
    </w:pPr>
  </w:style>
  <w:style w:type="paragraph" w:customStyle="1" w:styleId="TOFTitle">
    <w:name w:val="TOFTitle"/>
    <w:basedOn w:val="TOCTitle"/>
    <w:rsid w:val="0046267C"/>
  </w:style>
  <w:style w:type="paragraph" w:styleId="TableofFigures">
    <w:name w:val="table of figures"/>
    <w:basedOn w:val="Normal"/>
    <w:next w:val="Normal"/>
    <w:semiHidden/>
    <w:rsid w:val="0046267C"/>
    <w:pPr>
      <w:tabs>
        <w:tab w:val="right" w:leader="dot" w:pos="9072"/>
      </w:tabs>
      <w:ind w:left="970" w:hanging="403"/>
    </w:pPr>
    <w:rPr>
      <w:rFonts w:ascii="Times New Roman" w:hAnsi="Times New Roman"/>
      <w:b/>
    </w:rPr>
  </w:style>
  <w:style w:type="paragraph" w:styleId="ListNumber">
    <w:name w:val="List Number"/>
    <w:basedOn w:val="List"/>
    <w:rsid w:val="0046267C"/>
    <w:pPr>
      <w:numPr>
        <w:numId w:val="15"/>
      </w:numPr>
      <w:tabs>
        <w:tab w:val="clear" w:pos="340"/>
      </w:tabs>
    </w:pPr>
  </w:style>
  <w:style w:type="character" w:customStyle="1" w:styleId="WingdingSymbols">
    <w:name w:val="Wingding Symbols"/>
    <w:rsid w:val="0046267C"/>
    <w:rPr>
      <w:rFonts w:ascii="Wingdings" w:hAnsi="Wingdings"/>
    </w:rPr>
  </w:style>
  <w:style w:type="paragraph" w:customStyle="1" w:styleId="TableHeading">
    <w:name w:val="Table Heading"/>
    <w:basedOn w:val="HeadingBase"/>
    <w:rsid w:val="0046267C"/>
    <w:pPr>
      <w:keepLines/>
      <w:pBdr>
        <w:bottom w:val="single" w:sz="6" w:space="1" w:color="918585"/>
      </w:pBdr>
      <w:spacing w:before="240"/>
    </w:pPr>
  </w:style>
  <w:style w:type="character" w:customStyle="1" w:styleId="HotSpot">
    <w:name w:val="HotSpot"/>
    <w:rsid w:val="0046267C"/>
    <w:rPr>
      <w:color w:val="0033CC"/>
      <w:u w:val="none"/>
    </w:rPr>
  </w:style>
  <w:style w:type="paragraph" w:customStyle="1" w:styleId="BodyTextRight">
    <w:name w:val="Body Text Right"/>
    <w:basedOn w:val="BodyText"/>
    <w:rsid w:val="0046267C"/>
    <w:pPr>
      <w:spacing w:before="0" w:after="0"/>
      <w:jc w:val="right"/>
    </w:pPr>
  </w:style>
  <w:style w:type="paragraph" w:styleId="Index3">
    <w:name w:val="index 3"/>
    <w:basedOn w:val="ListNumber2"/>
    <w:next w:val="Normal"/>
    <w:semiHidden/>
    <w:rsid w:val="0046267C"/>
    <w:pPr>
      <w:numPr>
        <w:numId w:val="0"/>
      </w:numPr>
      <w:tabs>
        <w:tab w:val="right" w:leader="dot" w:pos="4176"/>
      </w:tabs>
    </w:pPr>
  </w:style>
  <w:style w:type="paragraph" w:styleId="ListNumber2">
    <w:name w:val="List Number 2"/>
    <w:basedOn w:val="List2"/>
    <w:rsid w:val="0046267C"/>
    <w:pPr>
      <w:numPr>
        <w:numId w:val="10"/>
      </w:numPr>
      <w:tabs>
        <w:tab w:val="clear" w:pos="1060"/>
      </w:tabs>
    </w:pPr>
  </w:style>
  <w:style w:type="paragraph" w:customStyle="1" w:styleId="MarginNote">
    <w:name w:val="Margin Note"/>
    <w:basedOn w:val="BodyText"/>
    <w:rsid w:val="00462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6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67C"/>
    <w:rPr>
      <w:sz w:val="32"/>
    </w:rPr>
  </w:style>
  <w:style w:type="paragraph" w:customStyle="1" w:styleId="HeadingProcedure">
    <w:name w:val="Heading Procedure"/>
    <w:basedOn w:val="HeadingBase"/>
    <w:next w:val="Normal"/>
    <w:rsid w:val="0046267C"/>
    <w:pPr>
      <w:tabs>
        <w:tab w:val="left" w:pos="0"/>
      </w:tabs>
      <w:spacing w:before="120" w:after="60"/>
    </w:pPr>
    <w:rPr>
      <w:i/>
      <w:color w:val="918585"/>
      <w:sz w:val="22"/>
    </w:rPr>
  </w:style>
  <w:style w:type="paragraph" w:customStyle="1" w:styleId="TableBodyText">
    <w:name w:val="Table Body Text"/>
    <w:basedOn w:val="BodyText"/>
    <w:rsid w:val="0046267C"/>
    <w:pPr>
      <w:spacing w:before="60" w:after="60"/>
    </w:pPr>
  </w:style>
  <w:style w:type="paragraph" w:styleId="ListContinue">
    <w:name w:val="List Continue"/>
    <w:basedOn w:val="List"/>
    <w:rsid w:val="0046267C"/>
    <w:pPr>
      <w:ind w:firstLine="0"/>
    </w:pPr>
  </w:style>
  <w:style w:type="paragraph" w:customStyle="1" w:styleId="ListNote">
    <w:name w:val="List Note"/>
    <w:basedOn w:val="List"/>
    <w:rsid w:val="0046267C"/>
    <w:pPr>
      <w:pBdr>
        <w:top w:val="single" w:sz="6" w:space="2" w:color="918585"/>
        <w:bottom w:val="single" w:sz="6" w:space="2" w:color="918585"/>
      </w:pBdr>
      <w:tabs>
        <w:tab w:val="left" w:pos="1021"/>
      </w:tabs>
      <w:ind w:firstLine="0"/>
    </w:pPr>
  </w:style>
  <w:style w:type="paragraph" w:customStyle="1" w:styleId="Warning">
    <w:name w:val="Warning"/>
    <w:basedOn w:val="BodyText"/>
    <w:rsid w:val="0046267C"/>
    <w:pPr>
      <w:shd w:val="clear" w:color="auto" w:fill="D9D9D9"/>
      <w:tabs>
        <w:tab w:val="left" w:pos="992"/>
      </w:tabs>
      <w:ind w:left="119" w:right="119"/>
    </w:pPr>
    <w:rPr>
      <w:sz w:val="20"/>
    </w:rPr>
  </w:style>
  <w:style w:type="paragraph" w:customStyle="1" w:styleId="MarginIcons">
    <w:name w:val="Margin Icons"/>
    <w:basedOn w:val="BodyText"/>
    <w:rsid w:val="00462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67C"/>
    <w:rPr>
      <w:rFonts w:ascii="Courier New" w:hAnsi="Courier New"/>
    </w:rPr>
  </w:style>
  <w:style w:type="paragraph" w:customStyle="1" w:styleId="NoteBullet">
    <w:name w:val="Note Bullet"/>
    <w:basedOn w:val="Note"/>
    <w:rsid w:val="0046267C"/>
    <w:pPr>
      <w:tabs>
        <w:tab w:val="clear" w:pos="680"/>
      </w:tabs>
      <w:spacing w:before="60" w:after="60"/>
    </w:pPr>
  </w:style>
  <w:style w:type="paragraph" w:customStyle="1" w:styleId="SubHeading2">
    <w:name w:val="SubHeading2"/>
    <w:basedOn w:val="HeadingBase"/>
    <w:rsid w:val="0046267C"/>
    <w:pPr>
      <w:spacing w:before="240" w:after="60"/>
    </w:pPr>
    <w:rPr>
      <w:sz w:val="20"/>
    </w:rPr>
  </w:style>
  <w:style w:type="paragraph" w:customStyle="1" w:styleId="SubHeading1">
    <w:name w:val="SubHeading1"/>
    <w:basedOn w:val="HeadingBase"/>
    <w:rsid w:val="0046267C"/>
    <w:pPr>
      <w:spacing w:before="240" w:after="60"/>
    </w:pPr>
    <w:rPr>
      <w:color w:val="918585"/>
      <w:sz w:val="22"/>
    </w:rPr>
  </w:style>
  <w:style w:type="paragraph" w:customStyle="1" w:styleId="SideHeading">
    <w:name w:val="Side Heading"/>
    <w:basedOn w:val="HeadingBase"/>
    <w:rsid w:val="00462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67C"/>
    <w:pPr>
      <w:tabs>
        <w:tab w:val="num" w:pos="360"/>
      </w:tabs>
    </w:pPr>
  </w:style>
  <w:style w:type="paragraph" w:styleId="PlainText">
    <w:name w:val="Plain Text"/>
    <w:basedOn w:val="Normal"/>
    <w:link w:val="PlainTextChar"/>
    <w:rsid w:val="0046267C"/>
    <w:rPr>
      <w:sz w:val="20"/>
    </w:rPr>
  </w:style>
  <w:style w:type="character" w:customStyle="1" w:styleId="PlainTextChar">
    <w:name w:val="Plain Text Char"/>
    <w:basedOn w:val="DefaultParagraphFont"/>
    <w:link w:val="PlainText"/>
    <w:rsid w:val="0046267C"/>
    <w:rPr>
      <w:rFonts w:ascii="Courier New" w:eastAsia="Times New Roman" w:hAnsi="Courier New" w:cs="Times New Roman"/>
      <w:sz w:val="20"/>
      <w:szCs w:val="20"/>
      <w:lang w:eastAsia="en-US"/>
    </w:rPr>
  </w:style>
  <w:style w:type="character" w:customStyle="1" w:styleId="MenuOption">
    <w:name w:val="Menu Option"/>
    <w:basedOn w:val="DefaultParagraphFont"/>
    <w:rsid w:val="0046267C"/>
    <w:rPr>
      <w:b/>
      <w:smallCaps/>
    </w:rPr>
  </w:style>
  <w:style w:type="paragraph" w:customStyle="1" w:styleId="TableListNumber">
    <w:name w:val="Table List Number"/>
    <w:basedOn w:val="ListNumber"/>
    <w:rsid w:val="0046267C"/>
    <w:pPr>
      <w:numPr>
        <w:numId w:val="0"/>
      </w:numPr>
    </w:pPr>
  </w:style>
  <w:style w:type="paragraph" w:styleId="TOC4">
    <w:name w:val="toc 4"/>
    <w:basedOn w:val="TOCBase"/>
    <w:next w:val="Normal"/>
    <w:semiHidden/>
    <w:rsid w:val="0046267C"/>
    <w:pPr>
      <w:tabs>
        <w:tab w:val="right" w:leader="dot" w:pos="9071"/>
      </w:tabs>
      <w:ind w:left="1701"/>
    </w:pPr>
  </w:style>
  <w:style w:type="paragraph" w:customStyle="1" w:styleId="ListAlpha">
    <w:name w:val="List Alpha"/>
    <w:basedOn w:val="List"/>
    <w:rsid w:val="0046267C"/>
    <w:pPr>
      <w:numPr>
        <w:numId w:val="9"/>
      </w:numPr>
    </w:pPr>
  </w:style>
  <w:style w:type="paragraph" w:customStyle="1" w:styleId="ListAlpha2">
    <w:name w:val="List Alpha 2"/>
    <w:basedOn w:val="List2"/>
    <w:rsid w:val="0046267C"/>
    <w:pPr>
      <w:numPr>
        <w:numId w:val="8"/>
      </w:numPr>
    </w:pPr>
  </w:style>
  <w:style w:type="paragraph" w:styleId="List2">
    <w:name w:val="List 2"/>
    <w:basedOn w:val="BodyText"/>
    <w:rsid w:val="0046267C"/>
    <w:pPr>
      <w:tabs>
        <w:tab w:val="left" w:pos="680"/>
      </w:tabs>
      <w:spacing w:before="60" w:after="60"/>
      <w:ind w:left="680" w:hanging="340"/>
    </w:pPr>
  </w:style>
  <w:style w:type="paragraph" w:styleId="List3">
    <w:name w:val="List 3"/>
    <w:basedOn w:val="BodyText"/>
    <w:rsid w:val="0046267C"/>
    <w:pPr>
      <w:tabs>
        <w:tab w:val="left" w:pos="1021"/>
      </w:tabs>
      <w:spacing w:before="60" w:after="60"/>
      <w:ind w:left="1020" w:hanging="340"/>
    </w:pPr>
  </w:style>
  <w:style w:type="paragraph" w:styleId="List4">
    <w:name w:val="List 4"/>
    <w:basedOn w:val="BodyText"/>
    <w:rsid w:val="0046267C"/>
    <w:pPr>
      <w:tabs>
        <w:tab w:val="left" w:pos="1361"/>
      </w:tabs>
      <w:spacing w:before="60" w:after="60"/>
      <w:ind w:left="1361" w:hanging="340"/>
    </w:pPr>
  </w:style>
  <w:style w:type="paragraph" w:styleId="List5">
    <w:name w:val="List 5"/>
    <w:basedOn w:val="BodyText"/>
    <w:rsid w:val="0046267C"/>
    <w:pPr>
      <w:tabs>
        <w:tab w:val="left" w:pos="1701"/>
      </w:tabs>
      <w:spacing w:before="60" w:after="60"/>
      <w:ind w:left="1701" w:hanging="340"/>
    </w:pPr>
  </w:style>
  <w:style w:type="paragraph" w:styleId="ListBullet3">
    <w:name w:val="List Bullet 3"/>
    <w:basedOn w:val="List3"/>
    <w:rsid w:val="0046267C"/>
    <w:pPr>
      <w:numPr>
        <w:numId w:val="14"/>
      </w:numPr>
      <w:tabs>
        <w:tab w:val="clear" w:pos="1021"/>
      </w:tabs>
      <w:ind w:left="1037" w:hanging="357"/>
    </w:pPr>
  </w:style>
  <w:style w:type="paragraph" w:styleId="ListBullet4">
    <w:name w:val="List Bullet 4"/>
    <w:basedOn w:val="List4"/>
    <w:rsid w:val="0046267C"/>
    <w:pPr>
      <w:numPr>
        <w:numId w:val="3"/>
      </w:numPr>
      <w:tabs>
        <w:tab w:val="clear" w:pos="1361"/>
      </w:tabs>
    </w:pPr>
  </w:style>
  <w:style w:type="paragraph" w:styleId="ListBullet5">
    <w:name w:val="List Bullet 5"/>
    <w:basedOn w:val="List5"/>
    <w:rsid w:val="0046267C"/>
    <w:pPr>
      <w:numPr>
        <w:numId w:val="4"/>
      </w:numPr>
    </w:pPr>
  </w:style>
  <w:style w:type="paragraph" w:styleId="ListContinue2">
    <w:name w:val="List Continue 2"/>
    <w:basedOn w:val="List2"/>
    <w:rsid w:val="0046267C"/>
    <w:pPr>
      <w:ind w:firstLine="0"/>
    </w:pPr>
  </w:style>
  <w:style w:type="paragraph" w:styleId="ListContinue3">
    <w:name w:val="List Continue 3"/>
    <w:basedOn w:val="List3"/>
    <w:rsid w:val="0046267C"/>
    <w:pPr>
      <w:ind w:left="1021" w:firstLine="0"/>
    </w:pPr>
  </w:style>
  <w:style w:type="paragraph" w:styleId="ListContinue4">
    <w:name w:val="List Continue 4"/>
    <w:basedOn w:val="List4"/>
    <w:rsid w:val="0046267C"/>
    <w:pPr>
      <w:ind w:firstLine="0"/>
    </w:pPr>
  </w:style>
  <w:style w:type="paragraph" w:styleId="ListContinue5">
    <w:name w:val="List Continue 5"/>
    <w:basedOn w:val="List5"/>
    <w:rsid w:val="0046267C"/>
    <w:pPr>
      <w:ind w:firstLine="0"/>
    </w:pPr>
  </w:style>
  <w:style w:type="paragraph" w:styleId="ListNumber3">
    <w:name w:val="List Number 3"/>
    <w:basedOn w:val="List3"/>
    <w:rsid w:val="0046267C"/>
    <w:pPr>
      <w:numPr>
        <w:numId w:val="5"/>
      </w:numPr>
    </w:pPr>
  </w:style>
  <w:style w:type="paragraph" w:styleId="ListNumber4">
    <w:name w:val="List Number 4"/>
    <w:basedOn w:val="List4"/>
    <w:rsid w:val="0046267C"/>
    <w:pPr>
      <w:numPr>
        <w:numId w:val="6"/>
      </w:numPr>
    </w:pPr>
  </w:style>
  <w:style w:type="paragraph" w:styleId="ListNumber5">
    <w:name w:val="List Number 5"/>
    <w:basedOn w:val="List5"/>
    <w:rsid w:val="0046267C"/>
    <w:pPr>
      <w:numPr>
        <w:numId w:val="7"/>
      </w:numPr>
    </w:pPr>
  </w:style>
  <w:style w:type="paragraph" w:styleId="BlockText">
    <w:name w:val="Block Text"/>
    <w:basedOn w:val="Normal"/>
    <w:rsid w:val="0046267C"/>
    <w:pPr>
      <w:spacing w:after="120"/>
      <w:ind w:left="1440" w:right="1440"/>
    </w:pPr>
  </w:style>
  <w:style w:type="character" w:customStyle="1" w:styleId="Subscript">
    <w:name w:val="Subscript"/>
    <w:basedOn w:val="DefaultParagraphFont"/>
    <w:rsid w:val="0046267C"/>
    <w:rPr>
      <w:sz w:val="16"/>
      <w:vertAlign w:val="subscript"/>
    </w:rPr>
  </w:style>
  <w:style w:type="character" w:customStyle="1" w:styleId="Superscript">
    <w:name w:val="Superscript"/>
    <w:basedOn w:val="DefaultParagraphFont"/>
    <w:rsid w:val="0046267C"/>
    <w:rPr>
      <w:sz w:val="16"/>
      <w:vertAlign w:val="superscript"/>
    </w:rPr>
  </w:style>
  <w:style w:type="character" w:customStyle="1" w:styleId="Symbols">
    <w:name w:val="Symbols"/>
    <w:basedOn w:val="DefaultParagraphFont"/>
    <w:rsid w:val="0046267C"/>
    <w:rPr>
      <w:rFonts w:ascii="Symbol" w:hAnsi="Symbol"/>
    </w:rPr>
  </w:style>
  <w:style w:type="character" w:customStyle="1" w:styleId="MenuOptions">
    <w:name w:val="Menu Options"/>
    <w:basedOn w:val="DefaultParagraphFont"/>
    <w:rsid w:val="0046267C"/>
    <w:rPr>
      <w:rFonts w:ascii="Arial Narrow" w:hAnsi="Arial Narrow"/>
      <w:smallCaps/>
    </w:rPr>
  </w:style>
  <w:style w:type="character" w:customStyle="1" w:styleId="Buttons">
    <w:name w:val="Buttons"/>
    <w:basedOn w:val="DefaultParagraphFont"/>
    <w:rsid w:val="0046267C"/>
    <w:rPr>
      <w:b/>
    </w:rPr>
  </w:style>
  <w:style w:type="character" w:customStyle="1" w:styleId="Underlined">
    <w:name w:val="Underlined"/>
    <w:basedOn w:val="DefaultParagraphFont"/>
    <w:rsid w:val="0046267C"/>
    <w:rPr>
      <w:u w:val="single"/>
    </w:rPr>
  </w:style>
  <w:style w:type="paragraph" w:customStyle="1" w:styleId="TableBodyTextRight">
    <w:name w:val="Table Body Text Right"/>
    <w:basedOn w:val="TableBodyText"/>
    <w:rsid w:val="0046267C"/>
    <w:pPr>
      <w:widowControl w:val="0"/>
      <w:autoSpaceDE w:val="0"/>
      <w:autoSpaceDN w:val="0"/>
      <w:adjustRightInd w:val="0"/>
      <w:jc w:val="right"/>
    </w:pPr>
    <w:rPr>
      <w:rFonts w:cs="Arial"/>
      <w:szCs w:val="18"/>
    </w:rPr>
  </w:style>
  <w:style w:type="paragraph" w:customStyle="1" w:styleId="CopyrightText">
    <w:name w:val="Copyright Text"/>
    <w:basedOn w:val="BodyText"/>
    <w:rsid w:val="0046267C"/>
    <w:rPr>
      <w:sz w:val="18"/>
    </w:rPr>
  </w:style>
  <w:style w:type="paragraph" w:customStyle="1" w:styleId="BodySmallRight">
    <w:name w:val="Body Small Right"/>
    <w:basedOn w:val="BodyTextRight"/>
    <w:rsid w:val="0046267C"/>
    <w:rPr>
      <w:sz w:val="18"/>
      <w:szCs w:val="18"/>
    </w:rPr>
  </w:style>
  <w:style w:type="paragraph" w:customStyle="1" w:styleId="MarginEdition">
    <w:name w:val="Margin Edition"/>
    <w:basedOn w:val="MarginNote"/>
    <w:rsid w:val="0046267C"/>
    <w:pPr>
      <w:spacing w:before="0" w:after="0"/>
    </w:pPr>
    <w:rPr>
      <w:rFonts w:ascii="Times New Roman" w:hAnsi="Times New Roman"/>
      <w:color w:val="999999"/>
    </w:rPr>
  </w:style>
  <w:style w:type="paragraph" w:customStyle="1" w:styleId="Spacer">
    <w:name w:val="Spacer"/>
    <w:basedOn w:val="Normal"/>
    <w:rsid w:val="0046267C"/>
    <w:rPr>
      <w:sz w:val="2"/>
      <w:szCs w:val="2"/>
    </w:rPr>
  </w:style>
  <w:style w:type="character" w:customStyle="1" w:styleId="Small">
    <w:name w:val="Small"/>
    <w:basedOn w:val="DefaultParagraphFont"/>
    <w:rsid w:val="0046267C"/>
    <w:rPr>
      <w:sz w:val="16"/>
    </w:rPr>
  </w:style>
  <w:style w:type="paragraph" w:customStyle="1" w:styleId="WideTable">
    <w:name w:val="Wide Table"/>
    <w:basedOn w:val="Normal"/>
    <w:rsid w:val="0046267C"/>
    <w:pPr>
      <w:ind w:left="-1418"/>
    </w:pPr>
    <w:rPr>
      <w:sz w:val="2"/>
      <w:szCs w:val="2"/>
    </w:rPr>
  </w:style>
  <w:style w:type="character" w:styleId="PageNumber">
    <w:name w:val="page number"/>
    <w:basedOn w:val="DefaultParagraphFont"/>
    <w:rsid w:val="0046267C"/>
  </w:style>
  <w:style w:type="paragraph" w:styleId="Quote">
    <w:name w:val="Quote"/>
    <w:basedOn w:val="Heading1"/>
    <w:link w:val="QuoteChar"/>
    <w:qFormat/>
    <w:rsid w:val="0046267C"/>
    <w:rPr>
      <w:b w:val="0"/>
      <w:sz w:val="72"/>
      <w:szCs w:val="72"/>
      <w:lang w:val="en-NZ"/>
    </w:rPr>
  </w:style>
  <w:style w:type="character" w:customStyle="1" w:styleId="QuoteChar">
    <w:name w:val="Quote Char"/>
    <w:basedOn w:val="DefaultParagraphFont"/>
    <w:link w:val="Quote"/>
    <w:rsid w:val="00462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67C"/>
    <w:pPr>
      <w:pageBreakBefore/>
    </w:pPr>
  </w:style>
  <w:style w:type="paragraph" w:customStyle="1" w:styleId="Border">
    <w:name w:val="Border"/>
    <w:basedOn w:val="Normal"/>
    <w:qFormat/>
    <w:rsid w:val="00462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67C"/>
    <w:rPr>
      <w:b/>
      <w:bCs/>
      <w:i/>
      <w:iCs/>
      <w:color w:val="auto"/>
    </w:rPr>
  </w:style>
  <w:style w:type="paragraph" w:styleId="IntenseQuote">
    <w:name w:val="Intense Quote"/>
    <w:basedOn w:val="Normal"/>
    <w:next w:val="Normal"/>
    <w:link w:val="IntenseQuoteChar"/>
    <w:uiPriority w:val="30"/>
    <w:qFormat/>
    <w:rsid w:val="00462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6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67C"/>
    <w:rPr>
      <w:smallCaps/>
      <w:color w:val="auto"/>
      <w:u w:val="single"/>
    </w:rPr>
  </w:style>
  <w:style w:type="character" w:styleId="IntenseReference">
    <w:name w:val="Intense Reference"/>
    <w:basedOn w:val="DefaultParagraphFont"/>
    <w:uiPriority w:val="32"/>
    <w:qFormat/>
    <w:rsid w:val="0046267C"/>
    <w:rPr>
      <w:b/>
      <w:bCs/>
      <w:smallCaps/>
      <w:color w:val="auto"/>
      <w:spacing w:val="5"/>
      <w:u w:val="single"/>
    </w:rPr>
  </w:style>
  <w:style w:type="paragraph" w:customStyle="1" w:styleId="2ColumnHeading">
    <w:name w:val="2Column Heading"/>
    <w:basedOn w:val="BodyText"/>
    <w:qFormat/>
    <w:rsid w:val="0046267C"/>
    <w:pPr>
      <w:spacing w:after="60"/>
      <w:ind w:left="-2268"/>
    </w:pPr>
    <w:rPr>
      <w:b/>
    </w:rPr>
  </w:style>
  <w:style w:type="paragraph" w:customStyle="1" w:styleId="Heading1TOC">
    <w:name w:val="Heading1 TOC"/>
    <w:basedOn w:val="Normal"/>
    <w:qFormat/>
    <w:rsid w:val="0046267C"/>
    <w:pPr>
      <w:spacing w:before="240" w:after="120"/>
    </w:pPr>
    <w:rPr>
      <w:rFonts w:ascii="Times New Roman" w:hAnsi="Times New Roman"/>
      <w:b/>
      <w:sz w:val="32"/>
    </w:rPr>
  </w:style>
  <w:style w:type="paragraph" w:customStyle="1" w:styleId="Heading2TOC">
    <w:name w:val="Heading2 TOC"/>
    <w:basedOn w:val="Normal"/>
    <w:qFormat/>
    <w:rsid w:val="0046267C"/>
    <w:pPr>
      <w:spacing w:before="240" w:after="60"/>
    </w:pPr>
    <w:rPr>
      <w:rFonts w:ascii="Times New Roman" w:hAnsi="Times New Roman"/>
      <w:b/>
      <w:sz w:val="28"/>
    </w:rPr>
  </w:style>
  <w:style w:type="character" w:customStyle="1" w:styleId="Underline">
    <w:name w:val="Underline"/>
    <w:basedOn w:val="DefaultParagraphFont"/>
    <w:qFormat/>
    <w:rsid w:val="0046267C"/>
    <w:rPr>
      <w:u w:val="single"/>
    </w:rPr>
  </w:style>
  <w:style w:type="character" w:customStyle="1" w:styleId="BoldandItalics">
    <w:name w:val="Bold and Italics"/>
    <w:qFormat/>
    <w:rsid w:val="0046267C"/>
    <w:rPr>
      <w:b/>
      <w:i/>
      <w:u w:val="none"/>
    </w:rPr>
  </w:style>
  <w:style w:type="paragraph" w:styleId="BalloonText">
    <w:name w:val="Balloon Text"/>
    <w:basedOn w:val="Normal"/>
    <w:link w:val="BalloonTextChar"/>
    <w:rsid w:val="0046267C"/>
    <w:rPr>
      <w:rFonts w:ascii="Tahoma" w:hAnsi="Tahoma" w:cs="Tahoma"/>
      <w:sz w:val="16"/>
      <w:szCs w:val="16"/>
    </w:rPr>
  </w:style>
  <w:style w:type="character" w:customStyle="1" w:styleId="BalloonTextChar">
    <w:name w:val="Balloon Text Char"/>
    <w:basedOn w:val="DefaultParagraphFont"/>
    <w:link w:val="BalloonText"/>
    <w:rsid w:val="004626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6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6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67C"/>
    <w:rPr>
      <w:b/>
      <w:color w:val="660033"/>
      <w:spacing w:val="0"/>
    </w:rPr>
  </w:style>
  <w:style w:type="paragraph" w:customStyle="1" w:styleId="Nameditemlist">
    <w:name w:val="Named item list"/>
    <w:basedOn w:val="BodyText"/>
    <w:qFormat/>
    <w:rsid w:val="0046267C"/>
    <w:pPr>
      <w:tabs>
        <w:tab w:val="left" w:pos="2835"/>
      </w:tabs>
      <w:ind w:left="2835" w:hanging="2835"/>
    </w:pPr>
  </w:style>
  <w:style w:type="paragraph" w:customStyle="1" w:styleId="BodyTextnopadding">
    <w:name w:val="Body Text no padding"/>
    <w:basedOn w:val="BodyText"/>
    <w:qFormat/>
    <w:rsid w:val="0046267C"/>
    <w:pPr>
      <w:spacing w:before="0" w:after="0"/>
    </w:pPr>
  </w:style>
  <w:style w:type="paragraph" w:customStyle="1" w:styleId="BodyTextBold">
    <w:name w:val="Body Text Bold"/>
    <w:basedOn w:val="BodyText"/>
    <w:qFormat/>
    <w:rsid w:val="0046267C"/>
    <w:rPr>
      <w:b/>
    </w:rPr>
  </w:style>
  <w:style w:type="character" w:styleId="Hyperlink">
    <w:name w:val="Hyperlink"/>
    <w:basedOn w:val="DefaultParagraphFont"/>
    <w:uiPriority w:val="99"/>
    <w:unhideWhenUsed/>
    <w:rsid w:val="00557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3695</Characters>
  <Application>Microsoft Office Word</Application>
  <DocSecurity>0</DocSecurity>
  <Lines>97</Lines>
  <Paragraphs>67</Paragraphs>
  <ScaleCrop>false</ScaleCrop>
  <Company>Author-it Software Corporation Ltd.</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FNSTPB507 Apply legal principles in commercial law when providing tax (financial) advice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2022-01-27T02:09:00Z</dcterms:created>
  <dcterms:modified xsi:type="dcterms:W3CDTF">2022-01-27T02:09:00Z</dcterms:modified>
</cp:coreProperties>
</file>