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87F" w:rsidP="00B5387F">
      <w:pPr>
        <w:pStyle w:val="Title"/>
      </w:pPr>
      <w:r>
        <w:fldChar w:fldCharType="begin"/>
      </w:r>
      <w:r>
        <w:instrText xml:space="preserve"> TITLE   \* MERGEFORMAT </w:instrText>
      </w:r>
      <w:r>
        <w:fldChar w:fldCharType="separate"/>
      </w:r>
      <w:r>
        <w:t>Assessment Requirements for FNSTPB504 Apply legal principles in corporations and trust law</w:t>
      </w:r>
      <w:r>
        <w:fldChar w:fldCharType="end"/>
      </w:r>
    </w:p>
    <w:p w:rsidR="00B5387F" w:rsidP="00B5387F">
      <w:pPr>
        <w:pStyle w:val="Version"/>
        <w:sectPr w:rsidSect="00170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908" w:rsidP="00170908">
      <w:pPr>
        <w:pStyle w:val="SuperHeading"/>
      </w:pPr>
      <w:r w:rsidRPr="00170908">
        <w:t>Assessment Requirements for FNSTPB504 Apply legal principles in corporations and trust law</w:t>
      </w:r>
    </w:p>
    <w:p w:rsidR="00000000" w:rsidRPr="00170908" w:rsidP="00170908">
      <w:pPr>
        <w:pStyle w:val="Heading1"/>
      </w:pPr>
      <w:bookmarkStart w:id="1" w:name="O_708026"/>
      <w:bookmarkEnd w:id="1"/>
      <w:r w:rsidRPr="00170908">
        <w:t>Modification History</w:t>
      </w:r>
    </w:p>
    <w:tbl>
      <w:tblPr>
        <w:tblW w:w="0" w:type="auto"/>
        <w:tblLayout w:type="fixed"/>
        <w:tblCellMar>
          <w:left w:w="62" w:type="dxa"/>
          <w:right w:w="62" w:type="dxa"/>
        </w:tblCellMar>
        <w:tblLook w:val="0000"/>
      </w:tblPr>
      <w:tblGrid>
        <w:gridCol w:w="2627"/>
        <w:gridCol w:w="6337"/>
      </w:tblGrid>
      <w:tr w:rsidTr="001709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08" w:rsidP="00170908">
            <w:pPr>
              <w:pStyle w:val="BodyText"/>
            </w:pPr>
            <w:r w:rsidRPr="001709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08">
            <w:pPr>
              <w:pStyle w:val="BodyText"/>
              <w:rPr>
                <w:lang w:val="en-NZ"/>
              </w:rPr>
            </w:pPr>
            <w:r w:rsidRPr="00170908">
              <w:rPr>
                <w:rStyle w:val="SpecialBold"/>
              </w:rPr>
              <w:t>Comments</w:t>
            </w:r>
          </w:p>
        </w:tc>
      </w:tr>
      <w:tr w:rsidTr="001709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08">
            <w:pPr>
              <w:pStyle w:val="BodyText"/>
              <w:rPr>
                <w:lang w:val="en-NZ"/>
              </w:rPr>
            </w:pPr>
            <w:r w:rsidRPr="001709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08" w:rsidP="00170908">
            <w:pPr>
              <w:pStyle w:val="BodyText"/>
            </w:pPr>
            <w:r w:rsidRPr="00170908">
              <w:t>This version first released with FNS Financial Services Training Package Version 1.0.</w:t>
            </w:r>
          </w:p>
        </w:tc>
      </w:tr>
    </w:tbl>
    <w:p w:rsidR="00000000" w:rsidRPr="00170908" w:rsidP="00170908">
      <w:pPr>
        <w:pStyle w:val="BodyText"/>
      </w:pPr>
    </w:p>
    <w:p w:rsidR="00000000" w:rsidRPr="00170908" w:rsidP="00170908">
      <w:pPr>
        <w:pStyle w:val="AllowPageBreak"/>
      </w:pPr>
    </w:p>
    <w:p w:rsidR="00000000" w:rsidRPr="00170908" w:rsidP="00170908">
      <w:pPr>
        <w:pStyle w:val="Heading1"/>
      </w:pPr>
      <w:bookmarkStart w:id="2" w:name="O_708027"/>
      <w:bookmarkEnd w:id="2"/>
      <w:r w:rsidRPr="00170908">
        <w:t>Performance Evidence</w:t>
      </w:r>
    </w:p>
    <w:p w:rsidR="00000000" w:rsidRPr="00170908" w:rsidP="00B5387F">
      <w:pPr>
        <w:pStyle w:val="BodyText"/>
      </w:pPr>
      <w:r w:rsidRPr="00170908">
        <w:t>Evidence of the ability to:</w:t>
      </w:r>
    </w:p>
    <w:p w:rsidR="00000000" w:rsidRPr="00170908" w:rsidP="00170908">
      <w:pPr>
        <w:pStyle w:val="ListBullet"/>
      </w:pPr>
      <w:r w:rsidRPr="00170908">
        <w:t>research changes to, or new, legislative requirements in relation to corporations and trust law relevant to the client</w:t>
      </w:r>
      <w:r>
        <w:t>’</w:t>
      </w:r>
      <w:r w:rsidRPr="00170908">
        <w:t>s circumstances and business structure requirements</w:t>
      </w:r>
    </w:p>
    <w:p w:rsidR="00000000" w:rsidRPr="00170908" w:rsidP="00170908">
      <w:pPr>
        <w:pStyle w:val="ListBullet"/>
      </w:pPr>
      <w:r w:rsidRPr="00170908">
        <w:t>apply current statute, comm</w:t>
      </w:r>
      <w:r w:rsidRPr="00170908">
        <w:t>on law and equitable principles in relation to corporations and trust law relevant to the client</w:t>
      </w:r>
      <w:r>
        <w:t>’</w:t>
      </w:r>
      <w:r w:rsidRPr="00170908">
        <w:t>s circumstances</w:t>
      </w:r>
    </w:p>
    <w:p w:rsidR="00000000" w:rsidRPr="00170908" w:rsidP="00170908">
      <w:pPr>
        <w:pStyle w:val="ListBullet"/>
      </w:pPr>
      <w:r w:rsidRPr="00170908">
        <w:t>present a recommendation on suitable business structures or legal entities to the client after considering the client’s circumstances.</w:t>
      </w:r>
    </w:p>
    <w:p w:rsidR="00000000" w:rsidRPr="00170908" w:rsidP="00170908">
      <w:pPr>
        <w:pStyle w:val="BodyText"/>
      </w:pPr>
    </w:p>
    <w:p w:rsidR="00000000" w:rsidRPr="00170908" w:rsidP="00B5387F">
      <w:pPr>
        <w:pStyle w:val="BodyText"/>
      </w:pPr>
      <w:r w:rsidRPr="00170908">
        <w:t>Note: If a specific volume or frequency is not stated, then evidence must be provided at least once.</w:t>
      </w:r>
    </w:p>
    <w:p w:rsidR="00000000" w:rsidRPr="00170908" w:rsidP="00170908">
      <w:pPr>
        <w:pStyle w:val="Heading1"/>
      </w:pPr>
      <w:bookmarkStart w:id="3" w:name="O_708028"/>
      <w:bookmarkEnd w:id="3"/>
      <w:r w:rsidRPr="00170908">
        <w:t>Knowledge Evidence</w:t>
      </w:r>
    </w:p>
    <w:p w:rsidR="00000000" w:rsidRPr="00170908" w:rsidP="00B5387F">
      <w:pPr>
        <w:pStyle w:val="BodyText"/>
      </w:pPr>
      <w:r w:rsidRPr="00170908">
        <w:t>To complete the unit requirements safely and effectively, the individual must:</w:t>
      </w:r>
    </w:p>
    <w:p w:rsidR="00000000" w:rsidRPr="00170908" w:rsidP="00170908">
      <w:pPr>
        <w:pStyle w:val="ListBullet"/>
      </w:pPr>
      <w:r w:rsidRPr="00170908">
        <w:t>describe the operation of the Australia</w:t>
      </w:r>
      <w:r w:rsidRPr="00170908">
        <w:t>n legal systems and processes relevant to corporations and trust law including:</w:t>
      </w:r>
    </w:p>
    <w:p w:rsidR="00000000" w:rsidRPr="00170908" w:rsidP="00170908">
      <w:pPr>
        <w:pStyle w:val="ListBullet2"/>
      </w:pPr>
      <w:r w:rsidRPr="00170908">
        <w:t>basic principles, current statute, common law and equitable principles</w:t>
      </w:r>
    </w:p>
    <w:p w:rsidR="00000000" w:rsidRPr="00170908" w:rsidP="00170908">
      <w:pPr>
        <w:pStyle w:val="ListBullet2"/>
      </w:pPr>
      <w:r w:rsidRPr="00170908">
        <w:t>roles and responsibilities of key organisations</w:t>
      </w:r>
    </w:p>
    <w:p w:rsidR="00000000" w:rsidRPr="00170908" w:rsidP="00170908">
      <w:pPr>
        <w:pStyle w:val="ListBullet2"/>
      </w:pPr>
      <w:r w:rsidRPr="00170908">
        <w:t>constitutional considerations</w:t>
      </w:r>
    </w:p>
    <w:p w:rsidR="00000000" w:rsidRPr="00170908" w:rsidP="00170908">
      <w:pPr>
        <w:pStyle w:val="ListBullet2"/>
      </w:pPr>
      <w:r w:rsidRPr="00170908">
        <w:t>separation of powers</w:t>
      </w:r>
    </w:p>
    <w:p w:rsidR="00000000" w:rsidRPr="00170908" w:rsidP="00170908">
      <w:pPr>
        <w:pStyle w:val="ListBullet2"/>
      </w:pPr>
      <w:r w:rsidRPr="00170908">
        <w:t>basic</w:t>
      </w:r>
      <w:r w:rsidRPr="00170908">
        <w:t xml:space="preserve"> principles of the law of torts, particularly relating to negligence and negligent misstatement</w:t>
      </w:r>
    </w:p>
    <w:p w:rsidR="00000000" w:rsidRPr="00170908" w:rsidP="00170908">
      <w:pPr>
        <w:pStyle w:val="ListBullet2"/>
      </w:pPr>
      <w:r w:rsidRPr="00170908">
        <w:t>courts and regulatory bodies</w:t>
      </w:r>
    </w:p>
    <w:p w:rsidR="00000000" w:rsidRPr="00170908" w:rsidP="00170908">
      <w:pPr>
        <w:pStyle w:val="ListBullet"/>
      </w:pPr>
      <w:r w:rsidRPr="00170908">
        <w:t>outline how laws are enacted and their underlying policy aims</w:t>
      </w:r>
    </w:p>
    <w:p w:rsidR="00000000" w:rsidRPr="00170908" w:rsidP="00170908">
      <w:pPr>
        <w:pStyle w:val="ListBullet"/>
      </w:pPr>
      <w:r w:rsidRPr="00170908">
        <w:t>explain how those laws may be interpreted by existing common law and</w:t>
      </w:r>
      <w:r w:rsidRPr="00170908">
        <w:t xml:space="preserve"> equitable rules and applied to corporations and trusts</w:t>
      </w:r>
    </w:p>
    <w:p w:rsidR="00000000" w:rsidRPr="00170908" w:rsidP="00170908">
      <w:pPr>
        <w:pStyle w:val="ListBullet"/>
      </w:pPr>
      <w:r w:rsidRPr="00170908">
        <w:t>analyse legal concepts of business organisational structures, and underlying regulation including the application of these to:</w:t>
      </w:r>
    </w:p>
    <w:p w:rsidR="00000000" w:rsidRPr="00170908" w:rsidP="00170908">
      <w:pPr>
        <w:pStyle w:val="ListBullet2"/>
      </w:pPr>
      <w:r w:rsidRPr="00170908">
        <w:t>sole traders</w:t>
      </w:r>
    </w:p>
    <w:p w:rsidR="00000000" w:rsidRPr="00170908" w:rsidP="00170908">
      <w:pPr>
        <w:pStyle w:val="ListBullet2"/>
      </w:pPr>
      <w:r w:rsidRPr="00170908">
        <w:t>partnerships</w:t>
      </w:r>
    </w:p>
    <w:p w:rsidR="00000000" w:rsidRPr="00170908" w:rsidP="00170908">
      <w:pPr>
        <w:pStyle w:val="ListBullet2"/>
      </w:pPr>
      <w:r w:rsidRPr="00170908">
        <w:t>corporations</w:t>
      </w:r>
    </w:p>
    <w:p w:rsidR="00000000" w:rsidRPr="00170908" w:rsidP="00170908">
      <w:pPr>
        <w:pStyle w:val="ListBullet2"/>
      </w:pPr>
      <w:r w:rsidRPr="00170908">
        <w:t>trusts</w:t>
      </w:r>
    </w:p>
    <w:p w:rsidR="00000000" w:rsidRPr="00170908" w:rsidP="00170908">
      <w:pPr>
        <w:pStyle w:val="ListBullet2"/>
      </w:pPr>
      <w:r w:rsidRPr="00170908">
        <w:t>agencies</w:t>
      </w:r>
    </w:p>
    <w:p w:rsidR="00000000" w:rsidRPr="00170908" w:rsidP="00170908">
      <w:pPr>
        <w:pStyle w:val="ListBullet2"/>
      </w:pPr>
      <w:r w:rsidRPr="00170908">
        <w:t>joint ventures</w:t>
      </w:r>
    </w:p>
    <w:p w:rsidR="00000000" w:rsidRPr="00170908" w:rsidP="00170908">
      <w:pPr>
        <w:pStyle w:val="ListBullet2"/>
      </w:pPr>
      <w:r w:rsidRPr="00170908">
        <w:t>incorporated associations</w:t>
      </w:r>
    </w:p>
    <w:p w:rsidR="00000000" w:rsidRPr="00170908" w:rsidP="00170908">
      <w:pPr>
        <w:pStyle w:val="ListBullet"/>
      </w:pPr>
      <w:r w:rsidRPr="00170908">
        <w:t>examine legal aspects of superannuation with reference to:</w:t>
      </w:r>
    </w:p>
    <w:p w:rsidR="00000000" w:rsidRPr="00170908" w:rsidP="00170908">
      <w:pPr>
        <w:pStyle w:val="ListBullet2"/>
      </w:pPr>
      <w:r w:rsidRPr="00170908">
        <w:t>ways in which superannuation can be accumulated and taken</w:t>
      </w:r>
    </w:p>
    <w:p w:rsidR="00000000" w:rsidRPr="00170908" w:rsidP="00170908">
      <w:pPr>
        <w:pStyle w:val="ListBullet2"/>
      </w:pPr>
      <w:r w:rsidRPr="00170908">
        <w:t>who can provide superannuation products and how those providers and their products are prudentially licensed an</w:t>
      </w:r>
      <w:r w:rsidRPr="00170908">
        <w:t>d regulated</w:t>
      </w:r>
    </w:p>
    <w:p w:rsidR="00000000" w:rsidRPr="00170908" w:rsidP="00170908">
      <w:pPr>
        <w:pStyle w:val="ListBullet2"/>
      </w:pPr>
      <w:r w:rsidRPr="00170908">
        <w:t>duties of superannuation trustees</w:t>
      </w:r>
    </w:p>
    <w:p w:rsidR="00000000" w:rsidRPr="00170908" w:rsidP="00170908">
      <w:pPr>
        <w:pStyle w:val="ListBullet2"/>
      </w:pPr>
      <w:r w:rsidRPr="00170908">
        <w:t>how superannuation interests are protected and litigated</w:t>
      </w:r>
    </w:p>
    <w:p w:rsidR="00000000" w:rsidRPr="00170908" w:rsidP="00170908">
      <w:pPr>
        <w:pStyle w:val="ListBullet2"/>
      </w:pPr>
      <w:r w:rsidRPr="00170908">
        <w:t>current and future developments in superannuation law and policy</w:t>
      </w:r>
    </w:p>
    <w:p w:rsidR="00000000" w:rsidRPr="00170908" w:rsidP="00170908">
      <w:pPr>
        <w:pStyle w:val="ListBullet"/>
      </w:pPr>
      <w:r w:rsidRPr="00170908">
        <w:t>identify and reference the key features of Australian corporations law and requirements</w:t>
      </w:r>
      <w:r w:rsidRPr="00170908">
        <w:t xml:space="preserve"> to analyse issues and risks relating to:</w:t>
      </w:r>
    </w:p>
    <w:p w:rsidR="00000000" w:rsidRPr="00170908" w:rsidP="00170908">
      <w:pPr>
        <w:pStyle w:val="ListBullet2"/>
      </w:pPr>
      <w:r w:rsidRPr="00170908">
        <w:t>nature of a company</w:t>
      </w:r>
    </w:p>
    <w:p w:rsidR="00000000" w:rsidRPr="00170908" w:rsidP="00170908">
      <w:pPr>
        <w:pStyle w:val="ListBullet2"/>
      </w:pPr>
      <w:r w:rsidRPr="00170908">
        <w:t>company registration</w:t>
      </w:r>
    </w:p>
    <w:p w:rsidR="00000000" w:rsidRPr="00170908" w:rsidP="00170908">
      <w:pPr>
        <w:pStyle w:val="ListBullet2"/>
      </w:pPr>
      <w:r w:rsidRPr="00170908">
        <w:t>promoters and pre-registration contracts</w:t>
      </w:r>
    </w:p>
    <w:p w:rsidR="00000000" w:rsidRPr="00170908" w:rsidP="00170908">
      <w:pPr>
        <w:pStyle w:val="ListBullet2"/>
      </w:pPr>
      <w:r w:rsidRPr="00170908">
        <w:t>company constitution and replaceable rules</w:t>
      </w:r>
    </w:p>
    <w:p w:rsidR="00000000" w:rsidRPr="00170908" w:rsidP="00170908">
      <w:pPr>
        <w:pStyle w:val="ListBullet2"/>
      </w:pPr>
      <w:r w:rsidRPr="00170908">
        <w:t>contracting with others</w:t>
      </w:r>
    </w:p>
    <w:p w:rsidR="00000000" w:rsidRPr="00170908" w:rsidP="00170908">
      <w:pPr>
        <w:pStyle w:val="ListBullet2"/>
      </w:pPr>
      <w:r w:rsidRPr="00170908">
        <w:t>fundraising</w:t>
      </w:r>
    </w:p>
    <w:p w:rsidR="00000000" w:rsidRPr="00170908" w:rsidP="00170908">
      <w:pPr>
        <w:pStyle w:val="ListBullet2"/>
      </w:pPr>
      <w:r w:rsidRPr="00170908">
        <w:t>share capital</w:t>
      </w:r>
    </w:p>
    <w:p w:rsidR="00000000" w:rsidRPr="00170908" w:rsidP="00170908">
      <w:pPr>
        <w:pStyle w:val="ListBullet2"/>
      </w:pPr>
      <w:r w:rsidRPr="00170908">
        <w:t>member meetings</w:t>
      </w:r>
    </w:p>
    <w:p w:rsidR="00000000" w:rsidRPr="00170908" w:rsidP="00170908">
      <w:pPr>
        <w:pStyle w:val="ListBullet2"/>
      </w:pPr>
      <w:r w:rsidRPr="00170908">
        <w:t>corporate management</w:t>
      </w:r>
    </w:p>
    <w:p w:rsidR="00000000" w:rsidRPr="00170908" w:rsidP="00170908">
      <w:pPr>
        <w:pStyle w:val="ListBullet2"/>
      </w:pPr>
      <w:r w:rsidRPr="00170908">
        <w:t>directors’ duties</w:t>
      </w:r>
    </w:p>
    <w:p w:rsidR="00000000" w:rsidRPr="00170908" w:rsidP="00170908">
      <w:pPr>
        <w:pStyle w:val="ListBullet2"/>
      </w:pPr>
      <w:r w:rsidRPr="00170908">
        <w:t>member remedies</w:t>
      </w:r>
    </w:p>
    <w:p w:rsidR="00000000" w:rsidRPr="00170908" w:rsidP="00170908">
      <w:pPr>
        <w:pStyle w:val="ListBullet2"/>
      </w:pPr>
      <w:r w:rsidRPr="00170908">
        <w:t>bankruptcy and insolvency</w:t>
      </w:r>
    </w:p>
    <w:p w:rsidR="00000000" w:rsidRPr="00170908" w:rsidP="00170908">
      <w:pPr>
        <w:pStyle w:val="ListBullet"/>
      </w:pPr>
      <w:r w:rsidRPr="00170908">
        <w:t>examine legal concepts and scope of law covering trusts with particular reference to:</w:t>
      </w:r>
    </w:p>
    <w:p w:rsidR="00000000" w:rsidRPr="00170908" w:rsidP="00170908">
      <w:pPr>
        <w:pStyle w:val="ListBullet2"/>
      </w:pPr>
      <w:r w:rsidRPr="00170908">
        <w:t>structure of a trust</w:t>
      </w:r>
    </w:p>
    <w:p w:rsidR="00000000" w:rsidRPr="00170908" w:rsidP="00170908">
      <w:pPr>
        <w:pStyle w:val="ListBullet2"/>
      </w:pPr>
      <w:r w:rsidRPr="00170908">
        <w:t>trust deed</w:t>
      </w:r>
    </w:p>
    <w:p w:rsidR="00000000" w:rsidRPr="00170908" w:rsidP="00170908">
      <w:pPr>
        <w:pStyle w:val="ListBullet2"/>
      </w:pPr>
      <w:r w:rsidRPr="00170908">
        <w:t>common law duty</w:t>
      </w:r>
    </w:p>
    <w:p w:rsidR="00000000" w:rsidRPr="00170908" w:rsidP="00170908">
      <w:pPr>
        <w:pStyle w:val="ListBullet2"/>
      </w:pPr>
      <w:r w:rsidRPr="00170908">
        <w:t>role and responsibilities of a trustee</w:t>
      </w:r>
    </w:p>
    <w:p w:rsidR="00000000" w:rsidRPr="00170908" w:rsidP="00170908">
      <w:pPr>
        <w:pStyle w:val="ListBullet2"/>
      </w:pPr>
      <w:r w:rsidRPr="00170908">
        <w:t>types of trusts</w:t>
      </w:r>
    </w:p>
    <w:p w:rsidR="00000000" w:rsidRPr="00170908" w:rsidP="00170908">
      <w:pPr>
        <w:pStyle w:val="ListBullet2"/>
      </w:pPr>
      <w:r w:rsidRPr="00170908">
        <w:t>member meetings</w:t>
      </w:r>
    </w:p>
    <w:p w:rsidR="00000000" w:rsidRPr="00170908" w:rsidP="00170908">
      <w:pPr>
        <w:pStyle w:val="ListBullet2"/>
      </w:pPr>
      <w:r w:rsidRPr="00170908">
        <w:t>corporate management</w:t>
      </w:r>
    </w:p>
    <w:p w:rsidR="00000000" w:rsidRPr="00170908" w:rsidP="00170908">
      <w:pPr>
        <w:pStyle w:val="ListBullet2"/>
      </w:pPr>
      <w:r w:rsidRPr="00170908">
        <w:t>member remediation</w:t>
      </w:r>
    </w:p>
    <w:p w:rsidR="00000000" w:rsidRPr="00170908" w:rsidP="00170908">
      <w:pPr>
        <w:pStyle w:val="ListBullet2"/>
      </w:pPr>
      <w:r w:rsidRPr="00170908">
        <w:t>bankruptcy and insolvency.</w:t>
      </w:r>
    </w:p>
    <w:p w:rsidR="00000000" w:rsidRPr="00170908" w:rsidP="00170908">
      <w:pPr>
        <w:pStyle w:val="AllowPageBreak"/>
      </w:pPr>
    </w:p>
    <w:p w:rsidR="00000000" w:rsidRPr="00170908" w:rsidP="00170908">
      <w:pPr>
        <w:pStyle w:val="Heading1"/>
      </w:pPr>
      <w:bookmarkStart w:id="4" w:name="O_708029"/>
      <w:bookmarkEnd w:id="4"/>
      <w:r w:rsidRPr="00170908">
        <w:t>Assessment Conditions</w:t>
      </w:r>
    </w:p>
    <w:p w:rsidR="00000000" w:rsidRPr="00170908" w:rsidP="00B5387F">
      <w:pPr>
        <w:pStyle w:val="BodyText"/>
      </w:pPr>
      <w:r w:rsidRPr="00170908">
        <w:t>Assessment must be conducted in a safe environment where evidence gathered demonstrates consistent performance of typical activities e</w:t>
      </w:r>
      <w:r w:rsidRPr="00170908">
        <w:t>xperienced in the tax and legal fields of work and include access to:</w:t>
      </w:r>
    </w:p>
    <w:p w:rsidR="00000000" w:rsidRPr="00170908" w:rsidP="00170908">
      <w:pPr>
        <w:pStyle w:val="ListBullet"/>
      </w:pPr>
      <w:r w:rsidRPr="00170908">
        <w:t>office equipment, technology, software and consumables</w:t>
      </w:r>
    </w:p>
    <w:p w:rsidR="00000000" w:rsidRPr="00170908" w:rsidP="00170908">
      <w:pPr>
        <w:pStyle w:val="ListBullet"/>
      </w:pPr>
      <w:r w:rsidRPr="00170908">
        <w:t>relevant legislation, regulations and codes of practice.</w:t>
      </w:r>
    </w:p>
    <w:p w:rsidR="00000000" w:rsidRPr="00170908" w:rsidP="00170908">
      <w:pPr>
        <w:pStyle w:val="BodyText"/>
      </w:pPr>
    </w:p>
    <w:p w:rsidR="00000000" w:rsidRPr="00170908" w:rsidP="00B5387F">
      <w:pPr>
        <w:pStyle w:val="BodyText"/>
      </w:pPr>
      <w:r w:rsidRPr="00170908">
        <w:t>Assessors must satisfy NVR/AQTF assessor requirements.</w:t>
      </w:r>
    </w:p>
    <w:p w:rsidR="00000000" w:rsidRPr="00170908" w:rsidP="00B5387F">
      <w:pPr>
        <w:pStyle w:val="BodyText"/>
      </w:pPr>
      <w:r w:rsidRPr="00170908">
        <w:t>This unit is designed to meet the education requirements of the Tax Practitioner Board (TPB). Where registration with the TPB is sought, assessment must reflect the conditions described by the regulator which stipulate that a significant amount (at least 4</w:t>
      </w:r>
      <w:r w:rsidRPr="00170908">
        <w:t>0%) must be completed under some form of independent supervision. Where recognition of prior learning (RPL) is used, it must also meet the requirements of the Board’s policy on RPL.</w:t>
      </w:r>
    </w:p>
    <w:p w:rsidR="00000000" w:rsidRPr="00170908" w:rsidP="00B5387F">
      <w:pPr>
        <w:pStyle w:val="BodyText"/>
      </w:pPr>
      <w:r w:rsidRPr="00170908">
        <w:t>Details of requirements can be accessed on the TPB website at &lt;</w:t>
      </w:r>
      <w:r>
        <w:fldChar w:fldCharType="begin"/>
      </w:r>
      <w:r>
        <w:instrText xml:space="preserve"> HYPERLINK "http://www.tpb.gov.au" </w:instrText>
      </w:r>
      <w:r>
        <w:fldChar w:fldCharType="separate"/>
      </w:r>
      <w:r w:rsidRPr="0055718A">
        <w:rPr>
          <w:rStyle w:val="Hyperlink"/>
        </w:rPr>
        <w:t>http://www.tpb.gov.au</w:t>
      </w:r>
      <w:r>
        <w:fldChar w:fldCharType="end"/>
      </w:r>
      <w:r w:rsidRPr="00170908">
        <w:t>&gt;.</w:t>
      </w:r>
    </w:p>
    <w:p w:rsidR="00000000" w:rsidRPr="00170908" w:rsidP="00170908">
      <w:pPr>
        <w:pStyle w:val="Heading1"/>
      </w:pPr>
      <w:bookmarkStart w:id="5" w:name="O_708032"/>
      <w:bookmarkEnd w:id="5"/>
      <w:r w:rsidRPr="00170908">
        <w:t>Links</w:t>
      </w:r>
    </w:p>
    <w:p w:rsidR="00000000" w:rsidRPr="00170908" w:rsidP="00B5387F">
      <w:pPr>
        <w:pStyle w:val="BodyText"/>
      </w:pPr>
      <w:r w:rsidRPr="0017090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5718A">
        <w:rPr>
          <w:rStyle w:val="Hyperlink"/>
        </w:rPr>
        <w:t>https://vetnet.gov.au/Pages/TrainingDocs.aspx?q=c7200cc8-0566-4f04-b76f-e89fd6f102fe</w:t>
      </w:r>
      <w:r>
        <w:fldChar w:fldCharType="end"/>
      </w:r>
    </w:p>
    <w:p w:rsidR="00000000" w:rsidRPr="00170908" w:rsidP="00170908"/>
    <w:sectPr w:rsidSect="001709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08" w:rsidRPr="00B5387F" w:rsidP="00B53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7F" w:rsidP="00170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87F" w:rsidP="001709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387F" w:rsidP="00170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908" w:rsidRPr="00B5387F" w:rsidP="00B538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7F" w:rsidRPr="002D2AF8" w:rsidP="00170908">
    <w:pPr>
      <w:pStyle w:val="Header"/>
      <w:framePr w:wrap="around"/>
    </w:pPr>
    <w:r>
      <w:fldChar w:fldCharType="begin"/>
    </w:r>
    <w:r>
      <w:instrText xml:space="preserve"> TITLE   \* MERGEFORMAT </w:instrText>
    </w:r>
    <w:r>
      <w:fldChar w:fldCharType="separate"/>
    </w:r>
    <w:r>
      <w:t>Assessment Requirements for FNSTPB504 Apply legal principles in corporations and trust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5387F" w:rsidP="00170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08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2C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A7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908"/>
    <w:pPr>
      <w:spacing w:before="360" w:after="60"/>
      <w:outlineLvl w:val="0"/>
    </w:pPr>
    <w:rPr>
      <w:sz w:val="32"/>
    </w:rPr>
  </w:style>
  <w:style w:type="paragraph" w:styleId="Heading2">
    <w:name w:val="heading 2"/>
    <w:basedOn w:val="HeadingBase"/>
    <w:next w:val="BodyText"/>
    <w:link w:val="Heading2Char"/>
    <w:qFormat/>
    <w:rsid w:val="00170908"/>
    <w:pPr>
      <w:keepLines/>
      <w:spacing w:before="240" w:after="120"/>
      <w:outlineLvl w:val="1"/>
    </w:pPr>
    <w:rPr>
      <w:sz w:val="28"/>
      <w:szCs w:val="40"/>
    </w:rPr>
  </w:style>
  <w:style w:type="paragraph" w:styleId="Heading3">
    <w:name w:val="heading 3"/>
    <w:basedOn w:val="HeadingBase"/>
    <w:next w:val="BodyText"/>
    <w:link w:val="Heading3Char"/>
    <w:qFormat/>
    <w:rsid w:val="00170908"/>
    <w:pPr>
      <w:spacing w:before="180" w:after="120"/>
      <w:outlineLvl w:val="2"/>
    </w:pPr>
    <w:rPr>
      <w:spacing w:val="-10"/>
      <w:kern w:val="32"/>
    </w:rPr>
  </w:style>
  <w:style w:type="paragraph" w:styleId="Heading4">
    <w:name w:val="heading 4"/>
    <w:basedOn w:val="HeadingBase"/>
    <w:next w:val="BodyText"/>
    <w:link w:val="Heading4Char"/>
    <w:qFormat/>
    <w:rsid w:val="00170908"/>
    <w:pPr>
      <w:spacing w:before="160" w:after="120"/>
      <w:outlineLvl w:val="3"/>
    </w:pPr>
    <w:rPr>
      <w:sz w:val="22"/>
    </w:rPr>
  </w:style>
  <w:style w:type="paragraph" w:styleId="Heading5">
    <w:name w:val="heading 5"/>
    <w:basedOn w:val="HeadingBase"/>
    <w:next w:val="Normal"/>
    <w:link w:val="Heading5Char"/>
    <w:qFormat/>
    <w:rsid w:val="00170908"/>
    <w:pPr>
      <w:spacing w:before="80"/>
      <w:outlineLvl w:val="4"/>
    </w:pPr>
    <w:rPr>
      <w:color w:val="918585"/>
      <w:sz w:val="20"/>
    </w:rPr>
  </w:style>
  <w:style w:type="paragraph" w:styleId="Heading6">
    <w:name w:val="heading 6"/>
    <w:basedOn w:val="HeadingBase"/>
    <w:next w:val="Normal"/>
    <w:link w:val="Heading6Char"/>
    <w:qFormat/>
    <w:rsid w:val="00170908"/>
    <w:pPr>
      <w:spacing w:before="60"/>
      <w:outlineLvl w:val="5"/>
    </w:pPr>
    <w:rPr>
      <w:color w:val="918585"/>
      <w:sz w:val="20"/>
    </w:rPr>
  </w:style>
  <w:style w:type="paragraph" w:styleId="Heading7">
    <w:name w:val="heading 7"/>
    <w:basedOn w:val="Normal"/>
    <w:next w:val="Normal"/>
    <w:link w:val="Heading7Char"/>
    <w:qFormat/>
    <w:rsid w:val="00170908"/>
    <w:pPr>
      <w:ind w:left="720"/>
      <w:outlineLvl w:val="6"/>
    </w:pPr>
    <w:rPr>
      <w:i/>
    </w:rPr>
  </w:style>
  <w:style w:type="paragraph" w:styleId="Heading8">
    <w:name w:val="heading 8"/>
    <w:basedOn w:val="Normal"/>
    <w:next w:val="Normal"/>
    <w:link w:val="Heading8Char"/>
    <w:qFormat/>
    <w:rsid w:val="00170908"/>
    <w:pPr>
      <w:ind w:left="720"/>
      <w:outlineLvl w:val="7"/>
    </w:pPr>
    <w:rPr>
      <w:i/>
    </w:rPr>
  </w:style>
  <w:style w:type="paragraph" w:styleId="Heading9">
    <w:name w:val="heading 9"/>
    <w:basedOn w:val="Normal"/>
    <w:next w:val="Normal"/>
    <w:link w:val="Heading9Char"/>
    <w:qFormat/>
    <w:rsid w:val="00170908"/>
    <w:pPr>
      <w:ind w:left="720"/>
      <w:outlineLvl w:val="8"/>
    </w:pPr>
    <w:rPr>
      <w:i/>
    </w:rPr>
  </w:style>
  <w:style w:type="character" w:default="1" w:styleId="DefaultParagraphFont">
    <w:name w:val="Default Paragraph Font"/>
    <w:uiPriority w:val="1"/>
    <w:unhideWhenUsed/>
    <w:rsid w:val="00170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908"/>
  </w:style>
  <w:style w:type="character" w:customStyle="1" w:styleId="Heading1Char">
    <w:name w:val="Heading 1 Char"/>
    <w:basedOn w:val="DefaultParagraphFont"/>
    <w:link w:val="Heading1"/>
    <w:rsid w:val="00170908"/>
    <w:rPr>
      <w:rFonts w:ascii="Times New Roman" w:eastAsia="Times New Roman" w:hAnsi="Times New Roman" w:cs="Times New Roman"/>
      <w:b/>
      <w:sz w:val="32"/>
      <w:szCs w:val="20"/>
      <w:lang w:eastAsia="en-US"/>
    </w:rPr>
  </w:style>
  <w:style w:type="paragraph" w:styleId="BodyText">
    <w:name w:val="Body Text"/>
    <w:basedOn w:val="Normal"/>
    <w:link w:val="BodyTextChar"/>
    <w:rsid w:val="00170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908"/>
    <w:rPr>
      <w:rFonts w:ascii="Times New Roman" w:eastAsia="Times New Roman" w:hAnsi="Times New Roman" w:cs="Times New Roman"/>
      <w:sz w:val="24"/>
      <w:lang w:eastAsia="en-US"/>
    </w:rPr>
  </w:style>
  <w:style w:type="paragraph" w:styleId="ListBullet">
    <w:name w:val="List Bullet"/>
    <w:basedOn w:val="List"/>
    <w:rsid w:val="00170908"/>
    <w:pPr>
      <w:numPr>
        <w:numId w:val="12"/>
      </w:numPr>
      <w:tabs>
        <w:tab w:val="clear" w:pos="340"/>
      </w:tabs>
      <w:spacing w:before="40" w:after="40"/>
    </w:pPr>
  </w:style>
  <w:style w:type="character" w:customStyle="1" w:styleId="SpecialBold">
    <w:name w:val="Special Bold"/>
    <w:basedOn w:val="DefaultParagraphFont"/>
    <w:rsid w:val="00170908"/>
    <w:rPr>
      <w:b/>
      <w:spacing w:val="0"/>
    </w:rPr>
  </w:style>
  <w:style w:type="paragraph" w:styleId="ListBullet2">
    <w:name w:val="List Bullet 2"/>
    <w:basedOn w:val="List2"/>
    <w:rsid w:val="00170908"/>
    <w:pPr>
      <w:numPr>
        <w:numId w:val="13"/>
      </w:numPr>
      <w:tabs>
        <w:tab w:val="clear" w:pos="680"/>
      </w:tabs>
    </w:pPr>
  </w:style>
  <w:style w:type="paragraph" w:customStyle="1" w:styleId="SuperHeading">
    <w:name w:val="SuperHeading"/>
    <w:basedOn w:val="Normal"/>
    <w:rsid w:val="00170908"/>
    <w:pPr>
      <w:spacing w:before="240" w:after="120"/>
      <w:outlineLvl w:val="0"/>
    </w:pPr>
    <w:rPr>
      <w:rFonts w:ascii="Times New Roman" w:hAnsi="Times New Roman"/>
      <w:b/>
      <w:sz w:val="32"/>
    </w:rPr>
  </w:style>
  <w:style w:type="paragraph" w:customStyle="1" w:styleId="AllowPageBreak">
    <w:name w:val="AllowPageBreak"/>
    <w:rsid w:val="00170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908"/>
    <w:rPr>
      <w:rFonts w:ascii="Courier New" w:eastAsia="Times New Roman" w:hAnsi="Courier New" w:cs="Times New Roman"/>
      <w:i/>
      <w:szCs w:val="20"/>
      <w:lang w:eastAsia="en-US"/>
    </w:rPr>
  </w:style>
  <w:style w:type="paragraph" w:customStyle="1" w:styleId="HeadingBase">
    <w:name w:val="Heading Base"/>
    <w:rsid w:val="00170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908"/>
    <w:pPr>
      <w:tabs>
        <w:tab w:val="right" w:leader="dot" w:pos="9072"/>
      </w:tabs>
      <w:ind w:left="567"/>
    </w:pPr>
    <w:rPr>
      <w:szCs w:val="22"/>
    </w:rPr>
  </w:style>
  <w:style w:type="paragraph" w:customStyle="1" w:styleId="TOCBase">
    <w:name w:val="TOC Base"/>
    <w:rsid w:val="00170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908"/>
    <w:pPr>
      <w:tabs>
        <w:tab w:val="right" w:leader="dot" w:pos="9072"/>
      </w:tabs>
      <w:spacing w:before="40" w:after="40"/>
      <w:ind w:left="284"/>
    </w:pPr>
    <w:rPr>
      <w:rFonts w:ascii="Times New Roman" w:hAnsi="Times New Roman"/>
    </w:rPr>
  </w:style>
  <w:style w:type="paragraph" w:styleId="TOC1">
    <w:name w:val="toc 1"/>
    <w:basedOn w:val="TOCBase"/>
    <w:next w:val="Normal"/>
    <w:rsid w:val="00170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908"/>
    <w:rPr>
      <w:rFonts w:ascii="Times New Roman" w:eastAsia="Times New Roman" w:hAnsi="Times New Roman" w:cs="Times New Roman"/>
      <w:sz w:val="16"/>
      <w:lang w:eastAsia="en-US"/>
    </w:rPr>
  </w:style>
  <w:style w:type="paragraph" w:styleId="Title">
    <w:name w:val="Title"/>
    <w:basedOn w:val="HeadingBase"/>
    <w:link w:val="TitleChar"/>
    <w:qFormat/>
    <w:rsid w:val="00170908"/>
    <w:pPr>
      <w:spacing w:before="5040"/>
      <w:jc w:val="center"/>
    </w:pPr>
    <w:rPr>
      <w:sz w:val="48"/>
      <w:szCs w:val="72"/>
      <w:lang w:val="en-US"/>
    </w:rPr>
  </w:style>
  <w:style w:type="character" w:customStyle="1" w:styleId="TitleChar">
    <w:name w:val="Title Char"/>
    <w:basedOn w:val="DefaultParagraphFont"/>
    <w:link w:val="Title"/>
    <w:rsid w:val="00170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908"/>
    <w:pPr>
      <w:tabs>
        <w:tab w:val="left" w:pos="3600"/>
        <w:tab w:val="left" w:pos="3958"/>
      </w:tabs>
    </w:pPr>
  </w:style>
  <w:style w:type="paragraph" w:styleId="List">
    <w:name w:val="List"/>
    <w:basedOn w:val="BodyText"/>
    <w:next w:val="BodyText"/>
    <w:rsid w:val="00170908"/>
    <w:pPr>
      <w:tabs>
        <w:tab w:val="left" w:pos="340"/>
      </w:tabs>
      <w:spacing w:before="60" w:after="60"/>
      <w:ind w:left="340" w:hanging="340"/>
    </w:pPr>
  </w:style>
  <w:style w:type="paragraph" w:customStyle="1" w:styleId="Note">
    <w:name w:val="Note"/>
    <w:basedOn w:val="BodyText"/>
    <w:rsid w:val="00170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908"/>
    <w:pPr>
      <w:framePr w:wrap="auto" w:hAnchor="text" w:y="6049"/>
    </w:pPr>
    <w:rPr>
      <w:color w:val="000000"/>
      <w:sz w:val="40"/>
    </w:rPr>
  </w:style>
  <w:style w:type="paragraph" w:customStyle="1" w:styleId="TOCTitle">
    <w:name w:val="TOCTitle"/>
    <w:basedOn w:val="Heading1"/>
    <w:rsid w:val="00170908"/>
    <w:pPr>
      <w:spacing w:after="240"/>
      <w:jc w:val="center"/>
      <w:outlineLvl w:val="9"/>
    </w:pPr>
    <w:rPr>
      <w:caps/>
    </w:rPr>
  </w:style>
  <w:style w:type="paragraph" w:customStyle="1" w:styleId="Version">
    <w:name w:val="Version"/>
    <w:rsid w:val="00170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908"/>
    <w:pPr>
      <w:keepNext w:val="0"/>
      <w:tabs>
        <w:tab w:val="right" w:pos="4176"/>
      </w:tabs>
      <w:ind w:left="198" w:hanging="198"/>
    </w:pPr>
    <w:rPr>
      <w:rFonts w:ascii="Garamond" w:hAnsi="Garamond"/>
    </w:rPr>
  </w:style>
  <w:style w:type="paragraph" w:styleId="IndexHeading">
    <w:name w:val="index heading"/>
    <w:basedOn w:val="Normal"/>
    <w:next w:val="Index1"/>
    <w:semiHidden/>
    <w:rsid w:val="00170908"/>
    <w:pPr>
      <w:spacing w:before="120" w:after="120"/>
    </w:pPr>
    <w:rPr>
      <w:rFonts w:ascii="Arial" w:hAnsi="Arial"/>
      <w:b/>
      <w:color w:val="918585"/>
      <w:sz w:val="24"/>
    </w:rPr>
  </w:style>
  <w:style w:type="paragraph" w:styleId="Header">
    <w:name w:val="header"/>
    <w:basedOn w:val="Normal"/>
    <w:link w:val="HeaderChar"/>
    <w:rsid w:val="00170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908"/>
    <w:rPr>
      <w:rFonts w:ascii="Times New Roman" w:eastAsia="Times New Roman" w:hAnsi="Times New Roman" w:cs="Times New Roman"/>
      <w:sz w:val="16"/>
      <w:szCs w:val="20"/>
      <w:lang w:val="en-GB" w:eastAsia="en-US"/>
    </w:rPr>
  </w:style>
  <w:style w:type="paragraph" w:customStyle="1" w:styleId="Chapter">
    <w:name w:val="Chapter"/>
    <w:basedOn w:val="Normal"/>
    <w:rsid w:val="00170908"/>
    <w:pPr>
      <w:spacing w:before="240"/>
    </w:pPr>
    <w:rPr>
      <w:rFonts w:ascii="Times New Roman" w:hAnsi="Times New Roman"/>
      <w:smallCaps/>
      <w:spacing w:val="80"/>
      <w:sz w:val="28"/>
    </w:rPr>
  </w:style>
  <w:style w:type="paragraph" w:customStyle="1" w:styleId="InChapter">
    <w:name w:val="InChapter"/>
    <w:basedOn w:val="Heading3"/>
    <w:rsid w:val="00170908"/>
    <w:pPr>
      <w:spacing w:after="240"/>
      <w:outlineLvl w:val="9"/>
    </w:pPr>
    <w:rPr>
      <w:noProof/>
    </w:rPr>
  </w:style>
  <w:style w:type="paragraph" w:styleId="Index2">
    <w:name w:val="index 2"/>
    <w:basedOn w:val="Normal"/>
    <w:next w:val="Normal"/>
    <w:semiHidden/>
    <w:rsid w:val="00170908"/>
    <w:pPr>
      <w:tabs>
        <w:tab w:val="right" w:pos="4176"/>
      </w:tabs>
      <w:ind w:left="568" w:hanging="284"/>
    </w:pPr>
    <w:rPr>
      <w:rFonts w:ascii="Garamond" w:hAnsi="Garamond"/>
    </w:rPr>
  </w:style>
  <w:style w:type="paragraph" w:customStyle="1" w:styleId="Byline">
    <w:name w:val="Byline"/>
    <w:rsid w:val="00170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908"/>
    <w:pPr>
      <w:tabs>
        <w:tab w:val="clear" w:pos="3600"/>
        <w:tab w:val="clear" w:pos="3958"/>
      </w:tabs>
      <w:jc w:val="right"/>
    </w:pPr>
  </w:style>
  <w:style w:type="character" w:styleId="Emphasis">
    <w:name w:val="Emphasis"/>
    <w:basedOn w:val="DefaultParagraphFont"/>
    <w:qFormat/>
    <w:rsid w:val="00170908"/>
    <w:rPr>
      <w:i/>
    </w:rPr>
  </w:style>
  <w:style w:type="paragraph" w:styleId="Caption">
    <w:name w:val="caption"/>
    <w:basedOn w:val="BodyText"/>
    <w:next w:val="Normal"/>
    <w:qFormat/>
    <w:rsid w:val="00170908"/>
    <w:pPr>
      <w:framePr w:w="2268" w:hSpace="181" w:vSpace="181" w:wrap="around" w:vAnchor="text" w:hAnchor="page" w:x="1135" w:y="285" w:anchorLock="1"/>
    </w:pPr>
    <w:rPr>
      <w:i/>
    </w:rPr>
  </w:style>
  <w:style w:type="paragraph" w:customStyle="1" w:styleId="MiniTOCTitle">
    <w:name w:val="MiniTOCTitle"/>
    <w:basedOn w:val="Heading4"/>
    <w:rsid w:val="00170908"/>
    <w:pPr>
      <w:spacing w:before="240"/>
      <w:outlineLvl w:val="9"/>
    </w:pPr>
    <w:rPr>
      <w:noProof/>
      <w:sz w:val="24"/>
    </w:rPr>
  </w:style>
  <w:style w:type="paragraph" w:customStyle="1" w:styleId="MiniTOCItem">
    <w:name w:val="MiniTOCItem"/>
    <w:basedOn w:val="ListBullet"/>
    <w:rsid w:val="00170908"/>
    <w:pPr>
      <w:numPr>
        <w:numId w:val="0"/>
      </w:numPr>
      <w:tabs>
        <w:tab w:val="right" w:leader="dot" w:pos="6521"/>
      </w:tabs>
      <w:spacing w:before="0" w:after="0"/>
    </w:pPr>
  </w:style>
  <w:style w:type="paragraph" w:customStyle="1" w:styleId="TOFTitle">
    <w:name w:val="TOFTitle"/>
    <w:basedOn w:val="TOCTitle"/>
    <w:rsid w:val="00170908"/>
  </w:style>
  <w:style w:type="paragraph" w:styleId="TableofFigures">
    <w:name w:val="table of figures"/>
    <w:basedOn w:val="Normal"/>
    <w:next w:val="Normal"/>
    <w:semiHidden/>
    <w:rsid w:val="00170908"/>
    <w:pPr>
      <w:tabs>
        <w:tab w:val="right" w:leader="dot" w:pos="9072"/>
      </w:tabs>
      <w:ind w:left="970" w:hanging="403"/>
    </w:pPr>
    <w:rPr>
      <w:rFonts w:ascii="Times New Roman" w:hAnsi="Times New Roman"/>
      <w:b/>
    </w:rPr>
  </w:style>
  <w:style w:type="paragraph" w:styleId="ListNumber">
    <w:name w:val="List Number"/>
    <w:basedOn w:val="List"/>
    <w:rsid w:val="00170908"/>
    <w:pPr>
      <w:numPr>
        <w:numId w:val="15"/>
      </w:numPr>
      <w:tabs>
        <w:tab w:val="clear" w:pos="340"/>
      </w:tabs>
    </w:pPr>
  </w:style>
  <w:style w:type="character" w:customStyle="1" w:styleId="WingdingSymbols">
    <w:name w:val="Wingding Symbols"/>
    <w:rsid w:val="00170908"/>
    <w:rPr>
      <w:rFonts w:ascii="Wingdings" w:hAnsi="Wingdings"/>
    </w:rPr>
  </w:style>
  <w:style w:type="paragraph" w:customStyle="1" w:styleId="TableHeading">
    <w:name w:val="Table Heading"/>
    <w:basedOn w:val="HeadingBase"/>
    <w:rsid w:val="00170908"/>
    <w:pPr>
      <w:keepLines/>
      <w:pBdr>
        <w:bottom w:val="single" w:sz="6" w:space="1" w:color="918585"/>
      </w:pBdr>
      <w:spacing w:before="240"/>
    </w:pPr>
  </w:style>
  <w:style w:type="character" w:customStyle="1" w:styleId="HotSpot">
    <w:name w:val="HotSpot"/>
    <w:rsid w:val="00170908"/>
    <w:rPr>
      <w:color w:val="0033CC"/>
      <w:u w:val="none"/>
    </w:rPr>
  </w:style>
  <w:style w:type="paragraph" w:customStyle="1" w:styleId="BodyTextRight">
    <w:name w:val="Body Text Right"/>
    <w:basedOn w:val="BodyText"/>
    <w:rsid w:val="00170908"/>
    <w:pPr>
      <w:spacing w:before="0" w:after="0"/>
      <w:jc w:val="right"/>
    </w:pPr>
  </w:style>
  <w:style w:type="paragraph" w:styleId="Index3">
    <w:name w:val="index 3"/>
    <w:basedOn w:val="ListNumber2"/>
    <w:next w:val="Normal"/>
    <w:semiHidden/>
    <w:rsid w:val="00170908"/>
    <w:pPr>
      <w:numPr>
        <w:numId w:val="0"/>
      </w:numPr>
      <w:tabs>
        <w:tab w:val="right" w:leader="dot" w:pos="4176"/>
      </w:tabs>
    </w:pPr>
  </w:style>
  <w:style w:type="paragraph" w:styleId="ListNumber2">
    <w:name w:val="List Number 2"/>
    <w:basedOn w:val="List2"/>
    <w:rsid w:val="00170908"/>
    <w:pPr>
      <w:numPr>
        <w:numId w:val="10"/>
      </w:numPr>
      <w:tabs>
        <w:tab w:val="clear" w:pos="1060"/>
      </w:tabs>
    </w:pPr>
  </w:style>
  <w:style w:type="paragraph" w:customStyle="1" w:styleId="MarginNote">
    <w:name w:val="Margin Note"/>
    <w:basedOn w:val="BodyText"/>
    <w:rsid w:val="00170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908"/>
    <w:rPr>
      <w:sz w:val="32"/>
    </w:rPr>
  </w:style>
  <w:style w:type="paragraph" w:customStyle="1" w:styleId="HeadingProcedure">
    <w:name w:val="Heading Procedure"/>
    <w:basedOn w:val="HeadingBase"/>
    <w:next w:val="Normal"/>
    <w:rsid w:val="00170908"/>
    <w:pPr>
      <w:tabs>
        <w:tab w:val="left" w:pos="0"/>
      </w:tabs>
      <w:spacing w:before="120" w:after="60"/>
    </w:pPr>
    <w:rPr>
      <w:i/>
      <w:color w:val="918585"/>
      <w:sz w:val="22"/>
    </w:rPr>
  </w:style>
  <w:style w:type="paragraph" w:customStyle="1" w:styleId="TableBodyText">
    <w:name w:val="Table Body Text"/>
    <w:basedOn w:val="BodyText"/>
    <w:rsid w:val="00170908"/>
    <w:pPr>
      <w:spacing w:before="60" w:after="60"/>
    </w:pPr>
  </w:style>
  <w:style w:type="paragraph" w:styleId="ListContinue">
    <w:name w:val="List Continue"/>
    <w:basedOn w:val="List"/>
    <w:rsid w:val="00170908"/>
    <w:pPr>
      <w:ind w:firstLine="0"/>
    </w:pPr>
  </w:style>
  <w:style w:type="paragraph" w:customStyle="1" w:styleId="ListNote">
    <w:name w:val="List Note"/>
    <w:basedOn w:val="List"/>
    <w:rsid w:val="00170908"/>
    <w:pPr>
      <w:pBdr>
        <w:top w:val="single" w:sz="6" w:space="2" w:color="918585"/>
        <w:bottom w:val="single" w:sz="6" w:space="2" w:color="918585"/>
      </w:pBdr>
      <w:tabs>
        <w:tab w:val="left" w:pos="1021"/>
      </w:tabs>
      <w:ind w:firstLine="0"/>
    </w:pPr>
  </w:style>
  <w:style w:type="paragraph" w:customStyle="1" w:styleId="Warning">
    <w:name w:val="Warning"/>
    <w:basedOn w:val="BodyText"/>
    <w:rsid w:val="00170908"/>
    <w:pPr>
      <w:shd w:val="clear" w:color="auto" w:fill="D9D9D9"/>
      <w:tabs>
        <w:tab w:val="left" w:pos="992"/>
      </w:tabs>
      <w:ind w:left="119" w:right="119"/>
    </w:pPr>
    <w:rPr>
      <w:sz w:val="20"/>
    </w:rPr>
  </w:style>
  <w:style w:type="paragraph" w:customStyle="1" w:styleId="MarginIcons">
    <w:name w:val="Margin Icons"/>
    <w:basedOn w:val="BodyText"/>
    <w:rsid w:val="00170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908"/>
    <w:rPr>
      <w:rFonts w:ascii="Courier New" w:hAnsi="Courier New"/>
    </w:rPr>
  </w:style>
  <w:style w:type="paragraph" w:customStyle="1" w:styleId="NoteBullet">
    <w:name w:val="Note Bullet"/>
    <w:basedOn w:val="Note"/>
    <w:rsid w:val="00170908"/>
    <w:pPr>
      <w:tabs>
        <w:tab w:val="clear" w:pos="680"/>
      </w:tabs>
      <w:spacing w:before="60" w:after="60"/>
    </w:pPr>
  </w:style>
  <w:style w:type="paragraph" w:customStyle="1" w:styleId="SubHeading2">
    <w:name w:val="SubHeading2"/>
    <w:basedOn w:val="HeadingBase"/>
    <w:rsid w:val="00170908"/>
    <w:pPr>
      <w:spacing w:before="240" w:after="60"/>
    </w:pPr>
    <w:rPr>
      <w:sz w:val="20"/>
    </w:rPr>
  </w:style>
  <w:style w:type="paragraph" w:customStyle="1" w:styleId="SubHeading1">
    <w:name w:val="SubHeading1"/>
    <w:basedOn w:val="HeadingBase"/>
    <w:rsid w:val="00170908"/>
    <w:pPr>
      <w:spacing w:before="240" w:after="60"/>
    </w:pPr>
    <w:rPr>
      <w:color w:val="918585"/>
      <w:sz w:val="22"/>
    </w:rPr>
  </w:style>
  <w:style w:type="paragraph" w:customStyle="1" w:styleId="SideHeading">
    <w:name w:val="Side Heading"/>
    <w:basedOn w:val="HeadingBase"/>
    <w:rsid w:val="00170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908"/>
    <w:pPr>
      <w:tabs>
        <w:tab w:val="num" w:pos="360"/>
      </w:tabs>
    </w:pPr>
  </w:style>
  <w:style w:type="paragraph" w:styleId="PlainText">
    <w:name w:val="Plain Text"/>
    <w:basedOn w:val="Normal"/>
    <w:link w:val="PlainTextChar"/>
    <w:rsid w:val="00170908"/>
    <w:rPr>
      <w:sz w:val="20"/>
    </w:rPr>
  </w:style>
  <w:style w:type="character" w:customStyle="1" w:styleId="PlainTextChar">
    <w:name w:val="Plain Text Char"/>
    <w:basedOn w:val="DefaultParagraphFont"/>
    <w:link w:val="PlainText"/>
    <w:rsid w:val="00170908"/>
    <w:rPr>
      <w:rFonts w:ascii="Courier New" w:eastAsia="Times New Roman" w:hAnsi="Courier New" w:cs="Times New Roman"/>
      <w:sz w:val="20"/>
      <w:szCs w:val="20"/>
      <w:lang w:eastAsia="en-US"/>
    </w:rPr>
  </w:style>
  <w:style w:type="character" w:customStyle="1" w:styleId="MenuOption">
    <w:name w:val="Menu Option"/>
    <w:basedOn w:val="DefaultParagraphFont"/>
    <w:rsid w:val="00170908"/>
    <w:rPr>
      <w:b/>
      <w:smallCaps/>
    </w:rPr>
  </w:style>
  <w:style w:type="paragraph" w:customStyle="1" w:styleId="TableListNumber">
    <w:name w:val="Table List Number"/>
    <w:basedOn w:val="ListNumber"/>
    <w:rsid w:val="00170908"/>
    <w:pPr>
      <w:numPr>
        <w:numId w:val="0"/>
      </w:numPr>
    </w:pPr>
  </w:style>
  <w:style w:type="paragraph" w:styleId="TOC4">
    <w:name w:val="toc 4"/>
    <w:basedOn w:val="TOCBase"/>
    <w:next w:val="Normal"/>
    <w:semiHidden/>
    <w:rsid w:val="00170908"/>
    <w:pPr>
      <w:tabs>
        <w:tab w:val="right" w:leader="dot" w:pos="9071"/>
      </w:tabs>
      <w:ind w:left="1701"/>
    </w:pPr>
  </w:style>
  <w:style w:type="paragraph" w:customStyle="1" w:styleId="ListAlpha">
    <w:name w:val="List Alpha"/>
    <w:basedOn w:val="List"/>
    <w:rsid w:val="00170908"/>
    <w:pPr>
      <w:numPr>
        <w:numId w:val="9"/>
      </w:numPr>
    </w:pPr>
  </w:style>
  <w:style w:type="paragraph" w:customStyle="1" w:styleId="ListAlpha2">
    <w:name w:val="List Alpha 2"/>
    <w:basedOn w:val="List2"/>
    <w:rsid w:val="00170908"/>
    <w:pPr>
      <w:numPr>
        <w:numId w:val="8"/>
      </w:numPr>
    </w:pPr>
  </w:style>
  <w:style w:type="paragraph" w:styleId="List2">
    <w:name w:val="List 2"/>
    <w:basedOn w:val="BodyText"/>
    <w:rsid w:val="00170908"/>
    <w:pPr>
      <w:tabs>
        <w:tab w:val="left" w:pos="680"/>
      </w:tabs>
      <w:spacing w:before="60" w:after="60"/>
      <w:ind w:left="680" w:hanging="340"/>
    </w:pPr>
  </w:style>
  <w:style w:type="paragraph" w:styleId="List3">
    <w:name w:val="List 3"/>
    <w:basedOn w:val="BodyText"/>
    <w:rsid w:val="00170908"/>
    <w:pPr>
      <w:tabs>
        <w:tab w:val="left" w:pos="1021"/>
      </w:tabs>
      <w:spacing w:before="60" w:after="60"/>
      <w:ind w:left="1020" w:hanging="340"/>
    </w:pPr>
  </w:style>
  <w:style w:type="paragraph" w:styleId="List4">
    <w:name w:val="List 4"/>
    <w:basedOn w:val="BodyText"/>
    <w:rsid w:val="00170908"/>
    <w:pPr>
      <w:tabs>
        <w:tab w:val="left" w:pos="1361"/>
      </w:tabs>
      <w:spacing w:before="60" w:after="60"/>
      <w:ind w:left="1361" w:hanging="340"/>
    </w:pPr>
  </w:style>
  <w:style w:type="paragraph" w:styleId="List5">
    <w:name w:val="List 5"/>
    <w:basedOn w:val="BodyText"/>
    <w:rsid w:val="00170908"/>
    <w:pPr>
      <w:tabs>
        <w:tab w:val="left" w:pos="1701"/>
      </w:tabs>
      <w:spacing w:before="60" w:after="60"/>
      <w:ind w:left="1701" w:hanging="340"/>
    </w:pPr>
  </w:style>
  <w:style w:type="paragraph" w:styleId="ListBullet3">
    <w:name w:val="List Bullet 3"/>
    <w:basedOn w:val="List3"/>
    <w:rsid w:val="00170908"/>
    <w:pPr>
      <w:numPr>
        <w:numId w:val="14"/>
      </w:numPr>
      <w:tabs>
        <w:tab w:val="clear" w:pos="1021"/>
      </w:tabs>
      <w:ind w:left="1037" w:hanging="357"/>
    </w:pPr>
  </w:style>
  <w:style w:type="paragraph" w:styleId="ListBullet4">
    <w:name w:val="List Bullet 4"/>
    <w:basedOn w:val="List4"/>
    <w:rsid w:val="00170908"/>
    <w:pPr>
      <w:numPr>
        <w:numId w:val="3"/>
      </w:numPr>
      <w:tabs>
        <w:tab w:val="clear" w:pos="1361"/>
      </w:tabs>
    </w:pPr>
  </w:style>
  <w:style w:type="paragraph" w:styleId="ListBullet5">
    <w:name w:val="List Bullet 5"/>
    <w:basedOn w:val="List5"/>
    <w:rsid w:val="00170908"/>
    <w:pPr>
      <w:numPr>
        <w:numId w:val="4"/>
      </w:numPr>
    </w:pPr>
  </w:style>
  <w:style w:type="paragraph" w:styleId="ListContinue2">
    <w:name w:val="List Continue 2"/>
    <w:basedOn w:val="List2"/>
    <w:rsid w:val="00170908"/>
    <w:pPr>
      <w:ind w:firstLine="0"/>
    </w:pPr>
  </w:style>
  <w:style w:type="paragraph" w:styleId="ListContinue3">
    <w:name w:val="List Continue 3"/>
    <w:basedOn w:val="List3"/>
    <w:rsid w:val="00170908"/>
    <w:pPr>
      <w:ind w:left="1021" w:firstLine="0"/>
    </w:pPr>
  </w:style>
  <w:style w:type="paragraph" w:styleId="ListContinue4">
    <w:name w:val="List Continue 4"/>
    <w:basedOn w:val="List4"/>
    <w:rsid w:val="00170908"/>
    <w:pPr>
      <w:ind w:firstLine="0"/>
    </w:pPr>
  </w:style>
  <w:style w:type="paragraph" w:styleId="ListContinue5">
    <w:name w:val="List Continue 5"/>
    <w:basedOn w:val="List5"/>
    <w:rsid w:val="00170908"/>
    <w:pPr>
      <w:ind w:firstLine="0"/>
    </w:pPr>
  </w:style>
  <w:style w:type="paragraph" w:styleId="ListNumber3">
    <w:name w:val="List Number 3"/>
    <w:basedOn w:val="List3"/>
    <w:rsid w:val="00170908"/>
    <w:pPr>
      <w:numPr>
        <w:numId w:val="5"/>
      </w:numPr>
    </w:pPr>
  </w:style>
  <w:style w:type="paragraph" w:styleId="ListNumber4">
    <w:name w:val="List Number 4"/>
    <w:basedOn w:val="List4"/>
    <w:rsid w:val="00170908"/>
    <w:pPr>
      <w:numPr>
        <w:numId w:val="6"/>
      </w:numPr>
    </w:pPr>
  </w:style>
  <w:style w:type="paragraph" w:styleId="ListNumber5">
    <w:name w:val="List Number 5"/>
    <w:basedOn w:val="List5"/>
    <w:rsid w:val="00170908"/>
    <w:pPr>
      <w:numPr>
        <w:numId w:val="7"/>
      </w:numPr>
    </w:pPr>
  </w:style>
  <w:style w:type="paragraph" w:styleId="BlockText">
    <w:name w:val="Block Text"/>
    <w:basedOn w:val="Normal"/>
    <w:rsid w:val="00170908"/>
    <w:pPr>
      <w:spacing w:after="120"/>
      <w:ind w:left="1440" w:right="1440"/>
    </w:pPr>
  </w:style>
  <w:style w:type="character" w:customStyle="1" w:styleId="Subscript">
    <w:name w:val="Subscript"/>
    <w:basedOn w:val="DefaultParagraphFont"/>
    <w:rsid w:val="00170908"/>
    <w:rPr>
      <w:sz w:val="16"/>
      <w:vertAlign w:val="subscript"/>
    </w:rPr>
  </w:style>
  <w:style w:type="character" w:customStyle="1" w:styleId="Superscript">
    <w:name w:val="Superscript"/>
    <w:basedOn w:val="DefaultParagraphFont"/>
    <w:rsid w:val="00170908"/>
    <w:rPr>
      <w:sz w:val="16"/>
      <w:vertAlign w:val="superscript"/>
    </w:rPr>
  </w:style>
  <w:style w:type="character" w:customStyle="1" w:styleId="Symbols">
    <w:name w:val="Symbols"/>
    <w:basedOn w:val="DefaultParagraphFont"/>
    <w:rsid w:val="00170908"/>
    <w:rPr>
      <w:rFonts w:ascii="Symbol" w:hAnsi="Symbol"/>
    </w:rPr>
  </w:style>
  <w:style w:type="character" w:customStyle="1" w:styleId="MenuOptions">
    <w:name w:val="Menu Options"/>
    <w:basedOn w:val="DefaultParagraphFont"/>
    <w:rsid w:val="00170908"/>
    <w:rPr>
      <w:rFonts w:ascii="Arial Narrow" w:hAnsi="Arial Narrow"/>
      <w:smallCaps/>
    </w:rPr>
  </w:style>
  <w:style w:type="character" w:customStyle="1" w:styleId="Buttons">
    <w:name w:val="Buttons"/>
    <w:basedOn w:val="DefaultParagraphFont"/>
    <w:rsid w:val="00170908"/>
    <w:rPr>
      <w:b/>
    </w:rPr>
  </w:style>
  <w:style w:type="character" w:customStyle="1" w:styleId="Underlined">
    <w:name w:val="Underlined"/>
    <w:basedOn w:val="DefaultParagraphFont"/>
    <w:rsid w:val="00170908"/>
    <w:rPr>
      <w:u w:val="single"/>
    </w:rPr>
  </w:style>
  <w:style w:type="paragraph" w:customStyle="1" w:styleId="TableBodyTextRight">
    <w:name w:val="Table Body Text Right"/>
    <w:basedOn w:val="TableBodyText"/>
    <w:rsid w:val="00170908"/>
    <w:pPr>
      <w:widowControl w:val="0"/>
      <w:autoSpaceDE w:val="0"/>
      <w:autoSpaceDN w:val="0"/>
      <w:adjustRightInd w:val="0"/>
      <w:jc w:val="right"/>
    </w:pPr>
    <w:rPr>
      <w:rFonts w:cs="Arial"/>
      <w:szCs w:val="18"/>
    </w:rPr>
  </w:style>
  <w:style w:type="paragraph" w:customStyle="1" w:styleId="CopyrightText">
    <w:name w:val="Copyright Text"/>
    <w:basedOn w:val="BodyText"/>
    <w:rsid w:val="00170908"/>
    <w:rPr>
      <w:sz w:val="18"/>
    </w:rPr>
  </w:style>
  <w:style w:type="paragraph" w:customStyle="1" w:styleId="BodySmallRight">
    <w:name w:val="Body Small Right"/>
    <w:basedOn w:val="BodyTextRight"/>
    <w:rsid w:val="00170908"/>
    <w:rPr>
      <w:sz w:val="18"/>
      <w:szCs w:val="18"/>
    </w:rPr>
  </w:style>
  <w:style w:type="paragraph" w:customStyle="1" w:styleId="MarginEdition">
    <w:name w:val="Margin Edition"/>
    <w:basedOn w:val="MarginNote"/>
    <w:rsid w:val="00170908"/>
    <w:pPr>
      <w:spacing w:before="0" w:after="0"/>
    </w:pPr>
    <w:rPr>
      <w:rFonts w:ascii="Times New Roman" w:hAnsi="Times New Roman"/>
      <w:color w:val="999999"/>
    </w:rPr>
  </w:style>
  <w:style w:type="paragraph" w:customStyle="1" w:styleId="Spacer">
    <w:name w:val="Spacer"/>
    <w:basedOn w:val="Normal"/>
    <w:rsid w:val="00170908"/>
    <w:rPr>
      <w:sz w:val="2"/>
      <w:szCs w:val="2"/>
    </w:rPr>
  </w:style>
  <w:style w:type="character" w:customStyle="1" w:styleId="Small">
    <w:name w:val="Small"/>
    <w:basedOn w:val="DefaultParagraphFont"/>
    <w:rsid w:val="00170908"/>
    <w:rPr>
      <w:sz w:val="16"/>
    </w:rPr>
  </w:style>
  <w:style w:type="paragraph" w:customStyle="1" w:styleId="WideTable">
    <w:name w:val="Wide Table"/>
    <w:basedOn w:val="Normal"/>
    <w:rsid w:val="00170908"/>
    <w:pPr>
      <w:ind w:left="-1418"/>
    </w:pPr>
    <w:rPr>
      <w:sz w:val="2"/>
      <w:szCs w:val="2"/>
    </w:rPr>
  </w:style>
  <w:style w:type="character" w:styleId="PageNumber">
    <w:name w:val="page number"/>
    <w:basedOn w:val="DefaultParagraphFont"/>
    <w:rsid w:val="00170908"/>
  </w:style>
  <w:style w:type="paragraph" w:styleId="Quote">
    <w:name w:val="Quote"/>
    <w:basedOn w:val="Heading1"/>
    <w:link w:val="QuoteChar"/>
    <w:qFormat/>
    <w:rsid w:val="00170908"/>
    <w:rPr>
      <w:b w:val="0"/>
      <w:sz w:val="72"/>
      <w:szCs w:val="72"/>
      <w:lang w:val="en-NZ"/>
    </w:rPr>
  </w:style>
  <w:style w:type="character" w:customStyle="1" w:styleId="QuoteChar">
    <w:name w:val="Quote Char"/>
    <w:basedOn w:val="DefaultParagraphFont"/>
    <w:link w:val="Quote"/>
    <w:rsid w:val="00170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908"/>
    <w:pPr>
      <w:pageBreakBefore/>
    </w:pPr>
  </w:style>
  <w:style w:type="paragraph" w:customStyle="1" w:styleId="Border">
    <w:name w:val="Border"/>
    <w:basedOn w:val="Normal"/>
    <w:qFormat/>
    <w:rsid w:val="00170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908"/>
    <w:rPr>
      <w:b/>
      <w:bCs/>
      <w:i/>
      <w:iCs/>
      <w:color w:val="auto"/>
    </w:rPr>
  </w:style>
  <w:style w:type="paragraph" w:styleId="IntenseQuote">
    <w:name w:val="Intense Quote"/>
    <w:basedOn w:val="Normal"/>
    <w:next w:val="Normal"/>
    <w:link w:val="IntenseQuoteChar"/>
    <w:uiPriority w:val="30"/>
    <w:qFormat/>
    <w:rsid w:val="00170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908"/>
    <w:rPr>
      <w:smallCaps/>
      <w:color w:val="auto"/>
      <w:u w:val="single"/>
    </w:rPr>
  </w:style>
  <w:style w:type="character" w:styleId="IntenseReference">
    <w:name w:val="Intense Reference"/>
    <w:basedOn w:val="DefaultParagraphFont"/>
    <w:uiPriority w:val="32"/>
    <w:qFormat/>
    <w:rsid w:val="00170908"/>
    <w:rPr>
      <w:b/>
      <w:bCs/>
      <w:smallCaps/>
      <w:color w:val="auto"/>
      <w:spacing w:val="5"/>
      <w:u w:val="single"/>
    </w:rPr>
  </w:style>
  <w:style w:type="paragraph" w:customStyle="1" w:styleId="2ColumnHeading">
    <w:name w:val="2Column Heading"/>
    <w:basedOn w:val="BodyText"/>
    <w:qFormat/>
    <w:rsid w:val="00170908"/>
    <w:pPr>
      <w:spacing w:after="60"/>
      <w:ind w:left="-2268"/>
    </w:pPr>
    <w:rPr>
      <w:b/>
    </w:rPr>
  </w:style>
  <w:style w:type="paragraph" w:customStyle="1" w:styleId="Heading1TOC">
    <w:name w:val="Heading1 TOC"/>
    <w:basedOn w:val="Normal"/>
    <w:qFormat/>
    <w:rsid w:val="00170908"/>
    <w:pPr>
      <w:spacing w:before="240" w:after="120"/>
    </w:pPr>
    <w:rPr>
      <w:rFonts w:ascii="Times New Roman" w:hAnsi="Times New Roman"/>
      <w:b/>
      <w:sz w:val="32"/>
    </w:rPr>
  </w:style>
  <w:style w:type="paragraph" w:customStyle="1" w:styleId="Heading2TOC">
    <w:name w:val="Heading2 TOC"/>
    <w:basedOn w:val="Normal"/>
    <w:qFormat/>
    <w:rsid w:val="00170908"/>
    <w:pPr>
      <w:spacing w:before="240" w:after="60"/>
    </w:pPr>
    <w:rPr>
      <w:rFonts w:ascii="Times New Roman" w:hAnsi="Times New Roman"/>
      <w:b/>
      <w:sz w:val="28"/>
    </w:rPr>
  </w:style>
  <w:style w:type="character" w:customStyle="1" w:styleId="Underline">
    <w:name w:val="Underline"/>
    <w:basedOn w:val="DefaultParagraphFont"/>
    <w:qFormat/>
    <w:rsid w:val="00170908"/>
    <w:rPr>
      <w:u w:val="single"/>
    </w:rPr>
  </w:style>
  <w:style w:type="character" w:customStyle="1" w:styleId="BoldandItalics">
    <w:name w:val="Bold and Italics"/>
    <w:qFormat/>
    <w:rsid w:val="00170908"/>
    <w:rPr>
      <w:b/>
      <w:i/>
      <w:u w:val="none"/>
    </w:rPr>
  </w:style>
  <w:style w:type="paragraph" w:styleId="BalloonText">
    <w:name w:val="Balloon Text"/>
    <w:basedOn w:val="Normal"/>
    <w:link w:val="BalloonTextChar"/>
    <w:rsid w:val="00170908"/>
    <w:rPr>
      <w:rFonts w:ascii="Tahoma" w:hAnsi="Tahoma" w:cs="Tahoma"/>
      <w:sz w:val="16"/>
      <w:szCs w:val="16"/>
    </w:rPr>
  </w:style>
  <w:style w:type="character" w:customStyle="1" w:styleId="BalloonTextChar">
    <w:name w:val="Balloon Text Char"/>
    <w:basedOn w:val="DefaultParagraphFont"/>
    <w:link w:val="BalloonText"/>
    <w:rsid w:val="00170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908"/>
    <w:rPr>
      <w:b/>
      <w:color w:val="660033"/>
      <w:spacing w:val="0"/>
    </w:rPr>
  </w:style>
  <w:style w:type="paragraph" w:customStyle="1" w:styleId="Nameditemlist">
    <w:name w:val="Named item list"/>
    <w:basedOn w:val="BodyText"/>
    <w:qFormat/>
    <w:rsid w:val="00170908"/>
    <w:pPr>
      <w:tabs>
        <w:tab w:val="left" w:pos="2835"/>
      </w:tabs>
      <w:ind w:left="2835" w:hanging="2835"/>
    </w:pPr>
  </w:style>
  <w:style w:type="paragraph" w:customStyle="1" w:styleId="BodyTextnopadding">
    <w:name w:val="Body Text no padding"/>
    <w:basedOn w:val="BodyText"/>
    <w:qFormat/>
    <w:rsid w:val="00170908"/>
    <w:pPr>
      <w:spacing w:before="0" w:after="0"/>
    </w:pPr>
  </w:style>
  <w:style w:type="paragraph" w:customStyle="1" w:styleId="BodyTextBold">
    <w:name w:val="Body Text Bold"/>
    <w:basedOn w:val="BodyText"/>
    <w:qFormat/>
    <w:rsid w:val="00170908"/>
    <w:rPr>
      <w:b/>
    </w:rPr>
  </w:style>
  <w:style w:type="character" w:styleId="Hyperlink">
    <w:name w:val="Hyperlink"/>
    <w:basedOn w:val="DefaultParagraphFont"/>
    <w:uiPriority w:val="99"/>
    <w:unhideWhenUsed/>
    <w:rsid w:val="00B53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3640</Characters>
  <Application>Microsoft Office Word</Application>
  <DocSecurity>0</DocSecurity>
  <Lines>107</Lines>
  <Paragraphs>84</Paragraphs>
  <ScaleCrop>false</ScaleCrop>
  <Company>Author-it Software Corporation Ltd.</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FNSTPB504 Apply legal principles in corporations and trust law</dc:title>
  <dc:subject>Approved</dc:subject>
  <dc:creator>PwC’s Skills for Australia</dc:creator>
  <cp:keywords>Release: 1</cp:keywords>
  <dc:description>Review Date: 12 April 2008</dc:description>
  <cp:lastModifiedBy>HSD_TPCMSd.prod</cp:lastModifiedBy>
  <cp:revision>3</cp:revision>
  <dcterms:created xsi:type="dcterms:W3CDTF">2022-11-03T07:43:00Z</dcterms:created>
  <dcterms:modified xsi:type="dcterms:W3CDTF">2022-11-03T07:43:00Z</dcterms:modified>
</cp:coreProperties>
</file>