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570" w:rsidP="000B0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FNSTPB402 Establish and maintain payroll systems</w:t>
      </w:r>
      <w:r>
        <w:fldChar w:fldCharType="end"/>
      </w:r>
    </w:p>
    <w:p w:rsidR="000B0570" w:rsidP="000B0570">
      <w:pPr>
        <w:pStyle w:val="Version"/>
        <w:sectPr w:rsidSect="000F12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2D3" w:rsidP="000F12D3">
      <w:pPr>
        <w:pStyle w:val="SuperHeading"/>
      </w:pPr>
      <w:r w:rsidRPr="000F12D3">
        <w:t>Assessment Requirements for FNSTPB402 Establish and maintain payroll systems</w:t>
      </w:r>
    </w:p>
    <w:p w:rsidR="00000000" w:rsidRPr="000F12D3" w:rsidP="000F12D3">
      <w:pPr>
        <w:pStyle w:val="Heading1"/>
      </w:pPr>
      <w:bookmarkStart w:id="1" w:name="O_975974"/>
      <w:bookmarkEnd w:id="1"/>
      <w:r w:rsidRPr="000F12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0F12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2D3" w:rsidP="000F12D3">
            <w:pPr>
              <w:pStyle w:val="BodyText"/>
            </w:pPr>
            <w:r w:rsidRPr="000F12D3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D3">
            <w:pPr>
              <w:pStyle w:val="BodyText"/>
              <w:rPr>
                <w:lang w:val="en-NZ"/>
              </w:rPr>
            </w:pPr>
            <w:r w:rsidRPr="000F12D3">
              <w:rPr>
                <w:rStyle w:val="SpecialBold"/>
              </w:rPr>
              <w:t>Comments</w:t>
            </w:r>
          </w:p>
        </w:tc>
      </w:tr>
      <w:tr w:rsidTr="000F12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2D3">
            <w:pPr>
              <w:pStyle w:val="BodyText"/>
              <w:rPr>
                <w:lang w:val="en-NZ"/>
              </w:rPr>
            </w:pPr>
            <w:r w:rsidRPr="000F12D3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2D3" w:rsidP="000F12D3">
            <w:pPr>
              <w:pStyle w:val="BodyText"/>
            </w:pPr>
            <w:r w:rsidRPr="000F12D3">
              <w:t>This version first released with FNS Financial Services Training Package Version 3.0.</w:t>
            </w:r>
          </w:p>
        </w:tc>
      </w:tr>
    </w:tbl>
    <w:p w:rsidR="000B0570" w:rsidP="000F12D3">
      <w:pPr>
        <w:pStyle w:val="BodyText"/>
      </w:pPr>
    </w:p>
    <w:p w:rsidR="000B0570" w:rsidP="000F12D3">
      <w:pPr>
        <w:pStyle w:val="BodyText"/>
      </w:pPr>
    </w:p>
    <w:p w:rsidR="00000000" w:rsidRPr="000F12D3" w:rsidP="000F12D3">
      <w:pPr>
        <w:pStyle w:val="Heading1"/>
      </w:pPr>
      <w:bookmarkStart w:id="2" w:name="O_975975"/>
      <w:bookmarkEnd w:id="2"/>
      <w:r w:rsidRPr="000F12D3">
        <w:t>Performance Evidence</w:t>
      </w:r>
    </w:p>
    <w:p w:rsidR="00000000" w:rsidRPr="000F12D3" w:rsidP="000B0570">
      <w:pPr>
        <w:pStyle w:val="BodyText"/>
      </w:pPr>
      <w:r w:rsidRPr="000F12D3">
        <w:t>Evidence of the ability to:</w:t>
      </w:r>
    </w:p>
    <w:p w:rsidR="00000000" w:rsidRPr="000F12D3" w:rsidP="000F12D3">
      <w:pPr>
        <w:pStyle w:val="ListBullet"/>
      </w:pPr>
      <w:r w:rsidRPr="000F12D3">
        <w:t>identify, calculate and input data from time-recording systems for payments into manual or computerised payroll systems</w:t>
      </w:r>
    </w:p>
    <w:p w:rsidR="00000000" w:rsidRPr="000F12D3" w:rsidP="000F12D3">
      <w:pPr>
        <w:pStyle w:val="ListBullet"/>
      </w:pPr>
      <w:r w:rsidRPr="000F12D3">
        <w:t>produce a payroll report according to organisational and legislative requirements</w:t>
      </w:r>
    </w:p>
    <w:p w:rsidR="00000000" w:rsidRPr="000F12D3" w:rsidP="000F12D3">
      <w:pPr>
        <w:pStyle w:val="ListBullet"/>
      </w:pPr>
      <w:r w:rsidRPr="000F12D3">
        <w:t>pres</w:t>
      </w:r>
      <w:r w:rsidRPr="000F12D3">
        <w:t>ent a payroll report for verification and approval</w:t>
      </w:r>
    </w:p>
    <w:p w:rsidR="00000000" w:rsidRPr="000F12D3" w:rsidP="000F12D3">
      <w:pPr>
        <w:pStyle w:val="ListBullet"/>
      </w:pPr>
      <w:r w:rsidRPr="000F12D3">
        <w:t>maintain records according to organisational and legislative requirements that relate to security and confidentiality of information.</w:t>
      </w:r>
    </w:p>
    <w:p w:rsidR="00000000" w:rsidRPr="000F12D3" w:rsidP="000F12D3">
      <w:pPr>
        <w:pStyle w:val="BodyText"/>
      </w:pPr>
    </w:p>
    <w:p w:rsidR="000B0570" w:rsidP="000B0570">
      <w:pPr>
        <w:pStyle w:val="BodyText"/>
      </w:pPr>
      <w:r w:rsidRPr="000F12D3">
        <w:t>Note: If a specific volume or frequency is not stated, then evidence must be provided at least once.</w:t>
      </w:r>
    </w:p>
    <w:p w:rsidR="00000000" w:rsidRPr="000F12D3" w:rsidP="000F12D3">
      <w:pPr>
        <w:pStyle w:val="Heading1"/>
      </w:pPr>
      <w:bookmarkStart w:id="3" w:name="O_975976"/>
      <w:bookmarkEnd w:id="3"/>
      <w:r w:rsidRPr="000F12D3">
        <w:t>Knowledge Evidence</w:t>
      </w:r>
    </w:p>
    <w:p w:rsidR="00000000" w:rsidRPr="000F12D3" w:rsidP="000B0570">
      <w:pPr>
        <w:pStyle w:val="BodyText"/>
      </w:pPr>
      <w:r w:rsidRPr="000F12D3">
        <w:t>The candidate must be able to demonstrate the following knowledge to effectively complete the tasks outlined in the el</w:t>
      </w:r>
      <w:r w:rsidRPr="000F12D3">
        <w:t>ements and performance criteria of this unit, and to manage tasks and reasonably foreseeable contingencies in the context of the work role.</w:t>
      </w:r>
    </w:p>
    <w:p w:rsidR="00000000" w:rsidRPr="000F12D3" w:rsidP="000F12D3">
      <w:pPr>
        <w:pStyle w:val="ListBullet"/>
      </w:pPr>
      <w:r w:rsidRPr="000F12D3">
        <w:t>Scope of services offered by a business activity statement (BAS) agent providing payroll services</w:t>
      </w:r>
    </w:p>
    <w:p w:rsidR="00000000" w:rsidRPr="000F12D3" w:rsidP="000F12D3">
      <w:pPr>
        <w:pStyle w:val="ListBullet"/>
      </w:pPr>
      <w:r w:rsidRPr="000F12D3">
        <w:t>Key principles of</w:t>
      </w:r>
      <w:r w:rsidRPr="000F12D3">
        <w:t xml:space="preserve"> award and enterprise agreements and industrial instruments required to maintain payroll systems</w:t>
      </w:r>
    </w:p>
    <w:p w:rsidR="00000000" w:rsidRPr="000F12D3" w:rsidP="000F12D3">
      <w:pPr>
        <w:pStyle w:val="ListBullet"/>
      </w:pPr>
      <w:r w:rsidRPr="000F12D3">
        <w:t>Organisational policy and procedures that affect payroll, including the structure of authority in organisations</w:t>
      </w:r>
    </w:p>
    <w:p w:rsidR="00000000" w:rsidRPr="000F12D3" w:rsidP="000F12D3">
      <w:pPr>
        <w:pStyle w:val="ListBullet"/>
      </w:pPr>
      <w:r w:rsidRPr="000F12D3">
        <w:t xml:space="preserve">Industry codes of practice relevant to payroll </w:t>
      </w:r>
      <w:r w:rsidRPr="000F12D3">
        <w:t>operations</w:t>
      </w:r>
    </w:p>
    <w:p w:rsidR="00000000" w:rsidRPr="000F12D3" w:rsidP="000F12D3">
      <w:pPr>
        <w:pStyle w:val="ListBullet"/>
      </w:pPr>
      <w:r w:rsidRPr="000F12D3">
        <w:t>Key features of manual and computerised payroll systems</w:t>
      </w:r>
    </w:p>
    <w:p w:rsidR="00000000" w:rsidRPr="000F12D3" w:rsidP="000F12D3">
      <w:pPr>
        <w:pStyle w:val="ListBullet"/>
      </w:pPr>
      <w:r w:rsidRPr="000F12D3">
        <w:t>Legislative and record-keeping requirements from all levels of government that affect business operation and reporting requirements, especially in regard to:</w:t>
      </w:r>
    </w:p>
    <w:p w:rsidR="00000000" w:rsidRPr="000F12D3" w:rsidP="000F12D3">
      <w:pPr>
        <w:pStyle w:val="ListBullet2"/>
      </w:pPr>
      <w:r w:rsidRPr="000F12D3">
        <w:t>Fair Work Act</w:t>
      </w:r>
    </w:p>
    <w:p w:rsidR="00000000" w:rsidRPr="000F12D3" w:rsidP="000F12D3">
      <w:pPr>
        <w:pStyle w:val="ListBullet2"/>
      </w:pPr>
      <w:r w:rsidRPr="000F12D3">
        <w:t>National Employment Standards</w:t>
      </w:r>
    </w:p>
    <w:p w:rsidR="00000000" w:rsidRPr="000F12D3" w:rsidP="000F12D3">
      <w:pPr>
        <w:pStyle w:val="ListBullet2"/>
      </w:pPr>
      <w:r w:rsidRPr="000F12D3">
        <w:t>Superannuation Guarantee (Administration) Act</w:t>
      </w:r>
    </w:p>
    <w:p w:rsidR="00000000" w:rsidRPr="000F12D3" w:rsidP="000F12D3">
      <w:pPr>
        <w:pStyle w:val="ListBullet2"/>
      </w:pPr>
      <w:r w:rsidRPr="000F12D3">
        <w:t>corporations law</w:t>
      </w:r>
    </w:p>
    <w:p w:rsidR="00000000" w:rsidRPr="000F12D3" w:rsidP="000F12D3">
      <w:pPr>
        <w:pStyle w:val="ListBullet2"/>
      </w:pPr>
      <w:r w:rsidRPr="000F12D3">
        <w:t>workers compensation and work health and safety</w:t>
      </w:r>
    </w:p>
    <w:p w:rsidR="00000000" w:rsidRPr="000F12D3" w:rsidP="000F12D3">
      <w:pPr>
        <w:pStyle w:val="ListBullet2"/>
      </w:pPr>
      <w:r w:rsidRPr="000F12D3">
        <w:t>state payroll tax relating to payroll activities</w:t>
      </w:r>
    </w:p>
    <w:p w:rsidR="00000000" w:rsidRPr="000F12D3" w:rsidP="000F12D3">
      <w:pPr>
        <w:pStyle w:val="ListBullet2"/>
      </w:pPr>
      <w:r w:rsidRPr="000F12D3">
        <w:t>Privacy Act and requirements relating to confidentiality and secur</w:t>
      </w:r>
      <w:r w:rsidRPr="000F12D3">
        <w:t>ity of records</w:t>
      </w:r>
    </w:p>
    <w:p w:rsidR="00000000" w:rsidRPr="000F12D3" w:rsidP="000F12D3">
      <w:pPr>
        <w:pStyle w:val="ListBullet2"/>
      </w:pPr>
      <w:r w:rsidRPr="000F12D3">
        <w:t>Higher Education Loan Program (HELP)</w:t>
      </w:r>
    </w:p>
    <w:p w:rsidR="00000000" w:rsidRPr="000F12D3" w:rsidP="000F12D3">
      <w:pPr>
        <w:pStyle w:val="ListBullet2"/>
      </w:pPr>
      <w:r w:rsidRPr="000F12D3">
        <w:t>Medicare levy</w:t>
      </w:r>
    </w:p>
    <w:p w:rsidR="00000000" w:rsidRPr="000F12D3" w:rsidP="000F12D3">
      <w:pPr>
        <w:pStyle w:val="ListBullet2"/>
      </w:pPr>
      <w:r w:rsidRPr="000F12D3">
        <w:t>Tax Agent Services Act (TASA)</w:t>
      </w:r>
    </w:p>
    <w:p w:rsidR="00000000" w:rsidRPr="000F12D3" w:rsidP="000F12D3">
      <w:pPr>
        <w:pStyle w:val="ListBullet2"/>
      </w:pPr>
      <w:r w:rsidRPr="000F12D3">
        <w:t>current commonwealth, state and territory industry and modern awards, and enterprise bargaining agreements</w:t>
      </w:r>
    </w:p>
    <w:p w:rsidR="00000000" w:rsidRPr="000F12D3" w:rsidP="000F12D3">
      <w:pPr>
        <w:pStyle w:val="ListBullet2"/>
      </w:pPr>
      <w:r w:rsidRPr="000F12D3">
        <w:t>individual employment agreements</w:t>
      </w:r>
    </w:p>
    <w:p w:rsidR="00000000" w:rsidRPr="000F12D3" w:rsidP="000F12D3">
      <w:pPr>
        <w:pStyle w:val="ListBullet2"/>
      </w:pPr>
      <w:r w:rsidRPr="000F12D3">
        <w:t xml:space="preserve">commonwealth, state </w:t>
      </w:r>
      <w:r w:rsidRPr="000F12D3">
        <w:t>and territory leave Acts, including annual, personal, paid parental and long service</w:t>
      </w:r>
    </w:p>
    <w:p w:rsidR="00000000" w:rsidRPr="000F12D3" w:rsidP="000F12D3">
      <w:pPr>
        <w:pStyle w:val="ListBullet2"/>
      </w:pPr>
      <w:r w:rsidRPr="000F12D3">
        <w:t>Australian Bureau of Statistics (ABS) Act</w:t>
      </w:r>
    </w:p>
    <w:p w:rsidR="00000000" w:rsidRPr="000F12D3" w:rsidP="000F12D3">
      <w:pPr>
        <w:pStyle w:val="ListBullet"/>
      </w:pPr>
      <w:r w:rsidRPr="000F12D3">
        <w:t>Current Australian Taxation Office (ATO) requirements relating to payroll systems, including:</w:t>
      </w:r>
    </w:p>
    <w:p w:rsidR="00000000" w:rsidRPr="000F12D3" w:rsidP="000F12D3">
      <w:pPr>
        <w:pStyle w:val="ListBullet2"/>
      </w:pPr>
      <w:r w:rsidRPr="000F12D3">
        <w:t>Australian business number (ABN)</w:t>
      </w:r>
    </w:p>
    <w:p w:rsidR="00000000" w:rsidRPr="000F12D3" w:rsidP="000F12D3">
      <w:pPr>
        <w:pStyle w:val="ListBullet2"/>
      </w:pPr>
      <w:r w:rsidRPr="000F12D3">
        <w:t>payment summaries</w:t>
      </w:r>
    </w:p>
    <w:p w:rsidR="00000000" w:rsidRPr="000F12D3" w:rsidP="000F12D3">
      <w:pPr>
        <w:pStyle w:val="ListBullet2"/>
      </w:pPr>
      <w:r w:rsidRPr="000F12D3">
        <w:t>employment termination payments (ETPs)</w:t>
      </w:r>
    </w:p>
    <w:p w:rsidR="00000000" w:rsidRPr="000F12D3" w:rsidP="000F12D3">
      <w:pPr>
        <w:pStyle w:val="ListBullet2"/>
      </w:pPr>
      <w:r w:rsidRPr="000F12D3">
        <w:t>tax file number (TFN) declaration</w:t>
      </w:r>
    </w:p>
    <w:p w:rsidR="00000000" w:rsidRPr="000F12D3" w:rsidP="000F12D3">
      <w:pPr>
        <w:pStyle w:val="ListBullet"/>
      </w:pPr>
      <w:r w:rsidRPr="000F12D3">
        <w:t>Tax Practitioners Board (TPB) requirements relating to payroll systems, including:</w:t>
      </w:r>
    </w:p>
    <w:p w:rsidR="00000000" w:rsidRPr="000F12D3" w:rsidP="000F12D3">
      <w:pPr>
        <w:pStyle w:val="ListBullet2"/>
      </w:pPr>
      <w:r w:rsidRPr="000F12D3">
        <w:t>registration and scope of services documentation requirements for BAS agents</w:t>
      </w:r>
    </w:p>
    <w:p w:rsidR="00000000" w:rsidRPr="000F12D3" w:rsidP="000F12D3">
      <w:pPr>
        <w:pStyle w:val="ListBullet2"/>
      </w:pPr>
      <w:r w:rsidRPr="000F12D3">
        <w:t>cod</w:t>
      </w:r>
      <w:r w:rsidRPr="000F12D3">
        <w:t>e of professional conduct</w:t>
      </w:r>
    </w:p>
    <w:p w:rsidR="00000000" w:rsidRPr="000F12D3" w:rsidP="000F12D3">
      <w:pPr>
        <w:pStyle w:val="ListBullet"/>
      </w:pPr>
      <w:r w:rsidRPr="000F12D3">
        <w:t>Key requirements of taxation law relating to payroll systems, including:</w:t>
      </w:r>
    </w:p>
    <w:p w:rsidR="00000000" w:rsidRPr="000F12D3" w:rsidP="000F12D3">
      <w:pPr>
        <w:pStyle w:val="ListBullet2"/>
      </w:pPr>
      <w:r w:rsidRPr="000F12D3">
        <w:t>pay as you go instalment (PAYGI) tax</w:t>
      </w:r>
    </w:p>
    <w:p w:rsidR="00000000" w:rsidRPr="000F12D3" w:rsidP="000F12D3">
      <w:pPr>
        <w:pStyle w:val="ListBullet2"/>
      </w:pPr>
      <w:r w:rsidRPr="000F12D3">
        <w:t>pay as you go withholding (PAYGW) tax</w:t>
      </w:r>
    </w:p>
    <w:p w:rsidR="00000000" w:rsidRPr="000F12D3" w:rsidP="000F12D3">
      <w:pPr>
        <w:pStyle w:val="ListBullet2"/>
      </w:pPr>
      <w:r w:rsidRPr="000F12D3">
        <w:t>fringe benefits tax (FBT) as it relates to salary packaging</w:t>
      </w:r>
    </w:p>
    <w:p w:rsidR="00000000" w:rsidRPr="000F12D3" w:rsidP="000F12D3">
      <w:pPr>
        <w:pStyle w:val="ListBullet"/>
      </w:pPr>
      <w:r w:rsidRPr="000F12D3">
        <w:t>Key aspects of rout</w:t>
      </w:r>
      <w:r w:rsidRPr="000F12D3">
        <w:t>ine and non-routine requirements for payroll, including:</w:t>
      </w:r>
    </w:p>
    <w:p w:rsidR="00000000" w:rsidRPr="000F12D3" w:rsidP="000F12D3">
      <w:pPr>
        <w:pStyle w:val="ListBullet2"/>
      </w:pPr>
      <w:r w:rsidRPr="000F12D3">
        <w:t>routine: award payments, salary amount, salary packaging, superannuation guarantee and superannuation reporting</w:t>
      </w:r>
    </w:p>
    <w:p w:rsidR="000B0570" w:rsidP="000F12D3">
      <w:pPr>
        <w:pStyle w:val="ListBullet2"/>
      </w:pPr>
      <w:r w:rsidRPr="000F12D3">
        <w:t>non-routine: termination payments and superannuation guarantee charge</w:t>
      </w:r>
    </w:p>
    <w:p w:rsidR="000B0570" w:rsidP="000F12D3">
      <w:pPr>
        <w:pStyle w:val="ListBullet2"/>
      </w:pPr>
    </w:p>
    <w:p w:rsidR="00000000" w:rsidRPr="000F12D3" w:rsidP="000F12D3">
      <w:pPr>
        <w:pStyle w:val="Heading1"/>
      </w:pPr>
      <w:bookmarkStart w:id="4" w:name="O_975977"/>
      <w:bookmarkEnd w:id="4"/>
      <w:r w:rsidRPr="000F12D3">
        <w:t>Assessment Conditions</w:t>
      </w:r>
    </w:p>
    <w:p w:rsidR="00000000" w:rsidRPr="000F12D3" w:rsidP="000B0570">
      <w:pPr>
        <w:pStyle w:val="BodyText"/>
      </w:pPr>
      <w:r w:rsidRPr="000F12D3">
        <w:t>Assessment must be conducted in a safe environment where evidence gathered demonstrates consistent performance of typical activities experienced in the bookkeeping field of work and include access to:</w:t>
      </w:r>
    </w:p>
    <w:p w:rsidR="00000000" w:rsidRPr="000F12D3" w:rsidP="000F12D3">
      <w:pPr>
        <w:pStyle w:val="ListBullet"/>
      </w:pPr>
      <w:r w:rsidRPr="000F12D3">
        <w:t>office equipment, techno</w:t>
      </w:r>
      <w:r w:rsidRPr="000F12D3">
        <w:t>logy, software and consumables required to establish and maintain a payroll system, including:</w:t>
      </w:r>
    </w:p>
    <w:p w:rsidR="00000000" w:rsidRPr="000F12D3" w:rsidP="000F12D3">
      <w:pPr>
        <w:pStyle w:val="ListBullet2"/>
      </w:pPr>
      <w:r w:rsidRPr="000F12D3">
        <w:t>workplace reference materials, such as procedural manuals and organisational policy</w:t>
      </w:r>
    </w:p>
    <w:p w:rsidR="00000000" w:rsidRPr="000F12D3" w:rsidP="000F12D3">
      <w:pPr>
        <w:pStyle w:val="ListBullet2"/>
      </w:pPr>
      <w:r w:rsidRPr="000F12D3">
        <w:t>actual or simulated payroll data.</w:t>
      </w:r>
    </w:p>
    <w:p w:rsidR="00000000" w:rsidRPr="000F12D3" w:rsidP="000F12D3">
      <w:pPr>
        <w:pStyle w:val="BodyText"/>
      </w:pPr>
    </w:p>
    <w:p w:rsidR="00000000" w:rsidRPr="000F12D3" w:rsidP="000B0570">
      <w:pPr>
        <w:pStyle w:val="BodyText"/>
      </w:pPr>
      <w:r w:rsidRPr="000F12D3">
        <w:t>Assessors of this unit must satisfy the a</w:t>
      </w:r>
      <w:r w:rsidRPr="000F12D3">
        <w:t>ssessor requirements in applicable vocational education and training legislation, frameworks and/or standards.</w:t>
      </w:r>
    </w:p>
    <w:p w:rsidR="00000000" w:rsidRPr="000F12D3" w:rsidP="000B0570">
      <w:pPr>
        <w:pStyle w:val="BodyText"/>
      </w:pPr>
      <w:r w:rsidRPr="000F12D3">
        <w:t>This unit is designed to meet the education requirements of the Tax Practitioner Board (TPB). Where registration with the TPB is sought, assessm</w:t>
      </w:r>
      <w:r w:rsidRPr="000F12D3">
        <w:t>ent must reflect the conditions described by the regulator which stipulate that a significant amount (at least 40%) must be completed under some form of independent supervision. Where recognition of prior learning (RPL) is used, it must also meet the requi</w:t>
      </w:r>
      <w:r w:rsidRPr="000F12D3">
        <w:t>rements of the Board’s policy on RPL.</w:t>
      </w:r>
    </w:p>
    <w:p w:rsidR="00000000" w:rsidRPr="000F12D3" w:rsidP="000B0570">
      <w:pPr>
        <w:pStyle w:val="BodyText"/>
      </w:pPr>
      <w:r w:rsidRPr="000F12D3">
        <w:t xml:space="preserve">Details of requirements can be accessed on the TPB website at </w:t>
      </w:r>
      <w:r w:rsidRPr="000F12D3">
        <w:rPr>
          <w:rStyle w:val="Emphasis"/>
        </w:rPr>
        <w:t>&lt;</w:t>
      </w:r>
      <w:r>
        <w:fldChar w:fldCharType="begin"/>
      </w:r>
      <w:r>
        <w:instrText xml:space="preserve"> HYPERLINK "http://www.tpb.gov.au" </w:instrText>
      </w:r>
      <w:r>
        <w:fldChar w:fldCharType="separate"/>
      </w:r>
      <w:r w:rsidRPr="00F02928">
        <w:rPr>
          <w:rStyle w:val="Hyperlink"/>
        </w:rPr>
        <w:t>http://www.tpb.gov.au</w:t>
      </w:r>
      <w:r>
        <w:fldChar w:fldCharType="end"/>
      </w:r>
      <w:r w:rsidRPr="000F12D3">
        <w:rPr>
          <w:rStyle w:val="Emphasis"/>
        </w:rPr>
        <w:t>&gt;.</w:t>
      </w:r>
    </w:p>
    <w:p w:rsidR="00000000" w:rsidRPr="000F12D3" w:rsidP="000B0570">
      <w:pPr>
        <w:pStyle w:val="BodyText"/>
      </w:pPr>
      <w:r w:rsidRPr="000F12D3">
        <w:t>If undertaking this unit for BAS agent registration, the following items in the Range of Conditions must be addressed in the assess</w:t>
      </w:r>
      <w:r w:rsidRPr="000F12D3">
        <w:t>ment to meet educational requirements for registration with the TPB:</w:t>
      </w:r>
    </w:p>
    <w:p w:rsidR="00000000" w:rsidRPr="000F12D3" w:rsidP="000F12D3">
      <w:pPr>
        <w:pStyle w:val="ListBullet"/>
      </w:pPr>
      <w:r w:rsidRPr="000F12D3">
        <w:t>payroll preparation</w:t>
      </w:r>
    </w:p>
    <w:p w:rsidR="000B0570" w:rsidP="000F12D3">
      <w:pPr>
        <w:pStyle w:val="ListBullet"/>
      </w:pPr>
      <w:r w:rsidRPr="000F12D3">
        <w:t>payroll records.</w:t>
      </w:r>
    </w:p>
    <w:p w:rsidR="000B0570" w:rsidP="000F12D3">
      <w:pPr>
        <w:pStyle w:val="ListBullet"/>
      </w:pPr>
    </w:p>
    <w:p w:rsidR="00000000" w:rsidRPr="000F12D3" w:rsidP="000F12D3">
      <w:pPr>
        <w:pStyle w:val="Heading1"/>
      </w:pPr>
      <w:bookmarkStart w:id="5" w:name="O_975980"/>
      <w:bookmarkEnd w:id="5"/>
      <w:r w:rsidRPr="000F12D3">
        <w:t>Links</w:t>
      </w:r>
    </w:p>
    <w:p w:rsidR="00000000" w:rsidRPr="000F12D3" w:rsidP="000B0570">
      <w:pPr>
        <w:pStyle w:val="BodyText"/>
      </w:pPr>
      <w:r w:rsidRPr="000F12D3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0292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F12D3" w:rsidP="000F12D3"/>
    <w:sectPr w:rsidSect="000F12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D3" w:rsidRPr="000B0570" w:rsidP="000B0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570" w:rsidP="000F12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570" w:rsidP="000F12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0570" w:rsidP="000F12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2D3" w:rsidRPr="000B0570" w:rsidP="000B0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2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570" w:rsidRPr="002D2AF8" w:rsidP="000F12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FNSTPB402 Establish and maintain payroll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B0570" w:rsidP="000F12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84CE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7A3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10E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2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2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2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2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2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2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2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2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2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2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2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2D3"/>
  </w:style>
  <w:style w:type="character" w:customStyle="1" w:styleId="Heading1Char">
    <w:name w:val="Heading 1 Char"/>
    <w:basedOn w:val="DefaultParagraphFont"/>
    <w:link w:val="Heading1"/>
    <w:rsid w:val="000F12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2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2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2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2D3"/>
    <w:rPr>
      <w:b/>
      <w:spacing w:val="0"/>
    </w:rPr>
  </w:style>
  <w:style w:type="paragraph" w:styleId="ListBullet2">
    <w:name w:val="List Bullet 2"/>
    <w:basedOn w:val="List2"/>
    <w:rsid w:val="000F12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12D3"/>
    <w:rPr>
      <w:i/>
    </w:rPr>
  </w:style>
  <w:style w:type="paragraph" w:customStyle="1" w:styleId="SuperHeading">
    <w:name w:val="SuperHeading"/>
    <w:basedOn w:val="Normal"/>
    <w:rsid w:val="000F12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2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2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2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2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2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2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2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2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2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2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2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2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2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2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2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2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2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2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2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2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2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2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2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2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2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2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2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2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2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2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2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2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2D3"/>
  </w:style>
  <w:style w:type="paragraph" w:styleId="TableofFigures">
    <w:name w:val="table of figures"/>
    <w:basedOn w:val="Normal"/>
    <w:next w:val="Normal"/>
    <w:semiHidden/>
    <w:rsid w:val="000F12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2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12D3"/>
    <w:rPr>
      <w:rFonts w:ascii="Wingdings" w:hAnsi="Wingdings"/>
    </w:rPr>
  </w:style>
  <w:style w:type="paragraph" w:customStyle="1" w:styleId="TableHeading">
    <w:name w:val="Table Heading"/>
    <w:basedOn w:val="HeadingBase"/>
    <w:rsid w:val="000F12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2D3"/>
    <w:rPr>
      <w:color w:val="0033CC"/>
      <w:u w:val="none"/>
    </w:rPr>
  </w:style>
  <w:style w:type="paragraph" w:customStyle="1" w:styleId="BodyTextRight">
    <w:name w:val="Body Text Right"/>
    <w:basedOn w:val="BodyText"/>
    <w:rsid w:val="000F12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2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2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2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2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2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2D3"/>
    <w:rPr>
      <w:sz w:val="32"/>
    </w:rPr>
  </w:style>
  <w:style w:type="paragraph" w:customStyle="1" w:styleId="HeadingProcedure">
    <w:name w:val="Heading Procedure"/>
    <w:basedOn w:val="HeadingBase"/>
    <w:next w:val="Normal"/>
    <w:rsid w:val="000F12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2D3"/>
    <w:pPr>
      <w:spacing w:before="60" w:after="60"/>
    </w:pPr>
  </w:style>
  <w:style w:type="paragraph" w:styleId="ListContinue">
    <w:name w:val="List Continue"/>
    <w:basedOn w:val="List"/>
    <w:rsid w:val="000F12D3"/>
    <w:pPr>
      <w:ind w:firstLine="0"/>
    </w:pPr>
  </w:style>
  <w:style w:type="paragraph" w:customStyle="1" w:styleId="ListNote">
    <w:name w:val="List Note"/>
    <w:basedOn w:val="List"/>
    <w:rsid w:val="000F12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2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2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2D3"/>
    <w:rPr>
      <w:rFonts w:ascii="Courier New" w:hAnsi="Courier New"/>
    </w:rPr>
  </w:style>
  <w:style w:type="paragraph" w:customStyle="1" w:styleId="NoteBullet">
    <w:name w:val="Note Bullet"/>
    <w:basedOn w:val="Note"/>
    <w:rsid w:val="000F12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2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2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2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2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2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2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2D3"/>
    <w:rPr>
      <w:b/>
      <w:smallCaps/>
    </w:rPr>
  </w:style>
  <w:style w:type="paragraph" w:customStyle="1" w:styleId="TableListNumber">
    <w:name w:val="Table List Number"/>
    <w:basedOn w:val="ListNumber"/>
    <w:rsid w:val="000F12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2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2D3"/>
    <w:pPr>
      <w:numPr>
        <w:numId w:val="9"/>
      </w:numPr>
    </w:pPr>
  </w:style>
  <w:style w:type="paragraph" w:customStyle="1" w:styleId="ListAlpha2">
    <w:name w:val="List Alpha 2"/>
    <w:basedOn w:val="List2"/>
    <w:rsid w:val="000F12D3"/>
    <w:pPr>
      <w:numPr>
        <w:numId w:val="8"/>
      </w:numPr>
    </w:pPr>
  </w:style>
  <w:style w:type="paragraph" w:styleId="List2">
    <w:name w:val="List 2"/>
    <w:basedOn w:val="BodyText"/>
    <w:rsid w:val="000F12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2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2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2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2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2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2D3"/>
    <w:pPr>
      <w:numPr>
        <w:numId w:val="4"/>
      </w:numPr>
    </w:pPr>
  </w:style>
  <w:style w:type="paragraph" w:styleId="ListContinue2">
    <w:name w:val="List Continue 2"/>
    <w:basedOn w:val="List2"/>
    <w:rsid w:val="000F12D3"/>
    <w:pPr>
      <w:ind w:firstLine="0"/>
    </w:pPr>
  </w:style>
  <w:style w:type="paragraph" w:styleId="ListContinue3">
    <w:name w:val="List Continue 3"/>
    <w:basedOn w:val="List3"/>
    <w:rsid w:val="000F12D3"/>
    <w:pPr>
      <w:ind w:left="1021" w:firstLine="0"/>
    </w:pPr>
  </w:style>
  <w:style w:type="paragraph" w:styleId="ListContinue4">
    <w:name w:val="List Continue 4"/>
    <w:basedOn w:val="List4"/>
    <w:rsid w:val="000F12D3"/>
    <w:pPr>
      <w:ind w:firstLine="0"/>
    </w:pPr>
  </w:style>
  <w:style w:type="paragraph" w:styleId="ListContinue5">
    <w:name w:val="List Continue 5"/>
    <w:basedOn w:val="List5"/>
    <w:rsid w:val="000F12D3"/>
    <w:pPr>
      <w:ind w:firstLine="0"/>
    </w:pPr>
  </w:style>
  <w:style w:type="paragraph" w:styleId="ListNumber3">
    <w:name w:val="List Number 3"/>
    <w:basedOn w:val="List3"/>
    <w:rsid w:val="000F12D3"/>
    <w:pPr>
      <w:numPr>
        <w:numId w:val="5"/>
      </w:numPr>
    </w:pPr>
  </w:style>
  <w:style w:type="paragraph" w:styleId="ListNumber4">
    <w:name w:val="List Number 4"/>
    <w:basedOn w:val="List4"/>
    <w:rsid w:val="000F12D3"/>
    <w:pPr>
      <w:numPr>
        <w:numId w:val="6"/>
      </w:numPr>
    </w:pPr>
  </w:style>
  <w:style w:type="paragraph" w:styleId="ListNumber5">
    <w:name w:val="List Number 5"/>
    <w:basedOn w:val="List5"/>
    <w:rsid w:val="000F12D3"/>
    <w:pPr>
      <w:numPr>
        <w:numId w:val="7"/>
      </w:numPr>
    </w:pPr>
  </w:style>
  <w:style w:type="paragraph" w:styleId="BlockText">
    <w:name w:val="Block Text"/>
    <w:basedOn w:val="Normal"/>
    <w:rsid w:val="000F12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2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2D3"/>
    <w:rPr>
      <w:sz w:val="16"/>
      <w:vertAlign w:val="superscript"/>
    </w:rPr>
  </w:style>
  <w:style w:type="character" w:customStyle="1" w:styleId="Symbols">
    <w:name w:val="Symbols"/>
    <w:basedOn w:val="DefaultParagraphFont"/>
    <w:rsid w:val="000F12D3"/>
    <w:rPr>
      <w:rFonts w:ascii="Symbol" w:hAnsi="Symbol"/>
    </w:rPr>
  </w:style>
  <w:style w:type="character" w:customStyle="1" w:styleId="MenuOptions">
    <w:name w:val="Menu Options"/>
    <w:basedOn w:val="DefaultParagraphFont"/>
    <w:rsid w:val="000F12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2D3"/>
    <w:rPr>
      <w:b/>
    </w:rPr>
  </w:style>
  <w:style w:type="character" w:customStyle="1" w:styleId="Underlined">
    <w:name w:val="Underlined"/>
    <w:basedOn w:val="DefaultParagraphFont"/>
    <w:rsid w:val="000F12D3"/>
    <w:rPr>
      <w:u w:val="single"/>
    </w:rPr>
  </w:style>
  <w:style w:type="paragraph" w:customStyle="1" w:styleId="TableBodyTextRight">
    <w:name w:val="Table Body Text Right"/>
    <w:basedOn w:val="TableBodyText"/>
    <w:rsid w:val="000F12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2D3"/>
    <w:rPr>
      <w:sz w:val="18"/>
    </w:rPr>
  </w:style>
  <w:style w:type="paragraph" w:customStyle="1" w:styleId="BodySmallRight">
    <w:name w:val="Body Small Right"/>
    <w:basedOn w:val="BodyTextRight"/>
    <w:rsid w:val="000F12D3"/>
    <w:rPr>
      <w:sz w:val="18"/>
      <w:szCs w:val="18"/>
    </w:rPr>
  </w:style>
  <w:style w:type="paragraph" w:customStyle="1" w:styleId="MarginEdition">
    <w:name w:val="Margin Edition"/>
    <w:basedOn w:val="MarginNote"/>
    <w:rsid w:val="000F12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2D3"/>
    <w:rPr>
      <w:sz w:val="2"/>
      <w:szCs w:val="2"/>
    </w:rPr>
  </w:style>
  <w:style w:type="character" w:customStyle="1" w:styleId="Small">
    <w:name w:val="Small"/>
    <w:basedOn w:val="DefaultParagraphFont"/>
    <w:rsid w:val="000F12D3"/>
    <w:rPr>
      <w:sz w:val="16"/>
    </w:rPr>
  </w:style>
  <w:style w:type="paragraph" w:customStyle="1" w:styleId="WideTable">
    <w:name w:val="Wide Table"/>
    <w:basedOn w:val="Normal"/>
    <w:rsid w:val="000F12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2D3"/>
  </w:style>
  <w:style w:type="paragraph" w:styleId="Quote">
    <w:name w:val="Quote"/>
    <w:basedOn w:val="Heading1"/>
    <w:link w:val="QuoteChar"/>
    <w:qFormat/>
    <w:rsid w:val="000F12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2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2D3"/>
    <w:pPr>
      <w:pageBreakBefore/>
    </w:pPr>
  </w:style>
  <w:style w:type="paragraph" w:customStyle="1" w:styleId="Border">
    <w:name w:val="Border"/>
    <w:basedOn w:val="Normal"/>
    <w:qFormat/>
    <w:rsid w:val="000F12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2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2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2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2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2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2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2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2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2D3"/>
    <w:rPr>
      <w:u w:val="single"/>
    </w:rPr>
  </w:style>
  <w:style w:type="character" w:customStyle="1" w:styleId="BoldandItalics">
    <w:name w:val="Bold and Italics"/>
    <w:qFormat/>
    <w:rsid w:val="000F12D3"/>
    <w:rPr>
      <w:b/>
      <w:i/>
      <w:u w:val="none"/>
    </w:rPr>
  </w:style>
  <w:style w:type="paragraph" w:styleId="BalloonText">
    <w:name w:val="Balloon Text"/>
    <w:basedOn w:val="Normal"/>
    <w:link w:val="BalloonTextChar"/>
    <w:rsid w:val="000F12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2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2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2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2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2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2D3"/>
    <w:pPr>
      <w:spacing w:before="0" w:after="0"/>
    </w:pPr>
  </w:style>
  <w:style w:type="paragraph" w:customStyle="1" w:styleId="BodyTextBold">
    <w:name w:val="Body Text Bold"/>
    <w:basedOn w:val="BodyText"/>
    <w:qFormat/>
    <w:rsid w:val="000F12D3"/>
    <w:rPr>
      <w:b/>
    </w:rPr>
  </w:style>
  <w:style w:type="character" w:styleId="Hyperlink">
    <w:name w:val="Hyperlink"/>
    <w:basedOn w:val="DefaultParagraphFont"/>
    <w:uiPriority w:val="99"/>
    <w:unhideWhenUsed/>
    <w:rsid w:val="000B0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4310</Characters>
  <Application>Microsoft Office Word</Application>
  <DocSecurity>0</DocSecurity>
  <Lines>107</Lines>
  <Paragraphs>76</Paragraphs>
  <ScaleCrop>false</ScaleCrop>
  <Company>Author-it Software Corporation Ltd.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FNSTPB402 Establish and maintain payroll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2022-01-27T02:41:00Z</dcterms:created>
  <dcterms:modified xsi:type="dcterms:W3CDTF">2022-01-27T02:41:00Z</dcterms:modified>
</cp:coreProperties>
</file>