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A2D" w:rsidP="006D3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FNSSUP517 Review performance of superannuation funds against regulatory and contractual requirements</w:t>
      </w:r>
      <w:r>
        <w:fldChar w:fldCharType="end"/>
      </w:r>
    </w:p>
    <w:p w:rsidR="006D3A2D" w:rsidP="006D3A2D">
      <w:pPr>
        <w:pStyle w:val="Version"/>
        <w:sectPr w:rsidSect="00F33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382" w:rsidP="00F33382">
      <w:pPr>
        <w:pStyle w:val="SuperHeading"/>
      </w:pPr>
      <w:r w:rsidRPr="00F33382">
        <w:t>Assessment Requirements for FNSSUP517 Review performance of superannuation funds against regulatory and contractual requirements</w:t>
      </w:r>
    </w:p>
    <w:p w:rsidR="00000000" w:rsidRPr="00F33382" w:rsidP="00F33382">
      <w:pPr>
        <w:pStyle w:val="Heading1"/>
      </w:pPr>
      <w:bookmarkStart w:id="1" w:name="O_1134101"/>
      <w:bookmarkEnd w:id="1"/>
      <w:r w:rsidRPr="00F33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382" w:rsidP="00F33382">
            <w:pPr>
              <w:pStyle w:val="BodyText"/>
            </w:pPr>
            <w:r w:rsidRPr="00F333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382">
            <w:pPr>
              <w:pStyle w:val="BodyText"/>
              <w:rPr>
                <w:lang w:val="en-NZ"/>
              </w:rPr>
            </w:pPr>
            <w:r w:rsidRPr="00F33382">
              <w:rPr>
                <w:rStyle w:val="SpecialBold"/>
              </w:rPr>
              <w:t>Comments</w:t>
            </w:r>
          </w:p>
        </w:tc>
      </w:tr>
      <w:tr w:rsidTr="00F3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382">
            <w:pPr>
              <w:pStyle w:val="BodyText"/>
              <w:rPr>
                <w:lang w:val="en-NZ"/>
              </w:rPr>
            </w:pPr>
            <w:r w:rsidRPr="00F333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382" w:rsidP="00F33382">
            <w:pPr>
              <w:pStyle w:val="BodyText"/>
            </w:pPr>
            <w:r w:rsidRPr="00F33382">
              <w:t>This version first released with FNS Financial Services Training Package Version 5.0.</w:t>
            </w:r>
          </w:p>
        </w:tc>
      </w:tr>
    </w:tbl>
    <w:p w:rsidR="00000000" w:rsidRPr="00F33382" w:rsidP="00F33382">
      <w:pPr>
        <w:pStyle w:val="BodyText"/>
      </w:pPr>
    </w:p>
    <w:p w:rsidR="00000000" w:rsidRPr="00F33382" w:rsidP="00F33382">
      <w:pPr>
        <w:pStyle w:val="AllowPageBreak"/>
      </w:pPr>
    </w:p>
    <w:p w:rsidR="00000000" w:rsidRPr="00F33382" w:rsidP="00F33382">
      <w:pPr>
        <w:pStyle w:val="Heading1"/>
      </w:pPr>
      <w:bookmarkStart w:id="2" w:name="O_1134104"/>
      <w:bookmarkEnd w:id="2"/>
      <w:r w:rsidRPr="00F33382">
        <w:t>Performance Evidence</w:t>
      </w:r>
    </w:p>
    <w:p w:rsidR="00000000" w:rsidRPr="00F33382" w:rsidP="006D3A2D">
      <w:pPr>
        <w:pStyle w:val="BodyText"/>
      </w:pPr>
      <w:r w:rsidRPr="00F33382">
        <w:t>The candidate must demonstrate the ability to complete the tasks outlined in the elements, performance criteria and foundation s</w:t>
      </w:r>
      <w:r w:rsidRPr="00F33382">
        <w:t>kills of this unit, including evidence of the ability to:</w:t>
      </w:r>
    </w:p>
    <w:p w:rsidR="00000000" w:rsidRPr="00F33382" w:rsidP="00F33382">
      <w:pPr>
        <w:pStyle w:val="ListBullet"/>
      </w:pPr>
      <w:r w:rsidRPr="00F33382">
        <w:t>review compliance of a superannuation fund with regulatory and contractual requirements on at least one occasion.</w:t>
      </w:r>
    </w:p>
    <w:p w:rsidR="00000000" w:rsidRPr="00F33382" w:rsidP="00F33382">
      <w:pPr>
        <w:pStyle w:val="List"/>
      </w:pPr>
    </w:p>
    <w:p w:rsidR="00000000" w:rsidRPr="00F33382" w:rsidP="006D3A2D">
      <w:pPr>
        <w:pStyle w:val="BodyText"/>
      </w:pPr>
      <w:r w:rsidRPr="00F33382">
        <w:t>In the course of the above, the candidate must:</w:t>
      </w:r>
    </w:p>
    <w:p w:rsidR="00000000" w:rsidRPr="00F33382" w:rsidP="00F33382">
      <w:pPr>
        <w:pStyle w:val="ListBullet"/>
      </w:pPr>
      <w:r w:rsidRPr="00F33382">
        <w:t>identify performance requirements, and implement systems and procedures to meet those requirements</w:t>
      </w:r>
    </w:p>
    <w:p w:rsidR="00000000" w:rsidRPr="00F33382" w:rsidP="00F33382">
      <w:pPr>
        <w:pStyle w:val="ListBullet"/>
      </w:pPr>
      <w:r w:rsidRPr="00F33382">
        <w:t>report and advise on required changes.</w:t>
      </w:r>
    </w:p>
    <w:p w:rsidR="00000000" w:rsidRPr="00F33382" w:rsidP="00F33382">
      <w:pPr>
        <w:pStyle w:val="AllowPageBreak"/>
      </w:pPr>
    </w:p>
    <w:p w:rsidR="00000000" w:rsidRPr="00F33382" w:rsidP="00F33382">
      <w:pPr>
        <w:pStyle w:val="Heading1"/>
      </w:pPr>
      <w:bookmarkStart w:id="3" w:name="O_1134103"/>
      <w:bookmarkEnd w:id="3"/>
      <w:r w:rsidRPr="00F33382">
        <w:t>Knowledge Evidence</w:t>
      </w:r>
    </w:p>
    <w:p w:rsidR="00000000" w:rsidRPr="00F33382" w:rsidP="006D3A2D">
      <w:pPr>
        <w:pStyle w:val="BodyText"/>
      </w:pPr>
      <w:r w:rsidRPr="00F33382">
        <w:t>The candidate must be able to demonstrate knowledge to complete the tasks outlin</w:t>
      </w:r>
      <w:r w:rsidRPr="00F33382">
        <w:t>ed in the elements, performance criteria and foundation skills of this unit, including knowledge of:</w:t>
      </w:r>
    </w:p>
    <w:p w:rsidR="00000000" w:rsidRPr="00F33382" w:rsidP="00F33382">
      <w:pPr>
        <w:pStyle w:val="ListBullet"/>
      </w:pPr>
      <w:r w:rsidRPr="00F33382">
        <w:t>regulatory and contractual requirements of superannuation industry supervision (SIS) legislation</w:t>
      </w:r>
    </w:p>
    <w:p w:rsidR="00000000" w:rsidRPr="00F33382" w:rsidP="00F33382">
      <w:pPr>
        <w:pStyle w:val="ListBullet"/>
      </w:pPr>
      <w:r w:rsidRPr="00F33382">
        <w:t>organisational policies and procedures relating to review</w:t>
      </w:r>
      <w:r w:rsidRPr="00F33382">
        <w:t>ing compliance requirements of superannuation fund</w:t>
      </w:r>
    </w:p>
    <w:p w:rsidR="00000000" w:rsidRPr="00F33382" w:rsidP="00F33382">
      <w:pPr>
        <w:pStyle w:val="ListBullet"/>
      </w:pPr>
      <w:r w:rsidRPr="00F33382">
        <w:t>taxation obligations relevant to regulatory and contractual requirements</w:t>
      </w:r>
    </w:p>
    <w:p w:rsidR="00000000" w:rsidRPr="00F33382" w:rsidP="00F33382">
      <w:pPr>
        <w:pStyle w:val="ListBullet"/>
      </w:pPr>
      <w:r w:rsidRPr="00F33382">
        <w:t>organisational performance, products and procedures relating to compliance with regulatory and contractual requirements</w:t>
      </w:r>
    </w:p>
    <w:p w:rsidR="00000000" w:rsidRPr="00F33382" w:rsidP="00F33382">
      <w:pPr>
        <w:pStyle w:val="ListBullet"/>
      </w:pPr>
      <w:r w:rsidRPr="00F33382">
        <w:t>principles o</w:t>
      </w:r>
      <w:r w:rsidRPr="00F33382">
        <w:t>f contingency management</w:t>
      </w:r>
    </w:p>
    <w:p w:rsidR="00000000" w:rsidRPr="00F33382" w:rsidP="00F33382">
      <w:pPr>
        <w:pStyle w:val="ListBullet"/>
      </w:pPr>
      <w:r w:rsidRPr="00F33382">
        <w:t>customer analysis and service focus within the industry or organisation</w:t>
      </w:r>
    </w:p>
    <w:p w:rsidR="00000000" w:rsidRPr="00F33382" w:rsidP="00F33382">
      <w:pPr>
        <w:pStyle w:val="ListBullet"/>
      </w:pPr>
      <w:r w:rsidRPr="00F33382">
        <w:t>types of performance reviews</w:t>
      </w:r>
    </w:p>
    <w:p w:rsidR="00000000" w:rsidRPr="00F33382" w:rsidP="00F33382">
      <w:pPr>
        <w:pStyle w:val="ListBullet"/>
      </w:pPr>
      <w:r w:rsidRPr="00F33382">
        <w:t>superannuation systems and procedures relating to regulatory and contractual requirements.</w:t>
      </w:r>
    </w:p>
    <w:p w:rsidR="00000000" w:rsidRPr="00F33382" w:rsidP="00F33382">
      <w:pPr>
        <w:pStyle w:val="AllowPageBreak"/>
      </w:pPr>
    </w:p>
    <w:p w:rsidR="00000000" w:rsidRPr="00F33382" w:rsidP="00F33382">
      <w:pPr>
        <w:pStyle w:val="Heading1"/>
      </w:pPr>
      <w:bookmarkStart w:id="4" w:name="O_1134102"/>
      <w:bookmarkEnd w:id="4"/>
      <w:r w:rsidRPr="00F33382">
        <w:t>Assessment Condition</w:t>
      </w:r>
      <w:r w:rsidRPr="00F33382">
        <w:t>s</w:t>
      </w:r>
    </w:p>
    <w:p w:rsidR="00000000" w:rsidRPr="00F33382" w:rsidP="006D3A2D">
      <w:pPr>
        <w:pStyle w:val="BodyText"/>
      </w:pPr>
      <w:r w:rsidRPr="00F33382">
        <w:t>Skills in this unit must be demonstrated in a workplace or simulated environment where the conditions are typical of those in a working environment in this industry.</w:t>
      </w:r>
    </w:p>
    <w:p w:rsidR="00000000" w:rsidRPr="00F33382" w:rsidP="006D3A2D">
      <w:pPr>
        <w:pStyle w:val="BodyText"/>
      </w:pPr>
      <w:r w:rsidRPr="00F33382">
        <w:t>This includes access to:</w:t>
      </w:r>
    </w:p>
    <w:p w:rsidR="00000000" w:rsidRPr="00F33382" w:rsidP="00F33382">
      <w:pPr>
        <w:pStyle w:val="ListBullet"/>
      </w:pPr>
      <w:r w:rsidRPr="00F33382">
        <w:t>organisational equipment, technology, software and consumables</w:t>
      </w:r>
    </w:p>
    <w:p w:rsidR="00000000" w:rsidRPr="00F33382" w:rsidP="00F33382">
      <w:pPr>
        <w:pStyle w:val="ListBullet"/>
      </w:pPr>
      <w:r w:rsidRPr="00F33382">
        <w:t>current legislation that impacts on the superannuation industry</w:t>
      </w:r>
    </w:p>
    <w:p w:rsidR="00000000" w:rsidRPr="00F33382" w:rsidP="00F33382">
      <w:pPr>
        <w:pStyle w:val="ListBullet"/>
      </w:pPr>
      <w:r w:rsidRPr="00F33382">
        <w:t>regulatory and contractual performance requirements</w:t>
      </w:r>
    </w:p>
    <w:p w:rsidR="00000000" w:rsidRPr="00F33382" w:rsidP="00F33382">
      <w:pPr>
        <w:pStyle w:val="ListBullet"/>
      </w:pPr>
      <w:r w:rsidRPr="00F33382">
        <w:t>organisational policies and procedures.</w:t>
      </w:r>
    </w:p>
    <w:p w:rsidR="00000000" w:rsidRPr="00F33382" w:rsidP="00F33382">
      <w:pPr>
        <w:pStyle w:val="List"/>
      </w:pPr>
    </w:p>
    <w:p w:rsidR="00000000" w:rsidRPr="00F33382" w:rsidP="006D3A2D">
      <w:pPr>
        <w:pStyle w:val="BodyText"/>
      </w:pPr>
      <w:r w:rsidRPr="00F33382">
        <w:t>Assessors of this unit must satisfy the requirements for assessors in applicable vocational education and training legislation, frameworks and/or standards.</w:t>
      </w:r>
    </w:p>
    <w:p w:rsidR="00000000" w:rsidRPr="00F33382" w:rsidP="00F33382">
      <w:pPr>
        <w:pStyle w:val="Heading1"/>
      </w:pPr>
      <w:bookmarkStart w:id="5" w:name="O_1134100"/>
      <w:bookmarkEnd w:id="5"/>
      <w:r w:rsidRPr="00F33382">
        <w:t>Links</w:t>
      </w:r>
    </w:p>
    <w:p w:rsidR="00000000" w:rsidRPr="00F33382" w:rsidP="006D3A2D">
      <w:pPr>
        <w:pStyle w:val="BodyText"/>
      </w:pPr>
      <w:r w:rsidRPr="00F333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921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33382" w:rsidP="00F33382"/>
    <w:sectPr w:rsidSect="00F333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382" w:rsidRPr="006D3A2D" w:rsidP="006D3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2D" w:rsidP="00F33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3A2D" w:rsidP="00F33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3A2D" w:rsidP="00F33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382" w:rsidRPr="006D3A2D" w:rsidP="006D3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2D" w:rsidRPr="002D2AF8" w:rsidP="00F33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FNSSUP517 Review performance of superannuation funds against regulatory and contractual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D3A2D" w:rsidP="00F33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BCD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923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382"/>
  </w:style>
  <w:style w:type="character" w:customStyle="1" w:styleId="Heading1Char">
    <w:name w:val="Heading 1 Char"/>
    <w:basedOn w:val="DefaultParagraphFont"/>
    <w:link w:val="Heading1"/>
    <w:rsid w:val="00F33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3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33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33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382"/>
    <w:rPr>
      <w:b/>
      <w:spacing w:val="0"/>
    </w:rPr>
  </w:style>
  <w:style w:type="paragraph" w:customStyle="1" w:styleId="SuperHeading">
    <w:name w:val="SuperHeading"/>
    <w:basedOn w:val="Normal"/>
    <w:rsid w:val="00F33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3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3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3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382"/>
    <w:rPr>
      <w:i/>
    </w:rPr>
  </w:style>
  <w:style w:type="paragraph" w:styleId="Caption">
    <w:name w:val="caption"/>
    <w:basedOn w:val="BodyText"/>
    <w:next w:val="Normal"/>
    <w:qFormat/>
    <w:rsid w:val="00F33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382"/>
  </w:style>
  <w:style w:type="paragraph" w:styleId="TableofFigures">
    <w:name w:val="table of figures"/>
    <w:basedOn w:val="Normal"/>
    <w:next w:val="Normal"/>
    <w:semiHidden/>
    <w:rsid w:val="00F33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3382"/>
    <w:rPr>
      <w:rFonts w:ascii="Wingdings" w:hAnsi="Wingdings"/>
    </w:rPr>
  </w:style>
  <w:style w:type="paragraph" w:customStyle="1" w:styleId="TableHeading">
    <w:name w:val="Table Heading"/>
    <w:basedOn w:val="HeadingBase"/>
    <w:rsid w:val="00F33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382"/>
    <w:rPr>
      <w:color w:val="0033CC"/>
      <w:u w:val="none"/>
    </w:rPr>
  </w:style>
  <w:style w:type="paragraph" w:customStyle="1" w:styleId="BodyTextRight">
    <w:name w:val="Body Text Right"/>
    <w:basedOn w:val="BodyText"/>
    <w:rsid w:val="00F33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382"/>
    <w:rPr>
      <w:sz w:val="32"/>
    </w:rPr>
  </w:style>
  <w:style w:type="paragraph" w:customStyle="1" w:styleId="HeadingProcedure">
    <w:name w:val="Heading Procedure"/>
    <w:basedOn w:val="HeadingBase"/>
    <w:next w:val="Normal"/>
    <w:rsid w:val="00F33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382"/>
    <w:pPr>
      <w:spacing w:before="60" w:after="60"/>
    </w:pPr>
  </w:style>
  <w:style w:type="paragraph" w:styleId="ListContinue">
    <w:name w:val="List Continue"/>
    <w:basedOn w:val="List"/>
    <w:rsid w:val="00F33382"/>
    <w:pPr>
      <w:ind w:firstLine="0"/>
    </w:pPr>
  </w:style>
  <w:style w:type="paragraph" w:customStyle="1" w:styleId="ListNote">
    <w:name w:val="List Note"/>
    <w:basedOn w:val="List"/>
    <w:rsid w:val="00F33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382"/>
    <w:rPr>
      <w:rFonts w:ascii="Courier New" w:hAnsi="Courier New"/>
    </w:rPr>
  </w:style>
  <w:style w:type="paragraph" w:customStyle="1" w:styleId="NoteBullet">
    <w:name w:val="Note Bullet"/>
    <w:basedOn w:val="Note"/>
    <w:rsid w:val="00F33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382"/>
    <w:rPr>
      <w:b/>
      <w:smallCaps/>
    </w:rPr>
  </w:style>
  <w:style w:type="paragraph" w:customStyle="1" w:styleId="TableListNumber">
    <w:name w:val="Table List Number"/>
    <w:basedOn w:val="ListNumber"/>
    <w:rsid w:val="00F33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382"/>
    <w:pPr>
      <w:numPr>
        <w:numId w:val="8"/>
      </w:numPr>
    </w:pPr>
  </w:style>
  <w:style w:type="paragraph" w:customStyle="1" w:styleId="ListAlpha2">
    <w:name w:val="List Alpha 2"/>
    <w:basedOn w:val="List2"/>
    <w:rsid w:val="00F33382"/>
    <w:pPr>
      <w:numPr>
        <w:numId w:val="7"/>
      </w:numPr>
    </w:pPr>
  </w:style>
  <w:style w:type="paragraph" w:styleId="List2">
    <w:name w:val="List 2"/>
    <w:basedOn w:val="BodyText"/>
    <w:rsid w:val="00F33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382"/>
    <w:pPr>
      <w:numPr>
        <w:numId w:val="3"/>
      </w:numPr>
    </w:pPr>
  </w:style>
  <w:style w:type="paragraph" w:styleId="ListContinue2">
    <w:name w:val="List Continue 2"/>
    <w:basedOn w:val="List2"/>
    <w:rsid w:val="00F33382"/>
    <w:pPr>
      <w:ind w:firstLine="0"/>
    </w:pPr>
  </w:style>
  <w:style w:type="paragraph" w:styleId="ListContinue3">
    <w:name w:val="List Continue 3"/>
    <w:basedOn w:val="List3"/>
    <w:rsid w:val="00F33382"/>
    <w:pPr>
      <w:ind w:left="1021" w:firstLine="0"/>
    </w:pPr>
  </w:style>
  <w:style w:type="paragraph" w:styleId="ListContinue4">
    <w:name w:val="List Continue 4"/>
    <w:basedOn w:val="List4"/>
    <w:rsid w:val="00F33382"/>
    <w:pPr>
      <w:ind w:firstLine="0"/>
    </w:pPr>
  </w:style>
  <w:style w:type="paragraph" w:styleId="ListContinue5">
    <w:name w:val="List Continue 5"/>
    <w:basedOn w:val="List5"/>
    <w:rsid w:val="00F33382"/>
    <w:pPr>
      <w:ind w:firstLine="0"/>
    </w:pPr>
  </w:style>
  <w:style w:type="paragraph" w:styleId="ListNumber3">
    <w:name w:val="List Number 3"/>
    <w:basedOn w:val="List3"/>
    <w:rsid w:val="00F33382"/>
    <w:pPr>
      <w:numPr>
        <w:numId w:val="4"/>
      </w:numPr>
    </w:pPr>
  </w:style>
  <w:style w:type="paragraph" w:styleId="ListNumber4">
    <w:name w:val="List Number 4"/>
    <w:basedOn w:val="List4"/>
    <w:rsid w:val="00F33382"/>
    <w:pPr>
      <w:numPr>
        <w:numId w:val="5"/>
      </w:numPr>
    </w:pPr>
  </w:style>
  <w:style w:type="paragraph" w:styleId="ListNumber5">
    <w:name w:val="List Number 5"/>
    <w:basedOn w:val="List5"/>
    <w:rsid w:val="00F33382"/>
    <w:pPr>
      <w:numPr>
        <w:numId w:val="6"/>
      </w:numPr>
    </w:pPr>
  </w:style>
  <w:style w:type="paragraph" w:styleId="BlockText">
    <w:name w:val="Block Text"/>
    <w:basedOn w:val="Normal"/>
    <w:rsid w:val="00F33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382"/>
    <w:rPr>
      <w:sz w:val="16"/>
      <w:vertAlign w:val="superscript"/>
    </w:rPr>
  </w:style>
  <w:style w:type="character" w:customStyle="1" w:styleId="Symbols">
    <w:name w:val="Symbols"/>
    <w:basedOn w:val="DefaultParagraphFont"/>
    <w:rsid w:val="00F33382"/>
    <w:rPr>
      <w:rFonts w:ascii="Symbol" w:hAnsi="Symbol"/>
    </w:rPr>
  </w:style>
  <w:style w:type="character" w:customStyle="1" w:styleId="MenuOptions">
    <w:name w:val="Menu Options"/>
    <w:basedOn w:val="DefaultParagraphFont"/>
    <w:rsid w:val="00F33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382"/>
    <w:rPr>
      <w:b/>
    </w:rPr>
  </w:style>
  <w:style w:type="character" w:customStyle="1" w:styleId="Underlined">
    <w:name w:val="Underlined"/>
    <w:basedOn w:val="DefaultParagraphFont"/>
    <w:rsid w:val="00F33382"/>
    <w:rPr>
      <w:u w:val="single"/>
    </w:rPr>
  </w:style>
  <w:style w:type="paragraph" w:customStyle="1" w:styleId="TableBodyTextRight">
    <w:name w:val="Table Body Text Right"/>
    <w:basedOn w:val="TableBodyText"/>
    <w:rsid w:val="00F33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382"/>
    <w:rPr>
      <w:sz w:val="18"/>
    </w:rPr>
  </w:style>
  <w:style w:type="paragraph" w:customStyle="1" w:styleId="BodySmallRight">
    <w:name w:val="Body Small Right"/>
    <w:basedOn w:val="BodyTextRight"/>
    <w:rsid w:val="00F33382"/>
    <w:rPr>
      <w:sz w:val="18"/>
      <w:szCs w:val="18"/>
    </w:rPr>
  </w:style>
  <w:style w:type="paragraph" w:customStyle="1" w:styleId="MarginEdition">
    <w:name w:val="Margin Edition"/>
    <w:basedOn w:val="MarginNote"/>
    <w:rsid w:val="00F33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382"/>
    <w:rPr>
      <w:sz w:val="2"/>
      <w:szCs w:val="2"/>
    </w:rPr>
  </w:style>
  <w:style w:type="character" w:customStyle="1" w:styleId="Small">
    <w:name w:val="Small"/>
    <w:basedOn w:val="DefaultParagraphFont"/>
    <w:rsid w:val="00F33382"/>
    <w:rPr>
      <w:sz w:val="16"/>
    </w:rPr>
  </w:style>
  <w:style w:type="paragraph" w:customStyle="1" w:styleId="WideTable">
    <w:name w:val="Wide Table"/>
    <w:basedOn w:val="Normal"/>
    <w:rsid w:val="00F33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382"/>
  </w:style>
  <w:style w:type="paragraph" w:styleId="Quote">
    <w:name w:val="Quote"/>
    <w:basedOn w:val="Heading1"/>
    <w:link w:val="QuoteChar"/>
    <w:qFormat/>
    <w:rsid w:val="00F33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382"/>
    <w:pPr>
      <w:pageBreakBefore/>
    </w:pPr>
  </w:style>
  <w:style w:type="paragraph" w:customStyle="1" w:styleId="Border">
    <w:name w:val="Border"/>
    <w:basedOn w:val="Normal"/>
    <w:qFormat/>
    <w:rsid w:val="00F33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382"/>
    <w:rPr>
      <w:u w:val="single"/>
    </w:rPr>
  </w:style>
  <w:style w:type="character" w:customStyle="1" w:styleId="BoldandItalics">
    <w:name w:val="Bold and Italics"/>
    <w:qFormat/>
    <w:rsid w:val="00F33382"/>
    <w:rPr>
      <w:b/>
      <w:i/>
      <w:u w:val="none"/>
    </w:rPr>
  </w:style>
  <w:style w:type="paragraph" w:styleId="BalloonText">
    <w:name w:val="Balloon Text"/>
    <w:basedOn w:val="Normal"/>
    <w:link w:val="BalloonTextChar"/>
    <w:rsid w:val="00F33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382"/>
    <w:pPr>
      <w:spacing w:before="0" w:after="0"/>
    </w:pPr>
  </w:style>
  <w:style w:type="paragraph" w:customStyle="1" w:styleId="BodyTextBold">
    <w:name w:val="Body Text Bold"/>
    <w:basedOn w:val="BodyText"/>
    <w:qFormat/>
    <w:rsid w:val="00F33382"/>
    <w:rPr>
      <w:b/>
    </w:rPr>
  </w:style>
  <w:style w:type="character" w:styleId="Hyperlink">
    <w:name w:val="Hyperlink"/>
    <w:basedOn w:val="DefaultParagraphFont"/>
    <w:uiPriority w:val="99"/>
    <w:unhideWhenUsed/>
    <w:rsid w:val="006D3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2327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FNSSUP517 Review performance of superannuation funds against regulatory and contractual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