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3BF" w:rsidP="00A953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FNSSUP509 Work within a defined benefit fund</w:t>
      </w:r>
      <w:r>
        <w:fldChar w:fldCharType="end"/>
      </w:r>
    </w:p>
    <w:p w:rsidR="00A953BF" w:rsidP="00A953BF">
      <w:pPr>
        <w:pStyle w:val="Version"/>
        <w:sectPr w:rsidSect="00A249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499F" w:rsidP="00A2499F">
      <w:pPr>
        <w:pStyle w:val="SuperHeading"/>
      </w:pPr>
      <w:r w:rsidRPr="00A2499F">
        <w:t>Assessment Requirements for FNSSUP509 Work within a defined benefit fund</w:t>
      </w:r>
    </w:p>
    <w:p w:rsidR="00000000" w:rsidRPr="00A2499F" w:rsidP="00A2499F">
      <w:pPr>
        <w:pStyle w:val="Heading1"/>
      </w:pPr>
      <w:bookmarkStart w:id="1" w:name="O_707807"/>
      <w:bookmarkEnd w:id="1"/>
      <w:r w:rsidRPr="00A249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24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99F" w:rsidP="00A2499F">
            <w:pPr>
              <w:pStyle w:val="BodyText"/>
            </w:pPr>
            <w:r w:rsidRPr="00A249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9F">
            <w:pPr>
              <w:pStyle w:val="BodyText"/>
              <w:rPr>
                <w:lang w:val="en-NZ"/>
              </w:rPr>
            </w:pPr>
            <w:r w:rsidRPr="00A2499F">
              <w:rPr>
                <w:rStyle w:val="SpecialBold"/>
              </w:rPr>
              <w:t>Comments</w:t>
            </w:r>
          </w:p>
        </w:tc>
      </w:tr>
      <w:tr w:rsidTr="00A24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99F">
            <w:pPr>
              <w:pStyle w:val="BodyText"/>
              <w:rPr>
                <w:lang w:val="en-NZ"/>
              </w:rPr>
            </w:pPr>
            <w:r w:rsidRPr="00A249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99F" w:rsidP="00A2499F">
            <w:pPr>
              <w:pStyle w:val="BodyText"/>
            </w:pPr>
            <w:r w:rsidRPr="00A2499F">
              <w:t>This version first released with FNS Financial Services Training Package Version 1.0.</w:t>
            </w:r>
          </w:p>
        </w:tc>
      </w:tr>
    </w:tbl>
    <w:p w:rsidR="00000000" w:rsidRPr="00A2499F" w:rsidP="00A2499F">
      <w:pPr>
        <w:pStyle w:val="BodyText"/>
      </w:pPr>
    </w:p>
    <w:p w:rsidR="00000000" w:rsidRPr="00A2499F" w:rsidP="00A2499F">
      <w:pPr>
        <w:pStyle w:val="AllowPageBreak"/>
      </w:pPr>
    </w:p>
    <w:p w:rsidR="00000000" w:rsidRPr="00A2499F" w:rsidP="00A2499F">
      <w:pPr>
        <w:pStyle w:val="Heading1"/>
      </w:pPr>
      <w:bookmarkStart w:id="2" w:name="O_707808"/>
      <w:bookmarkEnd w:id="2"/>
      <w:r w:rsidRPr="00A2499F">
        <w:t>Performance Evidence</w:t>
      </w:r>
    </w:p>
    <w:p w:rsidR="00000000" w:rsidRPr="00A2499F" w:rsidP="00A953BF">
      <w:pPr>
        <w:pStyle w:val="BodyText"/>
      </w:pPr>
      <w:r w:rsidRPr="00A2499F">
        <w:t>Evidence of the ability to:</w:t>
      </w:r>
    </w:p>
    <w:p w:rsidR="00000000" w:rsidRPr="00A2499F" w:rsidP="00A2499F">
      <w:pPr>
        <w:pStyle w:val="ListBullet"/>
      </w:pPr>
      <w:r w:rsidRPr="00A2499F">
        <w:t>explain the design of defined benefit funds to members</w:t>
      </w:r>
    </w:p>
    <w:p w:rsidR="00000000" w:rsidRPr="00A2499F" w:rsidP="00A2499F">
      <w:pPr>
        <w:pStyle w:val="ListBullet"/>
      </w:pPr>
      <w:r w:rsidRPr="00A2499F">
        <w:t>process contributions and payment of benefits in a defined benefit fund, including additional fees, charges and taxes</w:t>
      </w:r>
    </w:p>
    <w:p w:rsidR="00000000" w:rsidRPr="00A2499F" w:rsidP="00A2499F">
      <w:pPr>
        <w:pStyle w:val="ListBullet"/>
      </w:pPr>
      <w:r w:rsidRPr="00A2499F">
        <w:t xml:space="preserve">interpret trust deed conditions, </w:t>
      </w:r>
      <w:r w:rsidRPr="00A2499F">
        <w:t>establish special circumstances and make informed recommendations about benefit payments</w:t>
      </w:r>
    </w:p>
    <w:p w:rsidR="00000000" w:rsidRPr="00A2499F" w:rsidP="00A2499F">
      <w:pPr>
        <w:pStyle w:val="ListBullet"/>
      </w:pPr>
      <w:r w:rsidRPr="00A2499F">
        <w:t>identify, source and interpret required information to process benefits for lump sum payments, death claims and disablement claims</w:t>
      </w:r>
    </w:p>
    <w:p w:rsidR="00000000" w:rsidRPr="00A2499F" w:rsidP="00A2499F">
      <w:pPr>
        <w:pStyle w:val="ListBullet"/>
      </w:pPr>
      <w:r w:rsidRPr="00A2499F">
        <w:t>assess and determine benefit entitlements for lump sums, pensions, and death and disablement claims using computer programs</w:t>
      </w:r>
    </w:p>
    <w:p w:rsidR="00000000" w:rsidRPr="00A2499F" w:rsidP="00A2499F">
      <w:pPr>
        <w:pStyle w:val="ListBullet"/>
      </w:pPr>
      <w:r w:rsidRPr="00A2499F">
        <w:t>accurately process contributions, benefits and insurance claims according to organisational guidelines and relevant legislation.</w:t>
      </w:r>
    </w:p>
    <w:p w:rsidR="00000000" w:rsidRPr="00A2499F" w:rsidP="00A2499F">
      <w:pPr>
        <w:pStyle w:val="BodyText"/>
      </w:pPr>
    </w:p>
    <w:p w:rsidR="00000000" w:rsidRPr="00A2499F" w:rsidP="00A953BF">
      <w:pPr>
        <w:pStyle w:val="BodyText"/>
      </w:pPr>
      <w:r w:rsidRPr="00A2499F">
        <w:t>No</w:t>
      </w:r>
      <w:r w:rsidRPr="00A2499F">
        <w:t>te: If a specific volume or frequency is not stated, then evidence must be provided at least once.</w:t>
      </w:r>
    </w:p>
    <w:p w:rsidR="00000000" w:rsidRPr="00A2499F" w:rsidP="00A2499F">
      <w:pPr>
        <w:pStyle w:val="Heading1"/>
      </w:pPr>
      <w:bookmarkStart w:id="3" w:name="O_707809"/>
      <w:bookmarkEnd w:id="3"/>
      <w:r w:rsidRPr="00A2499F">
        <w:t>Knowledge Evidence</w:t>
      </w:r>
    </w:p>
    <w:p w:rsidR="00000000" w:rsidRPr="00A2499F" w:rsidP="00A953BF">
      <w:pPr>
        <w:pStyle w:val="BodyText"/>
      </w:pPr>
      <w:r w:rsidRPr="00A2499F">
        <w:t>To complete the unit requirements safely and effectively, the individual must:</w:t>
      </w:r>
    </w:p>
    <w:p w:rsidR="00000000" w:rsidRPr="00A2499F" w:rsidP="00A2499F">
      <w:pPr>
        <w:pStyle w:val="ListBullet"/>
      </w:pPr>
      <w:r w:rsidRPr="00A2499F">
        <w:t>identify key features and eligibility con</w:t>
      </w:r>
      <w:r w:rsidRPr="00A2499F">
        <w:t>ditions affecting defined benefit funds</w:t>
      </w:r>
    </w:p>
    <w:p w:rsidR="00000000" w:rsidRPr="00A2499F" w:rsidP="00A2499F">
      <w:pPr>
        <w:pStyle w:val="ListBullet"/>
      </w:pPr>
      <w:r w:rsidRPr="00A2499F">
        <w:t>explain advantages and disadvantages of:</w:t>
      </w:r>
    </w:p>
    <w:p w:rsidR="00000000" w:rsidRPr="00A2499F" w:rsidP="00A2499F">
      <w:pPr>
        <w:pStyle w:val="ListBullet2"/>
      </w:pPr>
      <w:r w:rsidRPr="00A2499F">
        <w:t>accumulation and defined benefit funds</w:t>
      </w:r>
    </w:p>
    <w:p w:rsidR="00000000" w:rsidRPr="00A2499F" w:rsidP="00A2499F">
      <w:pPr>
        <w:pStyle w:val="ListBullet2"/>
      </w:pPr>
      <w:r w:rsidRPr="00A2499F">
        <w:t>different methods of contributing to defined benefit funds</w:t>
      </w:r>
    </w:p>
    <w:p w:rsidR="00000000" w:rsidRPr="00A2499F" w:rsidP="00A2499F">
      <w:pPr>
        <w:pStyle w:val="ListBullet"/>
      </w:pPr>
      <w:r w:rsidRPr="00A2499F">
        <w:t>identify requirements of legislation and regulations specific to defined be</w:t>
      </w:r>
      <w:r w:rsidRPr="00A2499F">
        <w:t>nefit funds</w:t>
      </w:r>
    </w:p>
    <w:p w:rsidR="00000000" w:rsidRPr="00A2499F" w:rsidP="00A2499F">
      <w:pPr>
        <w:pStyle w:val="ListBullet"/>
      </w:pPr>
      <w:r w:rsidRPr="00A2499F">
        <w:t>identify funding options for defined benefit funds</w:t>
      </w:r>
    </w:p>
    <w:p w:rsidR="00000000" w:rsidRPr="00A2499F" w:rsidP="00A2499F">
      <w:pPr>
        <w:pStyle w:val="ListBullet"/>
      </w:pPr>
      <w:r w:rsidRPr="00A2499F">
        <w:t>describe the effects of the following on defined benefits:</w:t>
      </w:r>
    </w:p>
    <w:p w:rsidR="00000000" w:rsidRPr="00A2499F" w:rsidP="00A2499F">
      <w:pPr>
        <w:pStyle w:val="ListBullet2"/>
      </w:pPr>
      <w:r w:rsidRPr="00A2499F">
        <w:t>part-time and casual employees, and leave</w:t>
      </w:r>
    </w:p>
    <w:p w:rsidR="00000000" w:rsidRPr="00A2499F" w:rsidP="00A2499F">
      <w:pPr>
        <w:pStyle w:val="ListBullet2"/>
      </w:pPr>
      <w:r w:rsidRPr="00A2499F">
        <w:t>resignation, dismissal and redundancy</w:t>
      </w:r>
    </w:p>
    <w:p w:rsidR="00000000" w:rsidRPr="00A2499F" w:rsidP="00A2499F">
      <w:pPr>
        <w:pStyle w:val="ListBullet2"/>
      </w:pPr>
      <w:r w:rsidRPr="00A2499F">
        <w:t>death and disability</w:t>
      </w:r>
    </w:p>
    <w:p w:rsidR="00000000" w:rsidRPr="00A2499F" w:rsidP="00A2499F">
      <w:pPr>
        <w:pStyle w:val="ListBullet"/>
      </w:pPr>
      <w:r w:rsidRPr="00A2499F">
        <w:t>describe the application of privacy legislation</w:t>
      </w:r>
    </w:p>
    <w:p w:rsidR="00000000" w:rsidRPr="00A2499F" w:rsidP="00A2499F">
      <w:pPr>
        <w:pStyle w:val="ListBullet"/>
      </w:pPr>
      <w:r w:rsidRPr="00A2499F">
        <w:t>compare and contrast different types of retirement benefits and eligibility</w:t>
      </w:r>
    </w:p>
    <w:p w:rsidR="00000000" w:rsidRPr="00A2499F" w:rsidP="00A2499F">
      <w:pPr>
        <w:pStyle w:val="ListBullet"/>
      </w:pPr>
      <w:r w:rsidRPr="00A2499F">
        <w:t>outline the key factors affecting retirement benefit design</w:t>
      </w:r>
    </w:p>
    <w:p w:rsidR="00000000" w:rsidRPr="00A2499F" w:rsidP="00A2499F">
      <w:pPr>
        <w:pStyle w:val="ListBullet"/>
      </w:pPr>
      <w:r w:rsidRPr="00A2499F">
        <w:t>outline the effect and use of actuarial tools (compound interest and pro</w:t>
      </w:r>
      <w:r w:rsidRPr="00A2499F">
        <w:t>bability)</w:t>
      </w:r>
    </w:p>
    <w:p w:rsidR="00000000" w:rsidRPr="00A2499F" w:rsidP="00A2499F">
      <w:pPr>
        <w:pStyle w:val="ListBullet"/>
      </w:pPr>
      <w:r w:rsidRPr="00A2499F">
        <w:t>describe the role of actuaries in determining payment of benefits</w:t>
      </w:r>
    </w:p>
    <w:p w:rsidR="00000000" w:rsidRPr="00A2499F" w:rsidP="00A2499F">
      <w:pPr>
        <w:pStyle w:val="ListBullet"/>
      </w:pPr>
      <w:r w:rsidRPr="00A2499F">
        <w:t>explain the legal requirements for actuarial investigations of defined benefit funds</w:t>
      </w:r>
    </w:p>
    <w:p w:rsidR="00000000" w:rsidRPr="00A2499F" w:rsidP="00A2499F">
      <w:pPr>
        <w:pStyle w:val="ListBullet"/>
      </w:pPr>
      <w:r w:rsidRPr="00A2499F">
        <w:t>identify formulas used to calculate defined benefits</w:t>
      </w:r>
    </w:p>
    <w:p w:rsidR="00000000" w:rsidRPr="00A2499F" w:rsidP="00A2499F">
      <w:pPr>
        <w:pStyle w:val="ListBullet"/>
      </w:pPr>
      <w:r w:rsidRPr="00A2499F">
        <w:t>outline consequences of incorrect processi</w:t>
      </w:r>
      <w:r w:rsidRPr="00A2499F">
        <w:t>ng of contributions and benefits</w:t>
      </w:r>
    </w:p>
    <w:p w:rsidR="00000000" w:rsidRPr="00A2499F" w:rsidP="00A2499F">
      <w:pPr>
        <w:pStyle w:val="ListBullet"/>
      </w:pPr>
      <w:r w:rsidRPr="00A2499F">
        <w:t>describe the influences on fund and benefit design</w:t>
      </w:r>
    </w:p>
    <w:p w:rsidR="00000000" w:rsidRPr="00A2499F" w:rsidP="00A2499F">
      <w:pPr>
        <w:pStyle w:val="ListBullet"/>
      </w:pPr>
      <w:r w:rsidRPr="00A2499F">
        <w:t>describe how commutation of pensions work</w:t>
      </w:r>
    </w:p>
    <w:p w:rsidR="00000000" w:rsidRPr="00A2499F" w:rsidP="00A2499F">
      <w:pPr>
        <w:pStyle w:val="ListBullet"/>
      </w:pPr>
      <w:r w:rsidRPr="00A2499F">
        <w:t>outline the implications and procedure for actuarial investigations</w:t>
      </w:r>
    </w:p>
    <w:p w:rsidR="00000000" w:rsidRPr="00A2499F" w:rsidP="00A2499F">
      <w:pPr>
        <w:pStyle w:val="ListBullet"/>
      </w:pPr>
      <w:r w:rsidRPr="00A2499F">
        <w:t>discuss issues associated with pensions and lump sums</w:t>
      </w:r>
    </w:p>
    <w:p w:rsidR="00000000" w:rsidRPr="00A2499F" w:rsidP="00A2499F">
      <w:pPr>
        <w:pStyle w:val="ListBullet"/>
      </w:pPr>
      <w:r w:rsidRPr="00A2499F">
        <w:t>explain the process and implications of:</w:t>
      </w:r>
    </w:p>
    <w:p w:rsidR="00000000" w:rsidRPr="00A2499F" w:rsidP="00A2499F">
      <w:pPr>
        <w:pStyle w:val="ListBullet2"/>
      </w:pPr>
      <w:r w:rsidRPr="00A2499F">
        <w:t>changing fund structures</w:t>
      </w:r>
    </w:p>
    <w:p w:rsidR="00000000" w:rsidRPr="00A2499F" w:rsidP="00A2499F">
      <w:pPr>
        <w:pStyle w:val="ListBullet2"/>
      </w:pPr>
      <w:r w:rsidRPr="00A2499F">
        <w:t>transfer between superannuation funds</w:t>
      </w:r>
    </w:p>
    <w:p w:rsidR="00000000" w:rsidRPr="00A2499F" w:rsidP="00A2499F">
      <w:pPr>
        <w:pStyle w:val="ListBullet2"/>
      </w:pPr>
      <w:r w:rsidRPr="00A2499F">
        <w:t>calculating the value of future liabilities, the valuation of assets and the establishment of the contribution rate</w:t>
      </w:r>
    </w:p>
    <w:p w:rsidR="00000000" w:rsidRPr="00A2499F" w:rsidP="00A2499F">
      <w:pPr>
        <w:pStyle w:val="ListBullet"/>
      </w:pPr>
      <w:r w:rsidRPr="00A2499F">
        <w:t>describe special provisions relati</w:t>
      </w:r>
      <w:r w:rsidRPr="00A2499F">
        <w:t>ng to public sector defined benefit funds</w:t>
      </w:r>
    </w:p>
    <w:p w:rsidR="00000000" w:rsidRPr="00A2499F" w:rsidP="00A2499F">
      <w:pPr>
        <w:pStyle w:val="ListBullet"/>
      </w:pPr>
      <w:r w:rsidRPr="00A2499F">
        <w:t>outline taxation implications of defined benefit funds</w:t>
      </w:r>
    </w:p>
    <w:p w:rsidR="00000000" w:rsidRPr="00A2499F" w:rsidP="00A2499F">
      <w:pPr>
        <w:pStyle w:val="ListBullet"/>
      </w:pPr>
      <w:r w:rsidRPr="00A2499F">
        <w:t>explain the role of employers and members in contributions made to defined benefit funds.</w:t>
      </w:r>
    </w:p>
    <w:p w:rsidR="00000000" w:rsidRPr="00A2499F" w:rsidP="00A2499F">
      <w:pPr>
        <w:pStyle w:val="AllowPageBreak"/>
      </w:pPr>
    </w:p>
    <w:p w:rsidR="00000000" w:rsidRPr="00A2499F" w:rsidP="00A2499F">
      <w:pPr>
        <w:pStyle w:val="Heading1"/>
      </w:pPr>
      <w:bookmarkStart w:id="4" w:name="O_707810"/>
      <w:bookmarkEnd w:id="4"/>
      <w:r w:rsidRPr="00A2499F">
        <w:t>Assessment Conditions</w:t>
      </w:r>
    </w:p>
    <w:p w:rsidR="00000000" w:rsidRPr="00A2499F" w:rsidP="00A953BF">
      <w:pPr>
        <w:pStyle w:val="BodyText"/>
      </w:pPr>
      <w:r w:rsidRPr="00A2499F">
        <w:t>Assessment must be conducted i</w:t>
      </w:r>
      <w:r w:rsidRPr="00A2499F">
        <w:t>n a safe environment where evidence gathered demonstrates consistent performance of typical activities experienced in the superannuation field of work and include access to:</w:t>
      </w:r>
    </w:p>
    <w:p w:rsidR="00000000" w:rsidRPr="00A2499F" w:rsidP="00A2499F">
      <w:pPr>
        <w:pStyle w:val="ListBullet"/>
      </w:pPr>
      <w:r w:rsidRPr="00A2499F">
        <w:t>common office equipment, technology, software and consumables</w:t>
      </w:r>
    </w:p>
    <w:p w:rsidR="00000000" w:rsidRPr="00A2499F" w:rsidP="00A2499F">
      <w:pPr>
        <w:pStyle w:val="ListBullet"/>
      </w:pPr>
      <w:r w:rsidRPr="00A2499F">
        <w:t>organisational fina</w:t>
      </w:r>
      <w:r w:rsidRPr="00A2499F">
        <w:t>ncial records</w:t>
      </w:r>
    </w:p>
    <w:p w:rsidR="00000000" w:rsidRPr="00A2499F" w:rsidP="00A2499F">
      <w:pPr>
        <w:pStyle w:val="ListBullet"/>
      </w:pPr>
      <w:r w:rsidRPr="00A2499F">
        <w:t>organisational policy and procedures.</w:t>
      </w:r>
    </w:p>
    <w:p w:rsidR="00000000" w:rsidRPr="00A2499F" w:rsidP="00A2499F">
      <w:pPr>
        <w:pStyle w:val="BodyText"/>
      </w:pPr>
    </w:p>
    <w:p w:rsidR="00000000" w:rsidRPr="00A2499F" w:rsidP="00A953BF">
      <w:pPr>
        <w:pStyle w:val="BodyText"/>
      </w:pPr>
      <w:r w:rsidRPr="00A2499F">
        <w:t>Assessors must satisfy NVR/AQTF assessor requirements.</w:t>
      </w:r>
    </w:p>
    <w:p w:rsidR="00000000" w:rsidRPr="00A2499F" w:rsidP="00A2499F">
      <w:pPr>
        <w:pStyle w:val="Heading1"/>
      </w:pPr>
      <w:bookmarkStart w:id="5" w:name="O_707813"/>
      <w:bookmarkEnd w:id="5"/>
      <w:r w:rsidRPr="00A2499F">
        <w:t>Links</w:t>
      </w:r>
    </w:p>
    <w:p w:rsidR="00000000" w:rsidRPr="00A2499F" w:rsidP="00A953BF">
      <w:pPr>
        <w:pStyle w:val="BodyText"/>
      </w:pPr>
      <w:r w:rsidRPr="00A249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2453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2499F" w:rsidP="00A2499F"/>
    <w:sectPr w:rsidSect="00A249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9F" w:rsidRPr="00A953BF" w:rsidP="00A953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3BF" w:rsidP="00A249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53BF" w:rsidP="00A249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53BF" w:rsidP="00A249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3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499F" w:rsidRPr="00A953BF" w:rsidP="00A953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3BF" w:rsidRPr="002D2AF8" w:rsidP="00A249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FNSSUP509 Work within a defined benefit fund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953BF" w:rsidP="00A249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3C34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522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5ADE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9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9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9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9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9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9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9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9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9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9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9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99F"/>
  </w:style>
  <w:style w:type="character" w:customStyle="1" w:styleId="Heading1Char">
    <w:name w:val="Heading 1 Char"/>
    <w:basedOn w:val="DefaultParagraphFont"/>
    <w:link w:val="Heading1"/>
    <w:rsid w:val="00A249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9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9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49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499F"/>
    <w:rPr>
      <w:b/>
      <w:spacing w:val="0"/>
    </w:rPr>
  </w:style>
  <w:style w:type="paragraph" w:styleId="ListBullet2">
    <w:name w:val="List Bullet 2"/>
    <w:basedOn w:val="List2"/>
    <w:rsid w:val="00A249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49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49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49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9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9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9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9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9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9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9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9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9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9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9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9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9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9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9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9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9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9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49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49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9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9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49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9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9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9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9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9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9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9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9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499F"/>
    <w:rPr>
      <w:i/>
    </w:rPr>
  </w:style>
  <w:style w:type="paragraph" w:styleId="Caption">
    <w:name w:val="caption"/>
    <w:basedOn w:val="BodyText"/>
    <w:next w:val="Normal"/>
    <w:qFormat/>
    <w:rsid w:val="00A249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9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9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99F"/>
  </w:style>
  <w:style w:type="paragraph" w:styleId="TableofFigures">
    <w:name w:val="table of figures"/>
    <w:basedOn w:val="Normal"/>
    <w:next w:val="Normal"/>
    <w:semiHidden/>
    <w:rsid w:val="00A249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9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499F"/>
    <w:rPr>
      <w:rFonts w:ascii="Wingdings" w:hAnsi="Wingdings"/>
    </w:rPr>
  </w:style>
  <w:style w:type="paragraph" w:customStyle="1" w:styleId="TableHeading">
    <w:name w:val="Table Heading"/>
    <w:basedOn w:val="HeadingBase"/>
    <w:rsid w:val="00A249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99F"/>
    <w:rPr>
      <w:color w:val="0033CC"/>
      <w:u w:val="none"/>
    </w:rPr>
  </w:style>
  <w:style w:type="paragraph" w:customStyle="1" w:styleId="BodyTextRight">
    <w:name w:val="Body Text Right"/>
    <w:basedOn w:val="BodyText"/>
    <w:rsid w:val="00A249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9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9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9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9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9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99F"/>
    <w:rPr>
      <w:sz w:val="32"/>
    </w:rPr>
  </w:style>
  <w:style w:type="paragraph" w:customStyle="1" w:styleId="HeadingProcedure">
    <w:name w:val="Heading Procedure"/>
    <w:basedOn w:val="HeadingBase"/>
    <w:next w:val="Normal"/>
    <w:rsid w:val="00A249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99F"/>
    <w:pPr>
      <w:spacing w:before="60" w:after="60"/>
    </w:pPr>
  </w:style>
  <w:style w:type="paragraph" w:styleId="ListContinue">
    <w:name w:val="List Continue"/>
    <w:basedOn w:val="List"/>
    <w:rsid w:val="00A2499F"/>
    <w:pPr>
      <w:ind w:firstLine="0"/>
    </w:pPr>
  </w:style>
  <w:style w:type="paragraph" w:customStyle="1" w:styleId="ListNote">
    <w:name w:val="List Note"/>
    <w:basedOn w:val="List"/>
    <w:rsid w:val="00A249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9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9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99F"/>
    <w:rPr>
      <w:rFonts w:ascii="Courier New" w:hAnsi="Courier New"/>
    </w:rPr>
  </w:style>
  <w:style w:type="paragraph" w:customStyle="1" w:styleId="NoteBullet">
    <w:name w:val="Note Bullet"/>
    <w:basedOn w:val="Note"/>
    <w:rsid w:val="00A249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9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9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9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9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49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9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99F"/>
    <w:rPr>
      <w:b/>
      <w:smallCaps/>
    </w:rPr>
  </w:style>
  <w:style w:type="paragraph" w:customStyle="1" w:styleId="TableListNumber">
    <w:name w:val="Table List Number"/>
    <w:basedOn w:val="ListNumber"/>
    <w:rsid w:val="00A249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9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99F"/>
    <w:pPr>
      <w:numPr>
        <w:numId w:val="9"/>
      </w:numPr>
    </w:pPr>
  </w:style>
  <w:style w:type="paragraph" w:customStyle="1" w:styleId="ListAlpha2">
    <w:name w:val="List Alpha 2"/>
    <w:basedOn w:val="List2"/>
    <w:rsid w:val="00A2499F"/>
    <w:pPr>
      <w:numPr>
        <w:numId w:val="8"/>
      </w:numPr>
    </w:pPr>
  </w:style>
  <w:style w:type="paragraph" w:styleId="List2">
    <w:name w:val="List 2"/>
    <w:basedOn w:val="BodyText"/>
    <w:rsid w:val="00A249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9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9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9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9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9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499F"/>
    <w:pPr>
      <w:numPr>
        <w:numId w:val="4"/>
      </w:numPr>
    </w:pPr>
  </w:style>
  <w:style w:type="paragraph" w:styleId="ListContinue2">
    <w:name w:val="List Continue 2"/>
    <w:basedOn w:val="List2"/>
    <w:rsid w:val="00A2499F"/>
    <w:pPr>
      <w:ind w:firstLine="0"/>
    </w:pPr>
  </w:style>
  <w:style w:type="paragraph" w:styleId="ListContinue3">
    <w:name w:val="List Continue 3"/>
    <w:basedOn w:val="List3"/>
    <w:rsid w:val="00A2499F"/>
    <w:pPr>
      <w:ind w:left="1021" w:firstLine="0"/>
    </w:pPr>
  </w:style>
  <w:style w:type="paragraph" w:styleId="ListContinue4">
    <w:name w:val="List Continue 4"/>
    <w:basedOn w:val="List4"/>
    <w:rsid w:val="00A2499F"/>
    <w:pPr>
      <w:ind w:firstLine="0"/>
    </w:pPr>
  </w:style>
  <w:style w:type="paragraph" w:styleId="ListContinue5">
    <w:name w:val="List Continue 5"/>
    <w:basedOn w:val="List5"/>
    <w:rsid w:val="00A2499F"/>
    <w:pPr>
      <w:ind w:firstLine="0"/>
    </w:pPr>
  </w:style>
  <w:style w:type="paragraph" w:styleId="ListNumber3">
    <w:name w:val="List Number 3"/>
    <w:basedOn w:val="List3"/>
    <w:rsid w:val="00A2499F"/>
    <w:pPr>
      <w:numPr>
        <w:numId w:val="5"/>
      </w:numPr>
    </w:pPr>
  </w:style>
  <w:style w:type="paragraph" w:styleId="ListNumber4">
    <w:name w:val="List Number 4"/>
    <w:basedOn w:val="List4"/>
    <w:rsid w:val="00A2499F"/>
    <w:pPr>
      <w:numPr>
        <w:numId w:val="6"/>
      </w:numPr>
    </w:pPr>
  </w:style>
  <w:style w:type="paragraph" w:styleId="ListNumber5">
    <w:name w:val="List Number 5"/>
    <w:basedOn w:val="List5"/>
    <w:rsid w:val="00A2499F"/>
    <w:pPr>
      <w:numPr>
        <w:numId w:val="7"/>
      </w:numPr>
    </w:pPr>
  </w:style>
  <w:style w:type="paragraph" w:styleId="BlockText">
    <w:name w:val="Block Text"/>
    <w:basedOn w:val="Normal"/>
    <w:rsid w:val="00A249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9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99F"/>
    <w:rPr>
      <w:sz w:val="16"/>
      <w:vertAlign w:val="superscript"/>
    </w:rPr>
  </w:style>
  <w:style w:type="character" w:customStyle="1" w:styleId="Symbols">
    <w:name w:val="Symbols"/>
    <w:basedOn w:val="DefaultParagraphFont"/>
    <w:rsid w:val="00A2499F"/>
    <w:rPr>
      <w:rFonts w:ascii="Symbol" w:hAnsi="Symbol"/>
    </w:rPr>
  </w:style>
  <w:style w:type="character" w:customStyle="1" w:styleId="MenuOptions">
    <w:name w:val="Menu Options"/>
    <w:basedOn w:val="DefaultParagraphFont"/>
    <w:rsid w:val="00A249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99F"/>
    <w:rPr>
      <w:b/>
    </w:rPr>
  </w:style>
  <w:style w:type="character" w:customStyle="1" w:styleId="Underlined">
    <w:name w:val="Underlined"/>
    <w:basedOn w:val="DefaultParagraphFont"/>
    <w:rsid w:val="00A2499F"/>
    <w:rPr>
      <w:u w:val="single"/>
    </w:rPr>
  </w:style>
  <w:style w:type="paragraph" w:customStyle="1" w:styleId="TableBodyTextRight">
    <w:name w:val="Table Body Text Right"/>
    <w:basedOn w:val="TableBodyText"/>
    <w:rsid w:val="00A249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99F"/>
    <w:rPr>
      <w:sz w:val="18"/>
    </w:rPr>
  </w:style>
  <w:style w:type="paragraph" w:customStyle="1" w:styleId="BodySmallRight">
    <w:name w:val="Body Small Right"/>
    <w:basedOn w:val="BodyTextRight"/>
    <w:rsid w:val="00A2499F"/>
    <w:rPr>
      <w:sz w:val="18"/>
      <w:szCs w:val="18"/>
    </w:rPr>
  </w:style>
  <w:style w:type="paragraph" w:customStyle="1" w:styleId="MarginEdition">
    <w:name w:val="Margin Edition"/>
    <w:basedOn w:val="MarginNote"/>
    <w:rsid w:val="00A249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99F"/>
    <w:rPr>
      <w:sz w:val="2"/>
      <w:szCs w:val="2"/>
    </w:rPr>
  </w:style>
  <w:style w:type="character" w:customStyle="1" w:styleId="Small">
    <w:name w:val="Small"/>
    <w:basedOn w:val="DefaultParagraphFont"/>
    <w:rsid w:val="00A2499F"/>
    <w:rPr>
      <w:sz w:val="16"/>
    </w:rPr>
  </w:style>
  <w:style w:type="paragraph" w:customStyle="1" w:styleId="WideTable">
    <w:name w:val="Wide Table"/>
    <w:basedOn w:val="Normal"/>
    <w:rsid w:val="00A249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99F"/>
  </w:style>
  <w:style w:type="paragraph" w:styleId="Quote">
    <w:name w:val="Quote"/>
    <w:basedOn w:val="Heading1"/>
    <w:link w:val="QuoteChar"/>
    <w:qFormat/>
    <w:rsid w:val="00A249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9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99F"/>
    <w:pPr>
      <w:pageBreakBefore/>
    </w:pPr>
  </w:style>
  <w:style w:type="paragraph" w:customStyle="1" w:styleId="Border">
    <w:name w:val="Border"/>
    <w:basedOn w:val="Normal"/>
    <w:qFormat/>
    <w:rsid w:val="00A249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9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9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9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9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9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9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9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9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99F"/>
    <w:rPr>
      <w:u w:val="single"/>
    </w:rPr>
  </w:style>
  <w:style w:type="character" w:customStyle="1" w:styleId="BoldandItalics">
    <w:name w:val="Bold and Italics"/>
    <w:qFormat/>
    <w:rsid w:val="00A2499F"/>
    <w:rPr>
      <w:b/>
      <w:i/>
      <w:u w:val="none"/>
    </w:rPr>
  </w:style>
  <w:style w:type="paragraph" w:styleId="BalloonText">
    <w:name w:val="Balloon Text"/>
    <w:basedOn w:val="Normal"/>
    <w:link w:val="BalloonTextChar"/>
    <w:rsid w:val="00A249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9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9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9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9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9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499F"/>
    <w:pPr>
      <w:spacing w:before="0" w:after="0"/>
    </w:pPr>
  </w:style>
  <w:style w:type="paragraph" w:customStyle="1" w:styleId="BodyTextBold">
    <w:name w:val="Body Text Bold"/>
    <w:basedOn w:val="BodyText"/>
    <w:qFormat/>
    <w:rsid w:val="00A2499F"/>
    <w:rPr>
      <w:b/>
    </w:rPr>
  </w:style>
  <w:style w:type="character" w:styleId="Hyperlink">
    <w:name w:val="Hyperlink"/>
    <w:basedOn w:val="DefaultParagraphFont"/>
    <w:uiPriority w:val="99"/>
    <w:unhideWhenUsed/>
    <w:rsid w:val="00A953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3203</Characters>
  <Application>Microsoft Office Word</Application>
  <DocSecurity>0</DocSecurity>
  <Lines>82</Lines>
  <Paragraphs>65</Paragraphs>
  <ScaleCrop>false</ScaleCrop>
  <Company>Author-it Software Corporation Ltd.</Company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FNSSUP509 Work within a defined benefit fund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