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6775" w:rsidP="003C67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FNSSUP506 Supervise and monitor operational guidelines in a superannuation organisation</w:t>
      </w:r>
      <w:r>
        <w:fldChar w:fldCharType="end"/>
      </w:r>
    </w:p>
    <w:p w:rsidR="003C6775" w:rsidP="003C6775">
      <w:pPr>
        <w:pStyle w:val="Version"/>
        <w:sectPr w:rsidSect="003A16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1624" w:rsidP="003A1624">
      <w:pPr>
        <w:pStyle w:val="SuperHeading"/>
      </w:pPr>
      <w:r w:rsidRPr="003A1624">
        <w:t>Assessment Requirements for FNSSUP506 Supervise and monitor operational guidelines in a superannuation organisation</w:t>
      </w:r>
    </w:p>
    <w:p w:rsidR="00000000" w:rsidRPr="003A1624" w:rsidP="003A1624">
      <w:pPr>
        <w:pStyle w:val="Heading1"/>
      </w:pPr>
      <w:bookmarkStart w:id="1" w:name="O_707414"/>
      <w:bookmarkEnd w:id="1"/>
      <w:r w:rsidRPr="003A16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A1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624" w:rsidP="003A1624">
            <w:pPr>
              <w:pStyle w:val="BodyText"/>
            </w:pPr>
            <w:r w:rsidRPr="003A162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624">
            <w:pPr>
              <w:pStyle w:val="BodyText"/>
              <w:rPr>
                <w:lang w:val="en-NZ"/>
              </w:rPr>
            </w:pPr>
            <w:r w:rsidRPr="003A1624">
              <w:rPr>
                <w:rStyle w:val="SpecialBold"/>
              </w:rPr>
              <w:t>Comments</w:t>
            </w:r>
          </w:p>
        </w:tc>
      </w:tr>
      <w:tr w:rsidTr="003A1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624">
            <w:pPr>
              <w:pStyle w:val="BodyText"/>
              <w:rPr>
                <w:lang w:val="en-NZ"/>
              </w:rPr>
            </w:pPr>
            <w:r w:rsidRPr="003A162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624" w:rsidP="003A1624">
            <w:pPr>
              <w:pStyle w:val="BodyText"/>
            </w:pPr>
            <w:r w:rsidRPr="003A1624">
              <w:t>This version first released with FNS Financial Services Training Package Version 1.0.</w:t>
            </w:r>
          </w:p>
        </w:tc>
      </w:tr>
    </w:tbl>
    <w:p w:rsidR="00000000" w:rsidRPr="003A1624" w:rsidP="003A1624">
      <w:pPr>
        <w:pStyle w:val="BodyText"/>
      </w:pPr>
    </w:p>
    <w:p w:rsidR="00000000" w:rsidRPr="003A1624" w:rsidP="003A1624">
      <w:pPr>
        <w:pStyle w:val="AllowPageBreak"/>
      </w:pPr>
    </w:p>
    <w:p w:rsidR="00000000" w:rsidRPr="003A1624" w:rsidP="003A1624">
      <w:pPr>
        <w:pStyle w:val="Heading1"/>
      </w:pPr>
      <w:bookmarkStart w:id="2" w:name="O_707415"/>
      <w:bookmarkEnd w:id="2"/>
      <w:r w:rsidRPr="003A1624">
        <w:t>Performance Evidence</w:t>
      </w:r>
    </w:p>
    <w:p w:rsidR="00000000" w:rsidRPr="003A1624" w:rsidP="003C6775">
      <w:pPr>
        <w:pStyle w:val="BodyText"/>
      </w:pPr>
      <w:r w:rsidRPr="003A1624">
        <w:t>Evidence of the ability to:</w:t>
      </w:r>
    </w:p>
    <w:p w:rsidR="00000000" w:rsidRPr="003A1624" w:rsidP="003A1624">
      <w:pPr>
        <w:pStyle w:val="ListBullet"/>
      </w:pPr>
      <w:r w:rsidRPr="003A1624">
        <w:t>monitor operational procedures and guidelines against organisational objectives, and relevant legisla</w:t>
      </w:r>
      <w:r w:rsidRPr="003A1624">
        <w:t>tion and codes of practice</w:t>
      </w:r>
    </w:p>
    <w:p w:rsidR="00000000" w:rsidRPr="003A1624" w:rsidP="003A1624">
      <w:pPr>
        <w:pStyle w:val="ListBullet"/>
      </w:pPr>
      <w:r w:rsidRPr="003A1624">
        <w:t>brief staff about operational guidelines and counsel when breaches are identified</w:t>
      </w:r>
    </w:p>
    <w:p w:rsidR="00000000" w:rsidRPr="003A1624" w:rsidP="003A1624">
      <w:pPr>
        <w:pStyle w:val="ListBullet"/>
      </w:pPr>
      <w:r w:rsidRPr="003A1624">
        <w:t>identify and address factors which may affect performance of staff, systems and/or resources</w:t>
      </w:r>
    </w:p>
    <w:p w:rsidR="00000000" w:rsidRPr="003A1624" w:rsidP="003A1624">
      <w:pPr>
        <w:pStyle w:val="ListBullet"/>
      </w:pPr>
      <w:r w:rsidRPr="003A1624">
        <w:t>evaluate staff conformance against fund requirements a</w:t>
      </w:r>
      <w:r w:rsidRPr="003A1624">
        <w:t>nd operational guidelines, and make recommendations as required</w:t>
      </w:r>
    </w:p>
    <w:p w:rsidR="00000000" w:rsidRPr="003A1624" w:rsidP="003A1624">
      <w:pPr>
        <w:pStyle w:val="ListBullet"/>
      </w:pPr>
      <w:r w:rsidRPr="003A1624">
        <w:t>implement and monitor performance measurement systems.</w:t>
      </w:r>
    </w:p>
    <w:p w:rsidR="00000000" w:rsidRPr="003A1624" w:rsidP="003A1624">
      <w:pPr>
        <w:pStyle w:val="BodyText"/>
      </w:pPr>
    </w:p>
    <w:p w:rsidR="00000000" w:rsidRPr="003A1624" w:rsidP="003C6775">
      <w:pPr>
        <w:pStyle w:val="BodyText"/>
      </w:pPr>
      <w:r w:rsidRPr="003A1624">
        <w:t>Note: If a specific volume or frequency is not stated, then evidence must be provided at least once.</w:t>
      </w:r>
    </w:p>
    <w:p w:rsidR="00000000" w:rsidRPr="003A1624" w:rsidP="003A1624">
      <w:pPr>
        <w:pStyle w:val="Heading1"/>
      </w:pPr>
      <w:bookmarkStart w:id="3" w:name="O_707416"/>
      <w:bookmarkEnd w:id="3"/>
      <w:r w:rsidRPr="003A1624">
        <w:t>Knowledge Evidence</w:t>
      </w:r>
    </w:p>
    <w:p w:rsidR="00000000" w:rsidRPr="003A1624" w:rsidP="003C6775">
      <w:pPr>
        <w:pStyle w:val="BodyText"/>
      </w:pPr>
      <w:r w:rsidRPr="003A1624">
        <w:t>To complete the unit requirements safely and effectively, the individual must:</w:t>
      </w:r>
    </w:p>
    <w:p w:rsidR="00000000" w:rsidRPr="003A1624" w:rsidP="003A1624">
      <w:pPr>
        <w:pStyle w:val="ListBullet"/>
      </w:pPr>
      <w:r w:rsidRPr="003A1624">
        <w:t xml:space="preserve">describe the key features of the organisation’s operational guidelines relating to management of superannuation, including service standards and performance measures </w:t>
      </w:r>
    </w:p>
    <w:p w:rsidR="00000000" w:rsidRPr="003A1624" w:rsidP="003A1624">
      <w:pPr>
        <w:pStyle w:val="ListBullet"/>
      </w:pPr>
      <w:r w:rsidRPr="003A1624">
        <w:t>identify</w:t>
      </w:r>
      <w:r w:rsidRPr="003A1624">
        <w:t xml:space="preserve"> and outline organisational systems and resource requirements</w:t>
      </w:r>
    </w:p>
    <w:p w:rsidR="00000000" w:rsidRPr="003A1624" w:rsidP="003A1624">
      <w:pPr>
        <w:pStyle w:val="ListBullet"/>
      </w:pPr>
      <w:r w:rsidRPr="003A1624">
        <w:t>describe the key features of relevant industry Acts, regulations and codes of practice</w:t>
      </w:r>
    </w:p>
    <w:p w:rsidR="00000000" w:rsidRPr="003A1624" w:rsidP="003A1624">
      <w:pPr>
        <w:pStyle w:val="ListBullet"/>
      </w:pPr>
      <w:r w:rsidRPr="003A1624">
        <w:t>outline the key aspects of the following organisational requirements:</w:t>
      </w:r>
    </w:p>
    <w:p w:rsidR="00000000" w:rsidRPr="003A1624" w:rsidP="003A1624">
      <w:pPr>
        <w:pStyle w:val="ListBullet2"/>
      </w:pPr>
      <w:r w:rsidRPr="003A1624">
        <w:t>administrative processes and systems</w:t>
      </w:r>
    </w:p>
    <w:p w:rsidR="00000000" w:rsidRPr="003A1624" w:rsidP="003A1624">
      <w:pPr>
        <w:pStyle w:val="ListBullet2"/>
      </w:pPr>
      <w:r w:rsidRPr="003A1624">
        <w:t>marketing and advertising processes</w:t>
      </w:r>
    </w:p>
    <w:p w:rsidR="00000000" w:rsidRPr="003A1624" w:rsidP="003A1624">
      <w:pPr>
        <w:pStyle w:val="ListBullet2"/>
      </w:pPr>
      <w:r w:rsidRPr="003A1624">
        <w:t>documentation systems, including registry and library processes</w:t>
      </w:r>
    </w:p>
    <w:p w:rsidR="00000000" w:rsidRPr="003A1624" w:rsidP="003A1624">
      <w:pPr>
        <w:pStyle w:val="ListBullet2"/>
      </w:pPr>
      <w:r w:rsidRPr="003A1624">
        <w:t>human resource procedures</w:t>
      </w:r>
    </w:p>
    <w:p w:rsidR="00000000" w:rsidRPr="003A1624" w:rsidP="003A1624">
      <w:pPr>
        <w:pStyle w:val="ListBullet"/>
      </w:pPr>
      <w:r w:rsidRPr="003A1624">
        <w:t>identify and describe office information technology systems, and support resources and mechanisms</w:t>
      </w:r>
    </w:p>
    <w:p w:rsidR="00000000" w:rsidRPr="003A1624" w:rsidP="003A1624">
      <w:pPr>
        <w:pStyle w:val="ListBullet"/>
      </w:pPr>
      <w:r w:rsidRPr="003A1624">
        <w:t>explain the obligations of privacy legislation</w:t>
      </w:r>
    </w:p>
    <w:p w:rsidR="00000000" w:rsidRPr="003A1624" w:rsidP="003A1624">
      <w:pPr>
        <w:pStyle w:val="ListBullet"/>
      </w:pPr>
      <w:r w:rsidRPr="003A1624">
        <w:t>outline fraud deterrence practices.</w:t>
      </w:r>
    </w:p>
    <w:p w:rsidR="00000000" w:rsidRPr="003A1624" w:rsidP="003A1624">
      <w:pPr>
        <w:pStyle w:val="AllowPageBreak"/>
      </w:pPr>
    </w:p>
    <w:p w:rsidR="00000000" w:rsidRPr="003A1624" w:rsidP="003A1624">
      <w:pPr>
        <w:pStyle w:val="Heading1"/>
      </w:pPr>
      <w:bookmarkStart w:id="4" w:name="O_707417"/>
      <w:bookmarkEnd w:id="4"/>
      <w:r w:rsidRPr="003A1624">
        <w:t>Assessment Conditions</w:t>
      </w:r>
    </w:p>
    <w:p w:rsidR="00000000" w:rsidRPr="003A1624" w:rsidP="003C6775">
      <w:pPr>
        <w:pStyle w:val="BodyText"/>
      </w:pPr>
      <w:r w:rsidRPr="003A1624">
        <w:t>Assessment must be conducted in a safe environment where evidence gathered demonstrates consistent performance of typical activities e</w:t>
      </w:r>
      <w:r w:rsidRPr="003A1624">
        <w:t>xperienced in the superannuation field of work and include access to:</w:t>
      </w:r>
    </w:p>
    <w:p w:rsidR="00000000" w:rsidRPr="003A1624" w:rsidP="003A1624">
      <w:pPr>
        <w:pStyle w:val="ListBullet"/>
      </w:pPr>
      <w:r w:rsidRPr="003A1624">
        <w:t>common office equipment, technology, software and consumables</w:t>
      </w:r>
    </w:p>
    <w:p w:rsidR="00000000" w:rsidRPr="003A1624" w:rsidP="003A1624">
      <w:pPr>
        <w:pStyle w:val="ListBullet"/>
      </w:pPr>
      <w:r w:rsidRPr="003A1624">
        <w:t>organisational financial records</w:t>
      </w:r>
    </w:p>
    <w:p w:rsidR="00000000" w:rsidRPr="003A1624" w:rsidP="003A1624">
      <w:pPr>
        <w:pStyle w:val="ListBullet"/>
      </w:pPr>
      <w:r w:rsidRPr="003A1624">
        <w:t>organisational policy and procedures.</w:t>
      </w:r>
    </w:p>
    <w:p w:rsidR="00000000" w:rsidRPr="003A1624" w:rsidP="003A1624">
      <w:pPr>
        <w:pStyle w:val="BodyText"/>
      </w:pPr>
    </w:p>
    <w:p w:rsidR="00000000" w:rsidRPr="003A1624" w:rsidP="003C6775">
      <w:pPr>
        <w:pStyle w:val="BodyText"/>
      </w:pPr>
      <w:r w:rsidRPr="003A1624">
        <w:t>Assessors must satisfy NVR/AQTF assessor requiremen</w:t>
      </w:r>
      <w:r w:rsidRPr="003A1624">
        <w:t>ts.</w:t>
      </w:r>
    </w:p>
    <w:p w:rsidR="00000000" w:rsidRPr="003A1624" w:rsidP="003A1624">
      <w:pPr>
        <w:pStyle w:val="Heading1"/>
      </w:pPr>
      <w:bookmarkStart w:id="5" w:name="O_707420"/>
      <w:bookmarkEnd w:id="5"/>
      <w:r w:rsidRPr="003A1624">
        <w:t>Links</w:t>
      </w:r>
    </w:p>
    <w:p w:rsidR="00000000" w:rsidRPr="003A1624" w:rsidP="003C6775">
      <w:pPr>
        <w:pStyle w:val="BodyText"/>
      </w:pPr>
      <w:r w:rsidRPr="003A16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E477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A1624" w:rsidP="003A1624"/>
    <w:sectPr w:rsidSect="003A16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6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624" w:rsidRPr="003C6775" w:rsidP="003C67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6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775" w:rsidP="003A16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6775" w:rsidP="003A16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C6775" w:rsidP="003A16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6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7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1624" w:rsidRPr="003C6775" w:rsidP="003C67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6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775" w:rsidRPr="002D2AF8" w:rsidP="003A16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FNSSUP506 Supervise and monitor operational guidelines in a superannuation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3C6775" w:rsidP="003A16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C40A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E291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3872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6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16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16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16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16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16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16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16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16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16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16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1624"/>
  </w:style>
  <w:style w:type="character" w:customStyle="1" w:styleId="Heading1Char">
    <w:name w:val="Heading 1 Char"/>
    <w:basedOn w:val="DefaultParagraphFont"/>
    <w:link w:val="Heading1"/>
    <w:rsid w:val="003A16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16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16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16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1624"/>
    <w:rPr>
      <w:b/>
      <w:spacing w:val="0"/>
    </w:rPr>
  </w:style>
  <w:style w:type="paragraph" w:styleId="ListBullet2">
    <w:name w:val="List Bullet 2"/>
    <w:basedOn w:val="List2"/>
    <w:rsid w:val="003A16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16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16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16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16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16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16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16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16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16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16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16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16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16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16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16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16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16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16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16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16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16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16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16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16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16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16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16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16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16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16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16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16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16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16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1624"/>
    <w:rPr>
      <w:i/>
    </w:rPr>
  </w:style>
  <w:style w:type="paragraph" w:styleId="Caption">
    <w:name w:val="caption"/>
    <w:basedOn w:val="BodyText"/>
    <w:next w:val="Normal"/>
    <w:qFormat/>
    <w:rsid w:val="003A16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16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16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1624"/>
  </w:style>
  <w:style w:type="paragraph" w:styleId="TableofFigures">
    <w:name w:val="table of figures"/>
    <w:basedOn w:val="Normal"/>
    <w:next w:val="Normal"/>
    <w:semiHidden/>
    <w:rsid w:val="003A16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16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1624"/>
    <w:rPr>
      <w:rFonts w:ascii="Wingdings" w:hAnsi="Wingdings"/>
    </w:rPr>
  </w:style>
  <w:style w:type="paragraph" w:customStyle="1" w:styleId="TableHeading">
    <w:name w:val="Table Heading"/>
    <w:basedOn w:val="HeadingBase"/>
    <w:rsid w:val="003A16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1624"/>
    <w:rPr>
      <w:color w:val="0033CC"/>
      <w:u w:val="none"/>
    </w:rPr>
  </w:style>
  <w:style w:type="paragraph" w:customStyle="1" w:styleId="BodyTextRight">
    <w:name w:val="Body Text Right"/>
    <w:basedOn w:val="BodyText"/>
    <w:rsid w:val="003A16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16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16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16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16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16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1624"/>
    <w:rPr>
      <w:sz w:val="32"/>
    </w:rPr>
  </w:style>
  <w:style w:type="paragraph" w:customStyle="1" w:styleId="HeadingProcedure">
    <w:name w:val="Heading Procedure"/>
    <w:basedOn w:val="HeadingBase"/>
    <w:next w:val="Normal"/>
    <w:rsid w:val="003A16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1624"/>
    <w:pPr>
      <w:spacing w:before="60" w:after="60"/>
    </w:pPr>
  </w:style>
  <w:style w:type="paragraph" w:styleId="ListContinue">
    <w:name w:val="List Continue"/>
    <w:basedOn w:val="List"/>
    <w:rsid w:val="003A1624"/>
    <w:pPr>
      <w:ind w:firstLine="0"/>
    </w:pPr>
  </w:style>
  <w:style w:type="paragraph" w:customStyle="1" w:styleId="ListNote">
    <w:name w:val="List Note"/>
    <w:basedOn w:val="List"/>
    <w:rsid w:val="003A16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16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16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1624"/>
    <w:rPr>
      <w:rFonts w:ascii="Courier New" w:hAnsi="Courier New"/>
    </w:rPr>
  </w:style>
  <w:style w:type="paragraph" w:customStyle="1" w:styleId="NoteBullet">
    <w:name w:val="Note Bullet"/>
    <w:basedOn w:val="Note"/>
    <w:rsid w:val="003A16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16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16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16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16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16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16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1624"/>
    <w:rPr>
      <w:b/>
      <w:smallCaps/>
    </w:rPr>
  </w:style>
  <w:style w:type="paragraph" w:customStyle="1" w:styleId="TableListNumber">
    <w:name w:val="Table List Number"/>
    <w:basedOn w:val="ListNumber"/>
    <w:rsid w:val="003A16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16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1624"/>
    <w:pPr>
      <w:numPr>
        <w:numId w:val="9"/>
      </w:numPr>
    </w:pPr>
  </w:style>
  <w:style w:type="paragraph" w:customStyle="1" w:styleId="ListAlpha2">
    <w:name w:val="List Alpha 2"/>
    <w:basedOn w:val="List2"/>
    <w:rsid w:val="003A1624"/>
    <w:pPr>
      <w:numPr>
        <w:numId w:val="8"/>
      </w:numPr>
    </w:pPr>
  </w:style>
  <w:style w:type="paragraph" w:styleId="List2">
    <w:name w:val="List 2"/>
    <w:basedOn w:val="BodyText"/>
    <w:rsid w:val="003A16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16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16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16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16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16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1624"/>
    <w:pPr>
      <w:numPr>
        <w:numId w:val="4"/>
      </w:numPr>
    </w:pPr>
  </w:style>
  <w:style w:type="paragraph" w:styleId="ListContinue2">
    <w:name w:val="List Continue 2"/>
    <w:basedOn w:val="List2"/>
    <w:rsid w:val="003A1624"/>
    <w:pPr>
      <w:ind w:firstLine="0"/>
    </w:pPr>
  </w:style>
  <w:style w:type="paragraph" w:styleId="ListContinue3">
    <w:name w:val="List Continue 3"/>
    <w:basedOn w:val="List3"/>
    <w:rsid w:val="003A1624"/>
    <w:pPr>
      <w:ind w:left="1021" w:firstLine="0"/>
    </w:pPr>
  </w:style>
  <w:style w:type="paragraph" w:styleId="ListContinue4">
    <w:name w:val="List Continue 4"/>
    <w:basedOn w:val="List4"/>
    <w:rsid w:val="003A1624"/>
    <w:pPr>
      <w:ind w:firstLine="0"/>
    </w:pPr>
  </w:style>
  <w:style w:type="paragraph" w:styleId="ListContinue5">
    <w:name w:val="List Continue 5"/>
    <w:basedOn w:val="List5"/>
    <w:rsid w:val="003A1624"/>
    <w:pPr>
      <w:ind w:firstLine="0"/>
    </w:pPr>
  </w:style>
  <w:style w:type="paragraph" w:styleId="ListNumber3">
    <w:name w:val="List Number 3"/>
    <w:basedOn w:val="List3"/>
    <w:rsid w:val="003A1624"/>
    <w:pPr>
      <w:numPr>
        <w:numId w:val="5"/>
      </w:numPr>
    </w:pPr>
  </w:style>
  <w:style w:type="paragraph" w:styleId="ListNumber4">
    <w:name w:val="List Number 4"/>
    <w:basedOn w:val="List4"/>
    <w:rsid w:val="003A1624"/>
    <w:pPr>
      <w:numPr>
        <w:numId w:val="6"/>
      </w:numPr>
    </w:pPr>
  </w:style>
  <w:style w:type="paragraph" w:styleId="ListNumber5">
    <w:name w:val="List Number 5"/>
    <w:basedOn w:val="List5"/>
    <w:rsid w:val="003A1624"/>
    <w:pPr>
      <w:numPr>
        <w:numId w:val="7"/>
      </w:numPr>
    </w:pPr>
  </w:style>
  <w:style w:type="paragraph" w:styleId="BlockText">
    <w:name w:val="Block Text"/>
    <w:basedOn w:val="Normal"/>
    <w:rsid w:val="003A16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16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1624"/>
    <w:rPr>
      <w:sz w:val="16"/>
      <w:vertAlign w:val="superscript"/>
    </w:rPr>
  </w:style>
  <w:style w:type="character" w:customStyle="1" w:styleId="Symbols">
    <w:name w:val="Symbols"/>
    <w:basedOn w:val="DefaultParagraphFont"/>
    <w:rsid w:val="003A1624"/>
    <w:rPr>
      <w:rFonts w:ascii="Symbol" w:hAnsi="Symbol"/>
    </w:rPr>
  </w:style>
  <w:style w:type="character" w:customStyle="1" w:styleId="MenuOptions">
    <w:name w:val="Menu Options"/>
    <w:basedOn w:val="DefaultParagraphFont"/>
    <w:rsid w:val="003A16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1624"/>
    <w:rPr>
      <w:b/>
    </w:rPr>
  </w:style>
  <w:style w:type="character" w:customStyle="1" w:styleId="Underlined">
    <w:name w:val="Underlined"/>
    <w:basedOn w:val="DefaultParagraphFont"/>
    <w:rsid w:val="003A1624"/>
    <w:rPr>
      <w:u w:val="single"/>
    </w:rPr>
  </w:style>
  <w:style w:type="paragraph" w:customStyle="1" w:styleId="TableBodyTextRight">
    <w:name w:val="Table Body Text Right"/>
    <w:basedOn w:val="TableBodyText"/>
    <w:rsid w:val="003A16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1624"/>
    <w:rPr>
      <w:sz w:val="18"/>
    </w:rPr>
  </w:style>
  <w:style w:type="paragraph" w:customStyle="1" w:styleId="BodySmallRight">
    <w:name w:val="Body Small Right"/>
    <w:basedOn w:val="BodyTextRight"/>
    <w:rsid w:val="003A1624"/>
    <w:rPr>
      <w:sz w:val="18"/>
      <w:szCs w:val="18"/>
    </w:rPr>
  </w:style>
  <w:style w:type="paragraph" w:customStyle="1" w:styleId="MarginEdition">
    <w:name w:val="Margin Edition"/>
    <w:basedOn w:val="MarginNote"/>
    <w:rsid w:val="003A16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1624"/>
    <w:rPr>
      <w:sz w:val="2"/>
      <w:szCs w:val="2"/>
    </w:rPr>
  </w:style>
  <w:style w:type="character" w:customStyle="1" w:styleId="Small">
    <w:name w:val="Small"/>
    <w:basedOn w:val="DefaultParagraphFont"/>
    <w:rsid w:val="003A1624"/>
    <w:rPr>
      <w:sz w:val="16"/>
    </w:rPr>
  </w:style>
  <w:style w:type="paragraph" w:customStyle="1" w:styleId="WideTable">
    <w:name w:val="Wide Table"/>
    <w:basedOn w:val="Normal"/>
    <w:rsid w:val="003A16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1624"/>
  </w:style>
  <w:style w:type="paragraph" w:styleId="Quote">
    <w:name w:val="Quote"/>
    <w:basedOn w:val="Heading1"/>
    <w:link w:val="QuoteChar"/>
    <w:qFormat/>
    <w:rsid w:val="003A16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16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1624"/>
    <w:pPr>
      <w:pageBreakBefore/>
    </w:pPr>
  </w:style>
  <w:style w:type="paragraph" w:customStyle="1" w:styleId="Border">
    <w:name w:val="Border"/>
    <w:basedOn w:val="Normal"/>
    <w:qFormat/>
    <w:rsid w:val="003A16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16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6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6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16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16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16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16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16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1624"/>
    <w:rPr>
      <w:u w:val="single"/>
    </w:rPr>
  </w:style>
  <w:style w:type="character" w:customStyle="1" w:styleId="BoldandItalics">
    <w:name w:val="Bold and Italics"/>
    <w:qFormat/>
    <w:rsid w:val="003A1624"/>
    <w:rPr>
      <w:b/>
      <w:i/>
      <w:u w:val="none"/>
    </w:rPr>
  </w:style>
  <w:style w:type="paragraph" w:styleId="BalloonText">
    <w:name w:val="Balloon Text"/>
    <w:basedOn w:val="Normal"/>
    <w:link w:val="BalloonTextChar"/>
    <w:rsid w:val="003A16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16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16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16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16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16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1624"/>
    <w:pPr>
      <w:spacing w:before="0" w:after="0"/>
    </w:pPr>
  </w:style>
  <w:style w:type="paragraph" w:customStyle="1" w:styleId="BodyTextBold">
    <w:name w:val="Body Text Bold"/>
    <w:basedOn w:val="BodyText"/>
    <w:qFormat/>
    <w:rsid w:val="003A1624"/>
    <w:rPr>
      <w:b/>
    </w:rPr>
  </w:style>
  <w:style w:type="character" w:styleId="Hyperlink">
    <w:name w:val="Hyperlink"/>
    <w:basedOn w:val="DefaultParagraphFont"/>
    <w:uiPriority w:val="99"/>
    <w:unhideWhenUsed/>
    <w:rsid w:val="003C67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2270</Characters>
  <Application>Microsoft Office Word</Application>
  <DocSecurity>0</DocSecurity>
  <Lines>63</Lines>
  <Paragraphs>44</Paragraphs>
  <ScaleCrop>false</ScaleCrop>
  <Company>Author-it Software Corporation Ltd.</Company>
  <LinksUpToDate>false</LinksUpToDate>
  <CharactersWithSpaces>2539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FNSSUP506 Supervise and monitor operational guidelines in a superannuation organisation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2020-06-30T15:43:00Z</dcterms:created>
  <dcterms:modified xsi:type="dcterms:W3CDTF">2020-06-30T15:43:00Z</dcterms:modified>
</cp:coreProperties>
</file>