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17D" w:rsidP="00777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FNSSUP431 Terminate retirement income streams</w:t>
      </w:r>
      <w:r>
        <w:fldChar w:fldCharType="end"/>
      </w:r>
    </w:p>
    <w:p w:rsidR="0077717D" w:rsidP="0077717D">
      <w:pPr>
        <w:pStyle w:val="Version"/>
        <w:sectPr w:rsidSect="00D66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CC5" w:rsidP="00D66CC5">
      <w:pPr>
        <w:pStyle w:val="SuperHeading"/>
      </w:pPr>
      <w:r w:rsidRPr="00D66CC5">
        <w:t>Assessment Requirements for FNSSUP431 Terminate retirement income streams</w:t>
      </w:r>
    </w:p>
    <w:p w:rsidR="00000000" w:rsidRPr="00D66CC5" w:rsidP="00D66CC5">
      <w:pPr>
        <w:pStyle w:val="Heading1"/>
      </w:pPr>
      <w:bookmarkStart w:id="1" w:name="O_1133957"/>
      <w:bookmarkEnd w:id="1"/>
      <w:r w:rsidRPr="00D66C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6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CC5" w:rsidP="00D66CC5">
            <w:pPr>
              <w:pStyle w:val="BodyText"/>
            </w:pPr>
            <w:r w:rsidRPr="00D66C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CC5">
            <w:pPr>
              <w:pStyle w:val="BodyText"/>
              <w:rPr>
                <w:lang w:val="en-NZ"/>
              </w:rPr>
            </w:pPr>
            <w:r w:rsidRPr="00D66CC5">
              <w:rPr>
                <w:rStyle w:val="SpecialBold"/>
              </w:rPr>
              <w:t>Comments</w:t>
            </w:r>
          </w:p>
        </w:tc>
      </w:tr>
      <w:tr w:rsidTr="00D66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CC5">
            <w:pPr>
              <w:pStyle w:val="BodyText"/>
              <w:rPr>
                <w:lang w:val="en-NZ"/>
              </w:rPr>
            </w:pPr>
            <w:r w:rsidRPr="00D66C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CC5" w:rsidP="00D66CC5">
            <w:pPr>
              <w:pStyle w:val="BodyText"/>
            </w:pPr>
            <w:r w:rsidRPr="00D66CC5">
              <w:t>This version first released with FNS Financial Services Training Package Version 5.0.</w:t>
            </w:r>
          </w:p>
        </w:tc>
      </w:tr>
    </w:tbl>
    <w:p w:rsidR="00000000" w:rsidRPr="00D66CC5" w:rsidP="00D66CC5">
      <w:pPr>
        <w:pStyle w:val="BodyText"/>
      </w:pPr>
    </w:p>
    <w:p w:rsidR="00000000" w:rsidRPr="00D66CC5" w:rsidP="00D66CC5">
      <w:pPr>
        <w:pStyle w:val="AllowPageBreak"/>
      </w:pPr>
    </w:p>
    <w:p w:rsidR="00000000" w:rsidRPr="00D66CC5" w:rsidP="00D66CC5">
      <w:pPr>
        <w:pStyle w:val="Heading1"/>
      </w:pPr>
      <w:bookmarkStart w:id="2" w:name="O_1133960"/>
      <w:bookmarkEnd w:id="2"/>
      <w:r w:rsidRPr="00D66CC5">
        <w:t>Performance Evidence</w:t>
      </w:r>
    </w:p>
    <w:p w:rsidR="00000000" w:rsidRPr="00D66CC5" w:rsidP="0077717D">
      <w:pPr>
        <w:pStyle w:val="BodyText"/>
      </w:pPr>
      <w:r w:rsidRPr="00D66CC5">
        <w:t>The candidate must demonstrate the ability to complete the tasks outlined in the elements, performance criteria and foundation skills of this unit, including evidence of the ability to:</w:t>
      </w:r>
    </w:p>
    <w:p w:rsidR="00000000" w:rsidRPr="00D66CC5" w:rsidP="00D66CC5">
      <w:pPr>
        <w:pStyle w:val="ListBullet"/>
      </w:pPr>
      <w:r w:rsidRPr="00D66CC5">
        <w:t>terminate or commute retirement income streams f</w:t>
      </w:r>
      <w:r w:rsidRPr="00D66CC5">
        <w:t>or at least one client.</w:t>
      </w:r>
    </w:p>
    <w:p w:rsidR="00000000" w:rsidRPr="00D66CC5" w:rsidP="00D66CC5">
      <w:pPr>
        <w:pStyle w:val="List"/>
      </w:pPr>
    </w:p>
    <w:p w:rsidR="00000000" w:rsidRPr="00D66CC5" w:rsidP="0077717D">
      <w:pPr>
        <w:pStyle w:val="BodyText"/>
      </w:pPr>
      <w:r w:rsidRPr="00D66CC5">
        <w:t>In the court of the above, the candidate must:</w:t>
      </w:r>
    </w:p>
    <w:p w:rsidR="00000000" w:rsidRPr="00D66CC5" w:rsidP="00D66CC5">
      <w:pPr>
        <w:pStyle w:val="ListBullet"/>
      </w:pPr>
      <w:r w:rsidRPr="00D66CC5">
        <w:t>use Australian Tax Office (ATO) guidelines to confirm dependency status and age of beneficiaries or estate recipients where a lump sum is payable</w:t>
      </w:r>
    </w:p>
    <w:p w:rsidR="00000000" w:rsidRPr="00D66CC5" w:rsidP="00D66CC5">
      <w:pPr>
        <w:pStyle w:val="ListBullet"/>
      </w:pPr>
      <w:r w:rsidRPr="00D66CC5">
        <w:t>rectify errors and irregulari</w:t>
      </w:r>
      <w:r w:rsidRPr="00D66CC5">
        <w:t>ties and communicate to required personnel</w:t>
      </w:r>
    </w:p>
    <w:p w:rsidR="00000000" w:rsidRPr="00D66CC5" w:rsidP="00D66CC5">
      <w:pPr>
        <w:pStyle w:val="ListBullet"/>
      </w:pPr>
      <w:r w:rsidRPr="00D66CC5">
        <w:t>calculate income stream payout, including full and partial withdrawals or commutations</w:t>
      </w:r>
    </w:p>
    <w:p w:rsidR="00000000" w:rsidRPr="00D66CC5" w:rsidP="00D66CC5">
      <w:pPr>
        <w:pStyle w:val="ListBullet"/>
      </w:pPr>
      <w:r w:rsidRPr="00D66CC5">
        <w:t>implement system and process checks and identify any irregularities.</w:t>
      </w:r>
    </w:p>
    <w:p w:rsidR="00000000" w:rsidRPr="00D66CC5" w:rsidP="00D66CC5">
      <w:pPr>
        <w:pStyle w:val="AllowPageBreak"/>
      </w:pPr>
    </w:p>
    <w:p w:rsidR="00000000" w:rsidRPr="00D66CC5" w:rsidP="00D66CC5">
      <w:pPr>
        <w:pStyle w:val="Heading1"/>
      </w:pPr>
      <w:bookmarkStart w:id="3" w:name="O_1133959"/>
      <w:bookmarkEnd w:id="3"/>
      <w:r w:rsidRPr="00D66CC5">
        <w:t>Knowledge Evidence</w:t>
      </w:r>
    </w:p>
    <w:p w:rsidR="00000000" w:rsidRPr="00D66CC5" w:rsidP="0077717D">
      <w:pPr>
        <w:pStyle w:val="BodyText"/>
      </w:pPr>
      <w:r w:rsidRPr="00D66CC5">
        <w:t xml:space="preserve">The candidate must </w:t>
      </w:r>
      <w:r w:rsidRPr="00D66CC5">
        <w:t>be able to demonstrate knowledge to complete the tasks outlined in the elements, performance criteria and foundation skills of this unit, including knowledge of:</w:t>
      </w:r>
    </w:p>
    <w:p w:rsidR="00000000" w:rsidRPr="00D66CC5" w:rsidP="00D66CC5">
      <w:pPr>
        <w:pStyle w:val="ListBullet"/>
      </w:pPr>
      <w:r w:rsidRPr="00D66CC5">
        <w:t>legislative requirements, regulations and contractual terms governing termination of retireme</w:t>
      </w:r>
      <w:r w:rsidRPr="00D66CC5">
        <w:t>nt income streams in the event of death</w:t>
      </w:r>
    </w:p>
    <w:p w:rsidR="00000000" w:rsidRPr="00D66CC5" w:rsidP="00D66CC5">
      <w:pPr>
        <w:pStyle w:val="ListBullet"/>
      </w:pPr>
      <w:r w:rsidRPr="00D66CC5">
        <w:t>organisational policies and procedures relating to termination of retirement income stream products, including steps in:</w:t>
      </w:r>
    </w:p>
    <w:p w:rsidR="00000000" w:rsidRPr="00D66CC5" w:rsidP="00D66CC5">
      <w:pPr>
        <w:pStyle w:val="ListBullet2"/>
      </w:pPr>
      <w:r w:rsidRPr="00D66CC5">
        <w:t>terminating or ceasing income streams and annuities</w:t>
      </w:r>
    </w:p>
    <w:p w:rsidR="00000000" w:rsidRPr="00D66CC5" w:rsidP="00D66CC5">
      <w:pPr>
        <w:pStyle w:val="ListBullet2"/>
      </w:pPr>
      <w:r w:rsidRPr="00D66CC5">
        <w:t>partial withdrawal and partial commutation</w:t>
      </w:r>
      <w:r w:rsidRPr="00D66CC5">
        <w:t xml:space="preserve"> of pensions</w:t>
      </w:r>
    </w:p>
    <w:p w:rsidR="00000000" w:rsidRPr="00D66CC5" w:rsidP="00D66CC5">
      <w:pPr>
        <w:pStyle w:val="ListBullet2"/>
      </w:pPr>
      <w:r w:rsidRPr="00D66CC5">
        <w:t>communicating with client, beneficiaries and client’s legal representative</w:t>
      </w:r>
    </w:p>
    <w:p w:rsidR="00000000" w:rsidRPr="00D66CC5" w:rsidP="00D66CC5">
      <w:pPr>
        <w:pStyle w:val="ListBullet2"/>
      </w:pPr>
      <w:r w:rsidRPr="00D66CC5">
        <w:t>organisational quality assurance</w:t>
      </w:r>
    </w:p>
    <w:p w:rsidR="00000000" w:rsidRPr="00D66CC5" w:rsidP="00D66CC5">
      <w:pPr>
        <w:pStyle w:val="ListBullet"/>
      </w:pPr>
      <w:r w:rsidRPr="00D66CC5">
        <w:t xml:space="preserve">definitions of dependant, including definitions according to superannuation and taxation laws, </w:t>
      </w:r>
      <w:r w:rsidRPr="00D66CC5">
        <w:t>including those of Superannuation Industry (Supervision) [SIS] Act and ATO</w:t>
      </w:r>
    </w:p>
    <w:p w:rsidR="00000000" w:rsidRPr="00D66CC5" w:rsidP="00D66CC5">
      <w:pPr>
        <w:pStyle w:val="ListBullet"/>
      </w:pPr>
      <w:r w:rsidRPr="00D66CC5">
        <w:t>ethical and legal considerations in handling confidential and private client information</w:t>
      </w:r>
    </w:p>
    <w:p w:rsidR="00000000" w:rsidRPr="00D66CC5" w:rsidP="00D66CC5">
      <w:pPr>
        <w:pStyle w:val="ListBullet"/>
      </w:pPr>
      <w:r w:rsidRPr="00D66CC5">
        <w:t>process and issues relevant to the nomination of beneficiaries</w:t>
      </w:r>
    </w:p>
    <w:p w:rsidR="00000000" w:rsidRPr="00D66CC5" w:rsidP="00D66CC5">
      <w:pPr>
        <w:pStyle w:val="ListBullet"/>
      </w:pPr>
      <w:r w:rsidRPr="00D66CC5">
        <w:t>personnel entitled to make en</w:t>
      </w:r>
      <w:r w:rsidRPr="00D66CC5">
        <w:t>quiries about a client’s superannuation and dealing with related enquiries</w:t>
      </w:r>
    </w:p>
    <w:p w:rsidR="00000000" w:rsidRPr="00D66CC5" w:rsidP="00D66CC5">
      <w:pPr>
        <w:pStyle w:val="ListBullet"/>
      </w:pPr>
      <w:r w:rsidRPr="00D66CC5">
        <w:t>procedures for processing and calculating death benefits</w:t>
      </w:r>
    </w:p>
    <w:p w:rsidR="00000000" w:rsidRPr="00D66CC5" w:rsidP="00D66CC5">
      <w:pPr>
        <w:pStyle w:val="ListBullet"/>
      </w:pPr>
      <w:r w:rsidRPr="00D66CC5">
        <w:t>timing rules and procedures for calculating commutations of non-account based income</w:t>
      </w:r>
    </w:p>
    <w:p w:rsidR="00000000" w:rsidRPr="00D66CC5" w:rsidP="00D66CC5">
      <w:pPr>
        <w:pStyle w:val="ListBullet"/>
      </w:pPr>
      <w:r w:rsidRPr="00D66CC5">
        <w:t>claim staking process for death benefit</w:t>
      </w:r>
      <w:r w:rsidRPr="00D66CC5">
        <w:t>s</w:t>
      </w:r>
    </w:p>
    <w:p w:rsidR="00000000" w:rsidRPr="00D66CC5" w:rsidP="00D66CC5">
      <w:pPr>
        <w:pStyle w:val="ListBullet"/>
      </w:pPr>
      <w:r w:rsidRPr="00D66CC5">
        <w:t>anti-detriment tax adjustments for lump sum benefits paid to dependants</w:t>
      </w:r>
    </w:p>
    <w:p w:rsidR="00000000" w:rsidRPr="00D66CC5" w:rsidP="00D66CC5">
      <w:pPr>
        <w:pStyle w:val="ListBullet"/>
      </w:pPr>
      <w:r w:rsidRPr="00D66CC5">
        <w:t>overview of taxation implications on retirement income stream or annuity products</w:t>
      </w:r>
    </w:p>
    <w:p w:rsidR="00000000" w:rsidRPr="00D66CC5" w:rsidP="00D66CC5">
      <w:pPr>
        <w:pStyle w:val="ListBullet"/>
      </w:pPr>
      <w:r w:rsidRPr="00D66CC5">
        <w:t>access and preservation rules</w:t>
      </w:r>
    </w:p>
    <w:p w:rsidR="00000000" w:rsidRPr="00D66CC5" w:rsidP="00D66CC5">
      <w:pPr>
        <w:pStyle w:val="ListBullet"/>
      </w:pPr>
      <w:r w:rsidRPr="00D66CC5">
        <w:t>rules, processes and circumstances relevant to:</w:t>
      </w:r>
    </w:p>
    <w:p w:rsidR="00000000" w:rsidRPr="00D66CC5" w:rsidP="00D66CC5">
      <w:pPr>
        <w:pStyle w:val="ListBullet2"/>
      </w:pPr>
      <w:r w:rsidRPr="00D66CC5">
        <w:t>rolling back a pensio</w:t>
      </w:r>
      <w:r w:rsidRPr="00D66CC5">
        <w:t>n</w:t>
      </w:r>
    </w:p>
    <w:p w:rsidR="00000000" w:rsidRPr="00D66CC5" w:rsidP="00D66CC5">
      <w:pPr>
        <w:pStyle w:val="ListBullet2"/>
      </w:pPr>
      <w:r w:rsidRPr="00D66CC5">
        <w:t>rolling over and refreshing a pension</w:t>
      </w:r>
    </w:p>
    <w:p w:rsidR="00000000" w:rsidRPr="00D66CC5" w:rsidP="00D66CC5">
      <w:pPr>
        <w:pStyle w:val="ListBullet2"/>
      </w:pPr>
      <w:r w:rsidRPr="00D66CC5">
        <w:t>reversionary pensions.</w:t>
      </w:r>
    </w:p>
    <w:p w:rsidR="00000000" w:rsidRPr="00D66CC5" w:rsidP="00D66CC5">
      <w:pPr>
        <w:pStyle w:val="AllowPageBreak"/>
      </w:pPr>
    </w:p>
    <w:p w:rsidR="00000000" w:rsidRPr="00D66CC5" w:rsidP="00D66CC5">
      <w:pPr>
        <w:pStyle w:val="Heading1"/>
      </w:pPr>
      <w:bookmarkStart w:id="4" w:name="O_1133958"/>
      <w:bookmarkEnd w:id="4"/>
      <w:r w:rsidRPr="00D66CC5">
        <w:t>Assessment Conditions</w:t>
      </w:r>
    </w:p>
    <w:p w:rsidR="00000000" w:rsidRPr="00D66CC5" w:rsidP="0077717D">
      <w:pPr>
        <w:pStyle w:val="BodyText"/>
      </w:pPr>
      <w:r w:rsidRPr="00D66CC5">
        <w:t xml:space="preserve">Skills in this unit must be demonstrated in a workplace or simulated environment where the conditions are typical of those in a working environment in </w:t>
      </w:r>
      <w:r w:rsidRPr="00D66CC5">
        <w:t>this industry.</w:t>
      </w:r>
    </w:p>
    <w:p w:rsidR="00000000" w:rsidRPr="00D66CC5" w:rsidP="0077717D">
      <w:pPr>
        <w:pStyle w:val="BodyText"/>
      </w:pPr>
      <w:r w:rsidRPr="00D66CC5">
        <w:t>This includes access to:</w:t>
      </w:r>
    </w:p>
    <w:p w:rsidR="00000000" w:rsidRPr="00D66CC5" w:rsidP="00D66CC5">
      <w:pPr>
        <w:pStyle w:val="ListBullet"/>
      </w:pPr>
      <w:r w:rsidRPr="00D66CC5">
        <w:t>organisational equipment, technology, software and consumables</w:t>
      </w:r>
    </w:p>
    <w:p w:rsidR="00000000" w:rsidRPr="00D66CC5" w:rsidP="00D66CC5">
      <w:pPr>
        <w:pStyle w:val="ListBullet"/>
      </w:pPr>
      <w:r w:rsidRPr="00D66CC5">
        <w:t>organisational policies and procedures, including requirements relevant to terminating retirement income streams.</w:t>
      </w:r>
    </w:p>
    <w:p w:rsidR="00000000" w:rsidRPr="00D66CC5" w:rsidP="00D66CC5">
      <w:pPr>
        <w:pStyle w:val="List"/>
      </w:pPr>
    </w:p>
    <w:p w:rsidR="00000000" w:rsidRPr="00D66CC5" w:rsidP="0077717D">
      <w:pPr>
        <w:pStyle w:val="BodyText"/>
      </w:pPr>
      <w:r w:rsidRPr="00D66CC5">
        <w:t>Assessors of this unit must satisfy t</w:t>
      </w:r>
      <w:r w:rsidRPr="00D66CC5">
        <w:t>he requirements for assessors in applicable vocational education and training legislation, frameworks and/or standards.</w:t>
      </w:r>
    </w:p>
    <w:p w:rsidR="00000000" w:rsidRPr="00D66CC5" w:rsidP="00D66CC5">
      <w:pPr>
        <w:pStyle w:val="Heading1"/>
      </w:pPr>
      <w:bookmarkStart w:id="5" w:name="O_1133956"/>
      <w:bookmarkEnd w:id="5"/>
      <w:r w:rsidRPr="00D66CC5">
        <w:t>Links</w:t>
      </w:r>
    </w:p>
    <w:p w:rsidR="00000000" w:rsidRPr="00D66CC5" w:rsidP="0077717D">
      <w:pPr>
        <w:pStyle w:val="BodyText"/>
      </w:pPr>
      <w:r w:rsidRPr="00D66C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04B8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66CC5" w:rsidP="00D66CC5"/>
    <w:sectPr w:rsidSect="00D66C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CC5" w:rsidRPr="0077717D" w:rsidP="00777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17D" w:rsidP="00D66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17D" w:rsidP="00D66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717D" w:rsidP="00D66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CC5" w:rsidRPr="0077717D" w:rsidP="00777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17D" w:rsidRPr="002D2AF8" w:rsidP="00D66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FNSSUP431 Terminate retirement income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7717D" w:rsidP="00D66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5A2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FC6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A0B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CC5"/>
  </w:style>
  <w:style w:type="character" w:customStyle="1" w:styleId="Heading1Char">
    <w:name w:val="Heading 1 Char"/>
    <w:basedOn w:val="DefaultParagraphFont"/>
    <w:link w:val="Heading1"/>
    <w:rsid w:val="00D66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C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6C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6C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CC5"/>
    <w:rPr>
      <w:b/>
      <w:spacing w:val="0"/>
    </w:rPr>
  </w:style>
  <w:style w:type="paragraph" w:styleId="ListBullet2">
    <w:name w:val="List Bullet 2"/>
    <w:basedOn w:val="List2"/>
    <w:rsid w:val="00D66C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6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C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6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6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CC5"/>
    <w:rPr>
      <w:i/>
    </w:rPr>
  </w:style>
  <w:style w:type="paragraph" w:styleId="Caption">
    <w:name w:val="caption"/>
    <w:basedOn w:val="BodyText"/>
    <w:next w:val="Normal"/>
    <w:qFormat/>
    <w:rsid w:val="00D66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CC5"/>
  </w:style>
  <w:style w:type="paragraph" w:styleId="TableofFigures">
    <w:name w:val="table of figures"/>
    <w:basedOn w:val="Normal"/>
    <w:next w:val="Normal"/>
    <w:semiHidden/>
    <w:rsid w:val="00D66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C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6CC5"/>
    <w:rPr>
      <w:rFonts w:ascii="Wingdings" w:hAnsi="Wingdings"/>
    </w:rPr>
  </w:style>
  <w:style w:type="paragraph" w:customStyle="1" w:styleId="TableHeading">
    <w:name w:val="Table Heading"/>
    <w:basedOn w:val="HeadingBase"/>
    <w:rsid w:val="00D66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CC5"/>
    <w:rPr>
      <w:color w:val="0033CC"/>
      <w:u w:val="none"/>
    </w:rPr>
  </w:style>
  <w:style w:type="paragraph" w:customStyle="1" w:styleId="BodyTextRight">
    <w:name w:val="Body Text Right"/>
    <w:basedOn w:val="BodyText"/>
    <w:rsid w:val="00D66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C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CC5"/>
    <w:rPr>
      <w:sz w:val="32"/>
    </w:rPr>
  </w:style>
  <w:style w:type="paragraph" w:customStyle="1" w:styleId="HeadingProcedure">
    <w:name w:val="Heading Procedure"/>
    <w:basedOn w:val="HeadingBase"/>
    <w:next w:val="Normal"/>
    <w:rsid w:val="00D66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CC5"/>
    <w:pPr>
      <w:spacing w:before="60" w:after="60"/>
    </w:pPr>
  </w:style>
  <w:style w:type="paragraph" w:styleId="ListContinue">
    <w:name w:val="List Continue"/>
    <w:basedOn w:val="List"/>
    <w:rsid w:val="00D66CC5"/>
    <w:pPr>
      <w:ind w:firstLine="0"/>
    </w:pPr>
  </w:style>
  <w:style w:type="paragraph" w:customStyle="1" w:styleId="ListNote">
    <w:name w:val="List Note"/>
    <w:basedOn w:val="List"/>
    <w:rsid w:val="00D66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CC5"/>
    <w:rPr>
      <w:rFonts w:ascii="Courier New" w:hAnsi="Courier New"/>
    </w:rPr>
  </w:style>
  <w:style w:type="paragraph" w:customStyle="1" w:styleId="NoteBullet">
    <w:name w:val="Note Bullet"/>
    <w:basedOn w:val="Note"/>
    <w:rsid w:val="00D66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C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6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CC5"/>
    <w:rPr>
      <w:b/>
      <w:smallCaps/>
    </w:rPr>
  </w:style>
  <w:style w:type="paragraph" w:customStyle="1" w:styleId="TableListNumber">
    <w:name w:val="Table List Number"/>
    <w:basedOn w:val="ListNumber"/>
    <w:rsid w:val="00D66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CC5"/>
    <w:pPr>
      <w:numPr>
        <w:numId w:val="9"/>
      </w:numPr>
    </w:pPr>
  </w:style>
  <w:style w:type="paragraph" w:customStyle="1" w:styleId="ListAlpha2">
    <w:name w:val="List Alpha 2"/>
    <w:basedOn w:val="List2"/>
    <w:rsid w:val="00D66CC5"/>
    <w:pPr>
      <w:numPr>
        <w:numId w:val="8"/>
      </w:numPr>
    </w:pPr>
  </w:style>
  <w:style w:type="paragraph" w:styleId="List2">
    <w:name w:val="List 2"/>
    <w:basedOn w:val="BodyText"/>
    <w:rsid w:val="00D66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C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C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6CC5"/>
    <w:pPr>
      <w:numPr>
        <w:numId w:val="4"/>
      </w:numPr>
    </w:pPr>
  </w:style>
  <w:style w:type="paragraph" w:styleId="ListContinue2">
    <w:name w:val="List Continue 2"/>
    <w:basedOn w:val="List2"/>
    <w:rsid w:val="00D66CC5"/>
    <w:pPr>
      <w:ind w:firstLine="0"/>
    </w:pPr>
  </w:style>
  <w:style w:type="paragraph" w:styleId="ListContinue3">
    <w:name w:val="List Continue 3"/>
    <w:basedOn w:val="List3"/>
    <w:rsid w:val="00D66CC5"/>
    <w:pPr>
      <w:ind w:left="1021" w:firstLine="0"/>
    </w:pPr>
  </w:style>
  <w:style w:type="paragraph" w:styleId="ListContinue4">
    <w:name w:val="List Continue 4"/>
    <w:basedOn w:val="List4"/>
    <w:rsid w:val="00D66CC5"/>
    <w:pPr>
      <w:ind w:firstLine="0"/>
    </w:pPr>
  </w:style>
  <w:style w:type="paragraph" w:styleId="ListContinue5">
    <w:name w:val="List Continue 5"/>
    <w:basedOn w:val="List5"/>
    <w:rsid w:val="00D66CC5"/>
    <w:pPr>
      <w:ind w:firstLine="0"/>
    </w:pPr>
  </w:style>
  <w:style w:type="paragraph" w:styleId="ListNumber3">
    <w:name w:val="List Number 3"/>
    <w:basedOn w:val="List3"/>
    <w:rsid w:val="00D66CC5"/>
    <w:pPr>
      <w:numPr>
        <w:numId w:val="5"/>
      </w:numPr>
    </w:pPr>
  </w:style>
  <w:style w:type="paragraph" w:styleId="ListNumber4">
    <w:name w:val="List Number 4"/>
    <w:basedOn w:val="List4"/>
    <w:rsid w:val="00D66CC5"/>
    <w:pPr>
      <w:numPr>
        <w:numId w:val="6"/>
      </w:numPr>
    </w:pPr>
  </w:style>
  <w:style w:type="paragraph" w:styleId="ListNumber5">
    <w:name w:val="List Number 5"/>
    <w:basedOn w:val="List5"/>
    <w:rsid w:val="00D66CC5"/>
    <w:pPr>
      <w:numPr>
        <w:numId w:val="7"/>
      </w:numPr>
    </w:pPr>
  </w:style>
  <w:style w:type="paragraph" w:styleId="BlockText">
    <w:name w:val="Block Text"/>
    <w:basedOn w:val="Normal"/>
    <w:rsid w:val="00D66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CC5"/>
    <w:rPr>
      <w:sz w:val="16"/>
      <w:vertAlign w:val="superscript"/>
    </w:rPr>
  </w:style>
  <w:style w:type="character" w:customStyle="1" w:styleId="Symbols">
    <w:name w:val="Symbols"/>
    <w:basedOn w:val="DefaultParagraphFont"/>
    <w:rsid w:val="00D66CC5"/>
    <w:rPr>
      <w:rFonts w:ascii="Symbol" w:hAnsi="Symbol"/>
    </w:rPr>
  </w:style>
  <w:style w:type="character" w:customStyle="1" w:styleId="MenuOptions">
    <w:name w:val="Menu Options"/>
    <w:basedOn w:val="DefaultParagraphFont"/>
    <w:rsid w:val="00D66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CC5"/>
    <w:rPr>
      <w:b/>
    </w:rPr>
  </w:style>
  <w:style w:type="character" w:customStyle="1" w:styleId="Underlined">
    <w:name w:val="Underlined"/>
    <w:basedOn w:val="DefaultParagraphFont"/>
    <w:rsid w:val="00D66CC5"/>
    <w:rPr>
      <w:u w:val="single"/>
    </w:rPr>
  </w:style>
  <w:style w:type="paragraph" w:customStyle="1" w:styleId="TableBodyTextRight">
    <w:name w:val="Table Body Text Right"/>
    <w:basedOn w:val="TableBodyText"/>
    <w:rsid w:val="00D66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CC5"/>
    <w:rPr>
      <w:sz w:val="18"/>
    </w:rPr>
  </w:style>
  <w:style w:type="paragraph" w:customStyle="1" w:styleId="BodySmallRight">
    <w:name w:val="Body Small Right"/>
    <w:basedOn w:val="BodyTextRight"/>
    <w:rsid w:val="00D66CC5"/>
    <w:rPr>
      <w:sz w:val="18"/>
      <w:szCs w:val="18"/>
    </w:rPr>
  </w:style>
  <w:style w:type="paragraph" w:customStyle="1" w:styleId="MarginEdition">
    <w:name w:val="Margin Edition"/>
    <w:basedOn w:val="MarginNote"/>
    <w:rsid w:val="00D66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CC5"/>
    <w:rPr>
      <w:sz w:val="2"/>
      <w:szCs w:val="2"/>
    </w:rPr>
  </w:style>
  <w:style w:type="character" w:customStyle="1" w:styleId="Small">
    <w:name w:val="Small"/>
    <w:basedOn w:val="DefaultParagraphFont"/>
    <w:rsid w:val="00D66CC5"/>
    <w:rPr>
      <w:sz w:val="16"/>
    </w:rPr>
  </w:style>
  <w:style w:type="paragraph" w:customStyle="1" w:styleId="WideTable">
    <w:name w:val="Wide Table"/>
    <w:basedOn w:val="Normal"/>
    <w:rsid w:val="00D66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CC5"/>
  </w:style>
  <w:style w:type="paragraph" w:styleId="Quote">
    <w:name w:val="Quote"/>
    <w:basedOn w:val="Heading1"/>
    <w:link w:val="QuoteChar"/>
    <w:qFormat/>
    <w:rsid w:val="00D66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CC5"/>
    <w:pPr>
      <w:pageBreakBefore/>
    </w:pPr>
  </w:style>
  <w:style w:type="paragraph" w:customStyle="1" w:styleId="Border">
    <w:name w:val="Border"/>
    <w:basedOn w:val="Normal"/>
    <w:qFormat/>
    <w:rsid w:val="00D66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CC5"/>
    <w:rPr>
      <w:u w:val="single"/>
    </w:rPr>
  </w:style>
  <w:style w:type="character" w:customStyle="1" w:styleId="BoldandItalics">
    <w:name w:val="Bold and Italics"/>
    <w:qFormat/>
    <w:rsid w:val="00D66CC5"/>
    <w:rPr>
      <w:b/>
      <w:i/>
      <w:u w:val="none"/>
    </w:rPr>
  </w:style>
  <w:style w:type="paragraph" w:styleId="BalloonText">
    <w:name w:val="Balloon Text"/>
    <w:basedOn w:val="Normal"/>
    <w:link w:val="BalloonTextChar"/>
    <w:rsid w:val="00D66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CC5"/>
    <w:pPr>
      <w:spacing w:before="0" w:after="0"/>
    </w:pPr>
  </w:style>
  <w:style w:type="paragraph" w:customStyle="1" w:styleId="BodyTextBold">
    <w:name w:val="Body Text Bold"/>
    <w:basedOn w:val="BodyText"/>
    <w:qFormat/>
    <w:rsid w:val="00D66CC5"/>
    <w:rPr>
      <w:b/>
    </w:rPr>
  </w:style>
  <w:style w:type="character" w:styleId="Hyperlink">
    <w:name w:val="Hyperlink"/>
    <w:basedOn w:val="DefaultParagraphFont"/>
    <w:uiPriority w:val="99"/>
    <w:unhideWhenUsed/>
    <w:rsid w:val="00777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3016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FNSSUP431 Terminate retirement income streams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