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7A68" w:rsidP="00DE7A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FNSSUP422 Assist organisation to meet regulatory superannuation compliance requirements</w:t>
      </w:r>
      <w:r>
        <w:fldChar w:fldCharType="end"/>
      </w:r>
    </w:p>
    <w:p w:rsidR="00DE7A68" w:rsidP="00DE7A68">
      <w:pPr>
        <w:pStyle w:val="Version"/>
        <w:sectPr w:rsidSect="00C03B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3B7C" w:rsidP="00C03B7C">
      <w:pPr>
        <w:pStyle w:val="SuperHeading"/>
      </w:pPr>
      <w:r w:rsidRPr="00C03B7C">
        <w:t>Assessment Requirements for FNSSUP422 Assist organisation to meet regulatory superannuation compliance requirements</w:t>
      </w:r>
    </w:p>
    <w:p w:rsidR="00000000" w:rsidRPr="00C03B7C" w:rsidP="00C03B7C">
      <w:pPr>
        <w:pStyle w:val="Heading1"/>
      </w:pPr>
      <w:bookmarkStart w:id="1" w:name="O_1133909"/>
      <w:bookmarkEnd w:id="1"/>
      <w:r w:rsidRPr="00C03B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03B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B7C" w:rsidP="00C03B7C">
            <w:pPr>
              <w:pStyle w:val="BodyText"/>
            </w:pPr>
            <w:r w:rsidRPr="00C03B7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B7C">
            <w:pPr>
              <w:pStyle w:val="BodyText"/>
              <w:rPr>
                <w:lang w:val="en-NZ"/>
              </w:rPr>
            </w:pPr>
            <w:r w:rsidRPr="00C03B7C">
              <w:rPr>
                <w:rStyle w:val="SpecialBold"/>
              </w:rPr>
              <w:t>Comments</w:t>
            </w:r>
          </w:p>
        </w:tc>
      </w:tr>
      <w:tr w:rsidTr="00C03B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B7C">
            <w:pPr>
              <w:pStyle w:val="BodyText"/>
              <w:rPr>
                <w:lang w:val="en-NZ"/>
              </w:rPr>
            </w:pPr>
            <w:r w:rsidRPr="00C03B7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B7C" w:rsidP="00C03B7C">
            <w:pPr>
              <w:pStyle w:val="BodyText"/>
            </w:pPr>
            <w:r w:rsidRPr="00C03B7C">
              <w:t>This version first released with FNS Financial Services Training Package Version 5.0.</w:t>
            </w:r>
          </w:p>
        </w:tc>
      </w:tr>
    </w:tbl>
    <w:p w:rsidR="00000000" w:rsidRPr="00C03B7C" w:rsidP="00C03B7C">
      <w:pPr>
        <w:pStyle w:val="BodyText"/>
      </w:pPr>
    </w:p>
    <w:p w:rsidR="00000000" w:rsidRPr="00C03B7C" w:rsidP="00C03B7C">
      <w:pPr>
        <w:pStyle w:val="AllowPageBreak"/>
      </w:pPr>
    </w:p>
    <w:p w:rsidR="00000000" w:rsidRPr="00C03B7C" w:rsidP="00C03B7C">
      <w:pPr>
        <w:pStyle w:val="Heading1"/>
      </w:pPr>
      <w:bookmarkStart w:id="2" w:name="O_1133912"/>
      <w:bookmarkEnd w:id="2"/>
      <w:r w:rsidRPr="00C03B7C">
        <w:t>Performance Evidence</w:t>
      </w:r>
    </w:p>
    <w:p w:rsidR="00000000" w:rsidRPr="00C03B7C" w:rsidP="00DE7A68">
      <w:pPr>
        <w:pStyle w:val="BodyText"/>
      </w:pPr>
      <w:r w:rsidRPr="00C03B7C">
        <w:t>The candidate must demonstrate the ability to complete the tasks outlined in the elements, performance criteria and foundation s</w:t>
      </w:r>
      <w:r w:rsidRPr="00C03B7C">
        <w:t>kills of this unit, including evidence of the ability to:</w:t>
      </w:r>
    </w:p>
    <w:p w:rsidR="00000000" w:rsidRPr="00C03B7C" w:rsidP="00C03B7C">
      <w:pPr>
        <w:pStyle w:val="ListBullet"/>
      </w:pPr>
      <w:r w:rsidRPr="00C03B7C">
        <w:t>provide support to ensure superannuation compliance requirements are met for an organisation on at least three different occasions.</w:t>
      </w:r>
    </w:p>
    <w:p w:rsidR="00000000" w:rsidRPr="00C03B7C" w:rsidP="00C03B7C">
      <w:pPr>
        <w:pStyle w:val="List"/>
      </w:pPr>
    </w:p>
    <w:p w:rsidR="00000000" w:rsidRPr="00C03B7C" w:rsidP="00DE7A68">
      <w:pPr>
        <w:pStyle w:val="BodyText"/>
      </w:pPr>
      <w:r w:rsidRPr="00C03B7C">
        <w:t>In the course of the above, the candidate must:</w:t>
      </w:r>
    </w:p>
    <w:p w:rsidR="00000000" w:rsidRPr="00C03B7C" w:rsidP="00C03B7C">
      <w:pPr>
        <w:pStyle w:val="ListBullet"/>
      </w:pPr>
      <w:r w:rsidRPr="00C03B7C">
        <w:t>prepare member communications according to compliance requirements, and information for statutory returns</w:t>
      </w:r>
    </w:p>
    <w:p w:rsidR="00000000" w:rsidRPr="00C03B7C" w:rsidP="00C03B7C">
      <w:pPr>
        <w:pStyle w:val="ListBullet"/>
      </w:pPr>
      <w:r w:rsidRPr="00C03B7C">
        <w:t>implement quality assurance practices, including integrating new compliance requirements and processing checks.</w:t>
      </w:r>
    </w:p>
    <w:p w:rsidR="00000000" w:rsidRPr="00C03B7C" w:rsidP="00C03B7C">
      <w:pPr>
        <w:pStyle w:val="AllowPageBreak"/>
      </w:pPr>
    </w:p>
    <w:p w:rsidR="00000000" w:rsidRPr="00C03B7C" w:rsidP="00C03B7C">
      <w:pPr>
        <w:pStyle w:val="Heading1"/>
      </w:pPr>
      <w:bookmarkStart w:id="3" w:name="O_1133911"/>
      <w:bookmarkEnd w:id="3"/>
      <w:r w:rsidRPr="00C03B7C">
        <w:t>Knowledge Evidence</w:t>
      </w:r>
    </w:p>
    <w:p w:rsidR="00000000" w:rsidRPr="00C03B7C" w:rsidP="00DE7A68">
      <w:pPr>
        <w:pStyle w:val="BodyText"/>
      </w:pPr>
      <w:r w:rsidRPr="00C03B7C">
        <w:t>The candidate must be able to demonstrate knowledge to complete the tasks outlined in the elements, performance criteria and foundation skills of this unit, including knowledge of:</w:t>
      </w:r>
    </w:p>
    <w:p w:rsidR="00000000" w:rsidRPr="00C03B7C" w:rsidP="00C03B7C">
      <w:pPr>
        <w:pStyle w:val="ListBullet"/>
      </w:pPr>
      <w:r w:rsidRPr="00C03B7C">
        <w:t>legislative and regulatory compliance requirements relating to:</w:t>
      </w:r>
    </w:p>
    <w:p w:rsidR="00000000" w:rsidRPr="00C03B7C" w:rsidP="00C03B7C">
      <w:pPr>
        <w:pStyle w:val="ListBullet2"/>
      </w:pPr>
      <w:r w:rsidRPr="00C03B7C">
        <w:t>superannu</w:t>
      </w:r>
      <w:r w:rsidRPr="00C03B7C">
        <w:t>ation industry</w:t>
      </w:r>
    </w:p>
    <w:p w:rsidR="00000000" w:rsidRPr="00C03B7C" w:rsidP="00C03B7C">
      <w:pPr>
        <w:pStyle w:val="ListBullet2"/>
      </w:pPr>
      <w:r w:rsidRPr="00C03B7C">
        <w:t>taxation</w:t>
      </w:r>
    </w:p>
    <w:p w:rsidR="00000000" w:rsidRPr="00C03B7C" w:rsidP="00C03B7C">
      <w:pPr>
        <w:pStyle w:val="ListBullet2"/>
      </w:pPr>
      <w:r w:rsidRPr="00C03B7C">
        <w:t>privacy</w:t>
      </w:r>
    </w:p>
    <w:p w:rsidR="00000000" w:rsidRPr="00C03B7C" w:rsidP="00C03B7C">
      <w:pPr>
        <w:pStyle w:val="ListBullet2"/>
      </w:pPr>
      <w:r w:rsidRPr="00C03B7C">
        <w:t>Australian Prudential Regulation Authority (APRA) Prudential Standards</w:t>
      </w:r>
    </w:p>
    <w:p w:rsidR="00000000" w:rsidRPr="00C03B7C" w:rsidP="00C03B7C">
      <w:pPr>
        <w:pStyle w:val="ListBullet2"/>
      </w:pPr>
      <w:r w:rsidRPr="00C03B7C">
        <w:t>corporations</w:t>
      </w:r>
    </w:p>
    <w:p w:rsidR="00000000" w:rsidRPr="00C03B7C" w:rsidP="00C03B7C">
      <w:pPr>
        <w:pStyle w:val="ListBullet"/>
      </w:pPr>
      <w:r w:rsidRPr="00C03B7C">
        <w:t>compliance and reporting requirements, including timeframe requirements for compliance reports and the lodgement of statutory reports for:</w:t>
      </w:r>
    </w:p>
    <w:p w:rsidR="00000000" w:rsidRPr="00C03B7C" w:rsidP="00C03B7C">
      <w:pPr>
        <w:pStyle w:val="ListBullet2"/>
      </w:pPr>
      <w:r w:rsidRPr="00C03B7C">
        <w:t>APRA</w:t>
      </w:r>
    </w:p>
    <w:p w:rsidR="00000000" w:rsidRPr="00C03B7C" w:rsidP="00C03B7C">
      <w:pPr>
        <w:pStyle w:val="ListBullet2"/>
      </w:pPr>
      <w:r w:rsidRPr="00C03B7C">
        <w:t>Australian Securities and Investments Commission (ASIC)</w:t>
      </w:r>
    </w:p>
    <w:p w:rsidR="00000000" w:rsidRPr="00C03B7C" w:rsidP="00C03B7C">
      <w:pPr>
        <w:pStyle w:val="ListBullet2"/>
      </w:pPr>
      <w:r w:rsidRPr="00C03B7C">
        <w:t>Australian Taxation Office (ATO)</w:t>
      </w:r>
    </w:p>
    <w:p w:rsidR="00000000" w:rsidRPr="00C03B7C" w:rsidP="00C03B7C">
      <w:pPr>
        <w:pStyle w:val="ListBullet2"/>
      </w:pPr>
      <w:r w:rsidRPr="00C03B7C">
        <w:t>Australian Transaction Reports and Analysis Centre (AUSTRAC)</w:t>
      </w:r>
    </w:p>
    <w:p w:rsidR="00000000" w:rsidRPr="00C03B7C" w:rsidP="00C03B7C">
      <w:pPr>
        <w:pStyle w:val="ListBullet"/>
      </w:pPr>
      <w:r w:rsidRPr="00C03B7C">
        <w:t>organisational policies and procedures relating to assisting organisations to meet regulatory super</w:t>
      </w:r>
      <w:r w:rsidRPr="00C03B7C">
        <w:t xml:space="preserve">annuation compliance requirements </w:t>
      </w:r>
    </w:p>
    <w:p w:rsidR="00000000" w:rsidRPr="00C03B7C" w:rsidP="00C03B7C">
      <w:pPr>
        <w:pStyle w:val="ListBullet"/>
      </w:pPr>
      <w:r w:rsidRPr="00C03B7C">
        <w:t>organisational quality assurance practices</w:t>
      </w:r>
    </w:p>
    <w:p w:rsidR="00000000" w:rsidRPr="00C03B7C" w:rsidP="00C03B7C">
      <w:pPr>
        <w:pStyle w:val="ListBullet"/>
      </w:pPr>
      <w:r w:rsidRPr="00C03B7C">
        <w:t>roles of compliance regulatory bodies</w:t>
      </w:r>
    </w:p>
    <w:p w:rsidR="00000000" w:rsidRPr="00C03B7C" w:rsidP="00C03B7C">
      <w:pPr>
        <w:pStyle w:val="ListBullet"/>
      </w:pPr>
      <w:r w:rsidRPr="00C03B7C">
        <w:t>role, rights and responsibilities of trustees regarding regulatory compliance</w:t>
      </w:r>
    </w:p>
    <w:p w:rsidR="00000000" w:rsidRPr="00C03B7C" w:rsidP="00C03B7C">
      <w:pPr>
        <w:pStyle w:val="ListBullet"/>
      </w:pPr>
      <w:r w:rsidRPr="00C03B7C">
        <w:t>compliance responsibilities for fund administrators and conseq</w:t>
      </w:r>
      <w:r w:rsidRPr="00C03B7C">
        <w:t>uences of non-compliance</w:t>
      </w:r>
    </w:p>
    <w:p w:rsidR="00000000" w:rsidRPr="00C03B7C" w:rsidP="00C03B7C">
      <w:pPr>
        <w:pStyle w:val="ListBullet"/>
      </w:pPr>
      <w:r w:rsidRPr="00C03B7C">
        <w:t>legal implications of trust deeds and contracts</w:t>
      </w:r>
    </w:p>
    <w:p w:rsidR="00000000" w:rsidRPr="00C03B7C" w:rsidP="00C03B7C">
      <w:pPr>
        <w:pStyle w:val="ListBullet"/>
      </w:pPr>
      <w:r w:rsidRPr="00C03B7C">
        <w:t>relationships between required personnel regarding information necessary for regulatory compliance activities, including:</w:t>
      </w:r>
    </w:p>
    <w:p w:rsidR="00000000" w:rsidRPr="00C03B7C" w:rsidP="00C03B7C">
      <w:pPr>
        <w:pStyle w:val="ListBullet2"/>
      </w:pPr>
      <w:r w:rsidRPr="00C03B7C">
        <w:t>actuary</w:t>
      </w:r>
    </w:p>
    <w:p w:rsidR="00000000" w:rsidRPr="00C03B7C" w:rsidP="00C03B7C">
      <w:pPr>
        <w:pStyle w:val="ListBullet2"/>
      </w:pPr>
      <w:r w:rsidRPr="00C03B7C">
        <w:t>auditor</w:t>
      </w:r>
    </w:p>
    <w:p w:rsidR="00000000" w:rsidRPr="00C03B7C" w:rsidP="00C03B7C">
      <w:pPr>
        <w:pStyle w:val="ListBullet2"/>
      </w:pPr>
      <w:r w:rsidRPr="00C03B7C">
        <w:t>trustee under superannuation legislation</w:t>
      </w:r>
    </w:p>
    <w:p w:rsidR="00000000" w:rsidRPr="00C03B7C" w:rsidP="00C03B7C">
      <w:pPr>
        <w:pStyle w:val="ListBullet"/>
      </w:pPr>
      <w:r w:rsidRPr="00C03B7C">
        <w:t>requirements and procedures for preparing statutory reports and taxation returns</w:t>
      </w:r>
    </w:p>
    <w:p w:rsidR="00000000" w:rsidRPr="00C03B7C" w:rsidP="00C03B7C">
      <w:pPr>
        <w:pStyle w:val="ListBullet"/>
      </w:pPr>
      <w:r w:rsidRPr="00C03B7C">
        <w:t>procedures for obtaining information on financial transactions, lost member records, contributions and benefits</w:t>
      </w:r>
    </w:p>
    <w:p w:rsidR="00000000" w:rsidRPr="00C03B7C" w:rsidP="00C03B7C">
      <w:pPr>
        <w:pStyle w:val="ListBullet"/>
      </w:pPr>
      <w:r w:rsidRPr="00C03B7C">
        <w:t>consequences of incorrect processing of contributions or benefi</w:t>
      </w:r>
      <w:r w:rsidRPr="00C03B7C">
        <w:t>ts and other member information</w:t>
      </w:r>
    </w:p>
    <w:p w:rsidR="00000000" w:rsidRPr="00C03B7C" w:rsidP="00C03B7C">
      <w:pPr>
        <w:pStyle w:val="ListBullet"/>
      </w:pPr>
      <w:r w:rsidRPr="00C03B7C">
        <w:t>fraud deterrence practices.</w:t>
      </w:r>
    </w:p>
    <w:p w:rsidR="00000000" w:rsidRPr="00C03B7C" w:rsidP="00C03B7C">
      <w:pPr>
        <w:pStyle w:val="AllowPageBreak"/>
      </w:pPr>
    </w:p>
    <w:p w:rsidR="00000000" w:rsidRPr="00C03B7C" w:rsidP="00C03B7C">
      <w:pPr>
        <w:pStyle w:val="Heading1"/>
      </w:pPr>
      <w:bookmarkStart w:id="4" w:name="O_1133910"/>
      <w:bookmarkEnd w:id="4"/>
      <w:r w:rsidRPr="00C03B7C">
        <w:t>Assessment Conditions</w:t>
      </w:r>
    </w:p>
    <w:p w:rsidR="00000000" w:rsidRPr="00C03B7C" w:rsidP="00DE7A68">
      <w:pPr>
        <w:pStyle w:val="BodyText"/>
      </w:pPr>
      <w:r w:rsidRPr="00C03B7C">
        <w:t>Skills in this unit must be demonstrated in a workplace or simulated environment where the conditions are typical of those in a working environment in this</w:t>
      </w:r>
      <w:r w:rsidRPr="00C03B7C">
        <w:t xml:space="preserve"> industry.</w:t>
      </w:r>
    </w:p>
    <w:p w:rsidR="00000000" w:rsidRPr="00C03B7C" w:rsidP="00DE7A68">
      <w:pPr>
        <w:pStyle w:val="BodyText"/>
      </w:pPr>
      <w:r w:rsidRPr="00C03B7C">
        <w:t>This includes access to:</w:t>
      </w:r>
    </w:p>
    <w:p w:rsidR="00000000" w:rsidRPr="00C03B7C" w:rsidP="00C03B7C">
      <w:pPr>
        <w:pStyle w:val="ListBullet"/>
      </w:pPr>
      <w:r w:rsidRPr="00C03B7C">
        <w:t>organisational equipment, technology, software and consumables</w:t>
      </w:r>
    </w:p>
    <w:p w:rsidR="00000000" w:rsidRPr="00C03B7C" w:rsidP="00C03B7C">
      <w:pPr>
        <w:pStyle w:val="ListBullet"/>
      </w:pPr>
      <w:r w:rsidRPr="00C03B7C">
        <w:t>organisational financial records</w:t>
      </w:r>
    </w:p>
    <w:p w:rsidR="00000000" w:rsidRPr="00C03B7C" w:rsidP="00C03B7C">
      <w:pPr>
        <w:pStyle w:val="ListBullet"/>
      </w:pPr>
      <w:r w:rsidRPr="00C03B7C">
        <w:t>organisational policies and procedures.</w:t>
      </w:r>
    </w:p>
    <w:p w:rsidR="00000000" w:rsidRPr="00C03B7C" w:rsidP="00C03B7C">
      <w:pPr>
        <w:pStyle w:val="List"/>
      </w:pPr>
    </w:p>
    <w:p w:rsidR="00000000" w:rsidRPr="00C03B7C" w:rsidP="00DE7A68">
      <w:pPr>
        <w:pStyle w:val="BodyText"/>
      </w:pPr>
      <w:r w:rsidRPr="00C03B7C">
        <w:t>Assessors o</w:t>
      </w:r>
      <w:r w:rsidRPr="00C03B7C">
        <w:t>f this unit must satisfy the requirements for assessors in applicable vocational education and training legislation, frameworks and/or standards.</w:t>
      </w:r>
    </w:p>
    <w:p w:rsidR="00000000" w:rsidRPr="00C03B7C" w:rsidP="00C03B7C">
      <w:pPr>
        <w:pStyle w:val="Heading1"/>
      </w:pPr>
      <w:bookmarkStart w:id="5" w:name="O_1133908"/>
      <w:bookmarkEnd w:id="5"/>
      <w:r w:rsidRPr="00C03B7C">
        <w:t>Links</w:t>
      </w:r>
    </w:p>
    <w:p w:rsidR="00000000" w:rsidRPr="00C03B7C" w:rsidP="00DE7A68">
      <w:pPr>
        <w:pStyle w:val="BodyText"/>
      </w:pPr>
      <w:r w:rsidRPr="00C03B7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0258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03B7C" w:rsidP="00C03B7C"/>
    <w:sectPr w:rsidSect="00C03B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B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B7C" w:rsidRPr="00DE7A68" w:rsidP="00DE7A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B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A68" w:rsidP="00C03B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7A68" w:rsidP="00C03B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E7A68" w:rsidP="00C03B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B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A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3B7C" w:rsidRPr="00DE7A68" w:rsidP="00DE7A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B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A68" w:rsidRPr="002D2AF8" w:rsidP="00C03B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FNSSUP422 Assist organisation to meet regulatory superannuation compliance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DE7A68" w:rsidP="00C03B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F683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00D2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14AF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B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3B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3B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3B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3B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3B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3B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3B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3B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3B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3B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3B7C"/>
  </w:style>
  <w:style w:type="character" w:customStyle="1" w:styleId="Heading1Char">
    <w:name w:val="Heading 1 Char"/>
    <w:basedOn w:val="DefaultParagraphFont"/>
    <w:link w:val="Heading1"/>
    <w:rsid w:val="00C03B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3B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3B7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03B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3B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3B7C"/>
    <w:rPr>
      <w:b/>
      <w:spacing w:val="0"/>
    </w:rPr>
  </w:style>
  <w:style w:type="paragraph" w:styleId="ListBullet2">
    <w:name w:val="List Bullet 2"/>
    <w:basedOn w:val="List2"/>
    <w:rsid w:val="00C03B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3B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3B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3B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3B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3B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3B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3B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3B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3B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3B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3B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3B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3B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3B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3B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3B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3B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3B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3B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3B7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03B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3B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3B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3B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3B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3B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3B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3B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3B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3B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3B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3B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3B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3B7C"/>
    <w:rPr>
      <w:i/>
    </w:rPr>
  </w:style>
  <w:style w:type="paragraph" w:styleId="Caption">
    <w:name w:val="caption"/>
    <w:basedOn w:val="BodyText"/>
    <w:next w:val="Normal"/>
    <w:qFormat/>
    <w:rsid w:val="00C03B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3B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3B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3B7C"/>
  </w:style>
  <w:style w:type="paragraph" w:styleId="TableofFigures">
    <w:name w:val="table of figures"/>
    <w:basedOn w:val="Normal"/>
    <w:next w:val="Normal"/>
    <w:semiHidden/>
    <w:rsid w:val="00C03B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3B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3B7C"/>
    <w:rPr>
      <w:rFonts w:ascii="Wingdings" w:hAnsi="Wingdings"/>
    </w:rPr>
  </w:style>
  <w:style w:type="paragraph" w:customStyle="1" w:styleId="TableHeading">
    <w:name w:val="Table Heading"/>
    <w:basedOn w:val="HeadingBase"/>
    <w:rsid w:val="00C03B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3B7C"/>
    <w:rPr>
      <w:color w:val="0033CC"/>
      <w:u w:val="none"/>
    </w:rPr>
  </w:style>
  <w:style w:type="paragraph" w:customStyle="1" w:styleId="BodyTextRight">
    <w:name w:val="Body Text Right"/>
    <w:basedOn w:val="BodyText"/>
    <w:rsid w:val="00C03B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3B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3B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3B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3B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3B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3B7C"/>
    <w:rPr>
      <w:sz w:val="32"/>
    </w:rPr>
  </w:style>
  <w:style w:type="paragraph" w:customStyle="1" w:styleId="HeadingProcedure">
    <w:name w:val="Heading Procedure"/>
    <w:basedOn w:val="HeadingBase"/>
    <w:next w:val="Normal"/>
    <w:rsid w:val="00C03B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3B7C"/>
    <w:pPr>
      <w:spacing w:before="60" w:after="60"/>
    </w:pPr>
  </w:style>
  <w:style w:type="paragraph" w:styleId="ListContinue">
    <w:name w:val="List Continue"/>
    <w:basedOn w:val="List"/>
    <w:rsid w:val="00C03B7C"/>
    <w:pPr>
      <w:ind w:firstLine="0"/>
    </w:pPr>
  </w:style>
  <w:style w:type="paragraph" w:customStyle="1" w:styleId="ListNote">
    <w:name w:val="List Note"/>
    <w:basedOn w:val="List"/>
    <w:rsid w:val="00C03B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3B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3B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3B7C"/>
    <w:rPr>
      <w:rFonts w:ascii="Courier New" w:hAnsi="Courier New"/>
    </w:rPr>
  </w:style>
  <w:style w:type="paragraph" w:customStyle="1" w:styleId="NoteBullet">
    <w:name w:val="Note Bullet"/>
    <w:basedOn w:val="Note"/>
    <w:rsid w:val="00C03B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3B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3B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3B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3B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3B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3B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3B7C"/>
    <w:rPr>
      <w:b/>
      <w:smallCaps/>
    </w:rPr>
  </w:style>
  <w:style w:type="paragraph" w:customStyle="1" w:styleId="TableListNumber">
    <w:name w:val="Table List Number"/>
    <w:basedOn w:val="ListNumber"/>
    <w:rsid w:val="00C03B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3B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3B7C"/>
    <w:pPr>
      <w:numPr>
        <w:numId w:val="9"/>
      </w:numPr>
    </w:pPr>
  </w:style>
  <w:style w:type="paragraph" w:customStyle="1" w:styleId="ListAlpha2">
    <w:name w:val="List Alpha 2"/>
    <w:basedOn w:val="List2"/>
    <w:rsid w:val="00C03B7C"/>
    <w:pPr>
      <w:numPr>
        <w:numId w:val="8"/>
      </w:numPr>
    </w:pPr>
  </w:style>
  <w:style w:type="paragraph" w:styleId="List2">
    <w:name w:val="List 2"/>
    <w:basedOn w:val="BodyText"/>
    <w:rsid w:val="00C03B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3B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3B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3B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3B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3B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3B7C"/>
    <w:pPr>
      <w:numPr>
        <w:numId w:val="4"/>
      </w:numPr>
    </w:pPr>
  </w:style>
  <w:style w:type="paragraph" w:styleId="ListContinue2">
    <w:name w:val="List Continue 2"/>
    <w:basedOn w:val="List2"/>
    <w:rsid w:val="00C03B7C"/>
    <w:pPr>
      <w:ind w:firstLine="0"/>
    </w:pPr>
  </w:style>
  <w:style w:type="paragraph" w:styleId="ListContinue3">
    <w:name w:val="List Continue 3"/>
    <w:basedOn w:val="List3"/>
    <w:rsid w:val="00C03B7C"/>
    <w:pPr>
      <w:ind w:left="1021" w:firstLine="0"/>
    </w:pPr>
  </w:style>
  <w:style w:type="paragraph" w:styleId="ListContinue4">
    <w:name w:val="List Continue 4"/>
    <w:basedOn w:val="List4"/>
    <w:rsid w:val="00C03B7C"/>
    <w:pPr>
      <w:ind w:firstLine="0"/>
    </w:pPr>
  </w:style>
  <w:style w:type="paragraph" w:styleId="ListContinue5">
    <w:name w:val="List Continue 5"/>
    <w:basedOn w:val="List5"/>
    <w:rsid w:val="00C03B7C"/>
    <w:pPr>
      <w:ind w:firstLine="0"/>
    </w:pPr>
  </w:style>
  <w:style w:type="paragraph" w:styleId="ListNumber3">
    <w:name w:val="List Number 3"/>
    <w:basedOn w:val="List3"/>
    <w:rsid w:val="00C03B7C"/>
    <w:pPr>
      <w:numPr>
        <w:numId w:val="5"/>
      </w:numPr>
    </w:pPr>
  </w:style>
  <w:style w:type="paragraph" w:styleId="ListNumber4">
    <w:name w:val="List Number 4"/>
    <w:basedOn w:val="List4"/>
    <w:rsid w:val="00C03B7C"/>
    <w:pPr>
      <w:numPr>
        <w:numId w:val="6"/>
      </w:numPr>
    </w:pPr>
  </w:style>
  <w:style w:type="paragraph" w:styleId="ListNumber5">
    <w:name w:val="List Number 5"/>
    <w:basedOn w:val="List5"/>
    <w:rsid w:val="00C03B7C"/>
    <w:pPr>
      <w:numPr>
        <w:numId w:val="7"/>
      </w:numPr>
    </w:pPr>
  </w:style>
  <w:style w:type="paragraph" w:styleId="BlockText">
    <w:name w:val="Block Text"/>
    <w:basedOn w:val="Normal"/>
    <w:rsid w:val="00C03B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3B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3B7C"/>
    <w:rPr>
      <w:sz w:val="16"/>
      <w:vertAlign w:val="superscript"/>
    </w:rPr>
  </w:style>
  <w:style w:type="character" w:customStyle="1" w:styleId="Symbols">
    <w:name w:val="Symbols"/>
    <w:basedOn w:val="DefaultParagraphFont"/>
    <w:rsid w:val="00C03B7C"/>
    <w:rPr>
      <w:rFonts w:ascii="Symbol" w:hAnsi="Symbol"/>
    </w:rPr>
  </w:style>
  <w:style w:type="character" w:customStyle="1" w:styleId="MenuOptions">
    <w:name w:val="Menu Options"/>
    <w:basedOn w:val="DefaultParagraphFont"/>
    <w:rsid w:val="00C03B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3B7C"/>
    <w:rPr>
      <w:b/>
    </w:rPr>
  </w:style>
  <w:style w:type="character" w:customStyle="1" w:styleId="Underlined">
    <w:name w:val="Underlined"/>
    <w:basedOn w:val="DefaultParagraphFont"/>
    <w:rsid w:val="00C03B7C"/>
    <w:rPr>
      <w:u w:val="single"/>
    </w:rPr>
  </w:style>
  <w:style w:type="paragraph" w:customStyle="1" w:styleId="TableBodyTextRight">
    <w:name w:val="Table Body Text Right"/>
    <w:basedOn w:val="TableBodyText"/>
    <w:rsid w:val="00C03B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3B7C"/>
    <w:rPr>
      <w:sz w:val="18"/>
    </w:rPr>
  </w:style>
  <w:style w:type="paragraph" w:customStyle="1" w:styleId="BodySmallRight">
    <w:name w:val="Body Small Right"/>
    <w:basedOn w:val="BodyTextRight"/>
    <w:rsid w:val="00C03B7C"/>
    <w:rPr>
      <w:sz w:val="18"/>
      <w:szCs w:val="18"/>
    </w:rPr>
  </w:style>
  <w:style w:type="paragraph" w:customStyle="1" w:styleId="MarginEdition">
    <w:name w:val="Margin Edition"/>
    <w:basedOn w:val="MarginNote"/>
    <w:rsid w:val="00C03B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3B7C"/>
    <w:rPr>
      <w:sz w:val="2"/>
      <w:szCs w:val="2"/>
    </w:rPr>
  </w:style>
  <w:style w:type="character" w:customStyle="1" w:styleId="Small">
    <w:name w:val="Small"/>
    <w:basedOn w:val="DefaultParagraphFont"/>
    <w:rsid w:val="00C03B7C"/>
    <w:rPr>
      <w:sz w:val="16"/>
    </w:rPr>
  </w:style>
  <w:style w:type="paragraph" w:customStyle="1" w:styleId="WideTable">
    <w:name w:val="Wide Table"/>
    <w:basedOn w:val="Normal"/>
    <w:rsid w:val="00C03B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3B7C"/>
  </w:style>
  <w:style w:type="paragraph" w:styleId="Quote">
    <w:name w:val="Quote"/>
    <w:basedOn w:val="Heading1"/>
    <w:link w:val="QuoteChar"/>
    <w:qFormat/>
    <w:rsid w:val="00C03B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3B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3B7C"/>
    <w:pPr>
      <w:pageBreakBefore/>
    </w:pPr>
  </w:style>
  <w:style w:type="paragraph" w:customStyle="1" w:styleId="Border">
    <w:name w:val="Border"/>
    <w:basedOn w:val="Normal"/>
    <w:qFormat/>
    <w:rsid w:val="00C03B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3B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3B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3B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3B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3B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3B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3B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3B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3B7C"/>
    <w:rPr>
      <w:u w:val="single"/>
    </w:rPr>
  </w:style>
  <w:style w:type="character" w:customStyle="1" w:styleId="BoldandItalics">
    <w:name w:val="Bold and Italics"/>
    <w:qFormat/>
    <w:rsid w:val="00C03B7C"/>
    <w:rPr>
      <w:b/>
      <w:i/>
      <w:u w:val="none"/>
    </w:rPr>
  </w:style>
  <w:style w:type="paragraph" w:styleId="BalloonText">
    <w:name w:val="Balloon Text"/>
    <w:basedOn w:val="Normal"/>
    <w:link w:val="BalloonTextChar"/>
    <w:rsid w:val="00C03B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3B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3B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3B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3B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3B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3B7C"/>
    <w:pPr>
      <w:spacing w:before="0" w:after="0"/>
    </w:pPr>
  </w:style>
  <w:style w:type="paragraph" w:customStyle="1" w:styleId="BodyTextBold">
    <w:name w:val="Body Text Bold"/>
    <w:basedOn w:val="BodyText"/>
    <w:qFormat/>
    <w:rsid w:val="00C03B7C"/>
    <w:rPr>
      <w:b/>
    </w:rPr>
  </w:style>
  <w:style w:type="character" w:styleId="Hyperlink">
    <w:name w:val="Hyperlink"/>
    <w:basedOn w:val="DefaultParagraphFont"/>
    <w:uiPriority w:val="99"/>
    <w:unhideWhenUsed/>
    <w:rsid w:val="00DE7A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3016</Characters>
  <Application>Microsoft Office Word</Application>
  <DocSecurity>0</DocSecurity>
  <Lines>79</Lines>
  <Paragraphs>59</Paragraphs>
  <ScaleCrop>false</ScaleCrop>
  <Company>Author-it Software Corporation Ltd.</Company>
  <LinksUpToDate>false</LinksUpToDate>
  <CharactersWithSpaces>3364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FNSSUP422 Assist organisation to meet regulatory superannuation compliance requirements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2022-11-03T07:37:00Z</dcterms:created>
  <dcterms:modified xsi:type="dcterms:W3CDTF">2022-11-03T07:37:00Z</dcterms:modified>
</cp:coreProperties>
</file>