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F1FEE" w:rsidP="000F1FE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FNSSUP420 Establish and administer retirement income streams</w:t>
      </w:r>
      <w:r>
        <w:fldChar w:fldCharType="end"/>
      </w:r>
    </w:p>
    <w:p w:rsidR="000F1FEE" w:rsidP="000F1FEE">
      <w:pPr>
        <w:pStyle w:val="Version"/>
        <w:sectPr w:rsidSect="001D7B2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D7B22" w:rsidP="001D7B22">
      <w:pPr>
        <w:pStyle w:val="SuperHeading"/>
      </w:pPr>
      <w:r w:rsidRPr="001D7B22">
        <w:t>Assessment Requirements for FNSSUP420 Establish and administer retirement income streams</w:t>
      </w:r>
    </w:p>
    <w:p w:rsidR="00000000" w:rsidRPr="001D7B22" w:rsidP="001D7B22">
      <w:pPr>
        <w:pStyle w:val="Heading1"/>
      </w:pPr>
      <w:bookmarkStart w:id="1" w:name="O_1133877"/>
      <w:bookmarkEnd w:id="1"/>
      <w:r w:rsidRPr="001D7B2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1D7B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7B22" w:rsidP="001D7B22">
            <w:pPr>
              <w:pStyle w:val="BodyText"/>
            </w:pPr>
            <w:r w:rsidRPr="001D7B22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B22">
            <w:pPr>
              <w:pStyle w:val="BodyText"/>
              <w:rPr>
                <w:lang w:val="en-NZ"/>
              </w:rPr>
            </w:pPr>
            <w:r w:rsidRPr="001D7B22">
              <w:rPr>
                <w:rStyle w:val="SpecialBold"/>
              </w:rPr>
              <w:t>Comments</w:t>
            </w:r>
          </w:p>
        </w:tc>
      </w:tr>
      <w:tr w:rsidTr="001D7B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B22">
            <w:pPr>
              <w:pStyle w:val="BodyText"/>
              <w:rPr>
                <w:lang w:val="en-NZ"/>
              </w:rPr>
            </w:pPr>
            <w:r w:rsidRPr="001D7B22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7B22" w:rsidP="001D7B22">
            <w:pPr>
              <w:pStyle w:val="BodyText"/>
            </w:pPr>
            <w:r w:rsidRPr="001D7B22">
              <w:t>This version first released with FNS Financial Services Training Package Version 5.0.</w:t>
            </w:r>
          </w:p>
        </w:tc>
      </w:tr>
    </w:tbl>
    <w:p w:rsidR="00000000" w:rsidRPr="001D7B22" w:rsidP="001D7B22">
      <w:pPr>
        <w:pStyle w:val="BodyText"/>
      </w:pPr>
    </w:p>
    <w:p w:rsidR="00000000" w:rsidRPr="001D7B22" w:rsidP="001D7B22">
      <w:pPr>
        <w:pStyle w:val="AllowPageBreak"/>
      </w:pPr>
    </w:p>
    <w:p w:rsidR="00000000" w:rsidRPr="001D7B22" w:rsidP="001D7B22">
      <w:pPr>
        <w:pStyle w:val="Heading1"/>
      </w:pPr>
      <w:bookmarkStart w:id="2" w:name="O_1133880"/>
      <w:bookmarkEnd w:id="2"/>
      <w:r w:rsidRPr="001D7B22">
        <w:t>Performance Evidence</w:t>
      </w:r>
    </w:p>
    <w:p w:rsidR="00000000" w:rsidRPr="001D7B22" w:rsidP="000F1FEE">
      <w:pPr>
        <w:pStyle w:val="BodyText"/>
      </w:pPr>
      <w:r w:rsidRPr="001D7B22">
        <w:t>The candidate must demonstrate the ability to complete the tasks outlined in the elements, performance criteria and foundation skills of this unit, including evidence of the ability to:</w:t>
      </w:r>
    </w:p>
    <w:p w:rsidR="00000000" w:rsidRPr="001D7B22" w:rsidP="001D7B22">
      <w:pPr>
        <w:pStyle w:val="ListBullet"/>
      </w:pPr>
      <w:r w:rsidRPr="001D7B22">
        <w:t>establish and administer retirement inc</w:t>
      </w:r>
      <w:r w:rsidRPr="001D7B22">
        <w:t>ome streams for at least three different clients.</w:t>
      </w:r>
    </w:p>
    <w:p w:rsidR="00000000" w:rsidRPr="001D7B22" w:rsidP="001D7B22">
      <w:pPr>
        <w:pStyle w:val="List"/>
      </w:pPr>
    </w:p>
    <w:p w:rsidR="00000000" w:rsidRPr="001D7B22" w:rsidP="000F1FEE">
      <w:pPr>
        <w:pStyle w:val="BodyText"/>
      </w:pPr>
      <w:r w:rsidRPr="001D7B22">
        <w:t>In the course if the above, the candidate must:</w:t>
      </w:r>
    </w:p>
    <w:p w:rsidR="00000000" w:rsidRPr="001D7B22" w:rsidP="001D7B22">
      <w:pPr>
        <w:pStyle w:val="ListBullet"/>
      </w:pPr>
      <w:r w:rsidRPr="001D7B22">
        <w:t>access member contract guidelines and prepare income benefit documentation</w:t>
      </w:r>
    </w:p>
    <w:p w:rsidR="00000000" w:rsidRPr="001D7B22" w:rsidP="001D7B22">
      <w:pPr>
        <w:pStyle w:val="ListBullet"/>
      </w:pPr>
      <w:r w:rsidRPr="001D7B22">
        <w:t>calculate tax payable on an income stream paid to a client, taking in</w:t>
      </w:r>
      <w:r w:rsidRPr="001D7B22">
        <w:t>to account client’s age</w:t>
      </w:r>
    </w:p>
    <w:p w:rsidR="00000000" w:rsidRPr="001D7B22" w:rsidP="001D7B22">
      <w:pPr>
        <w:pStyle w:val="ListBullet"/>
      </w:pPr>
      <w:r w:rsidRPr="001D7B22">
        <w:t>process documentation and commutations, including taxation payable</w:t>
      </w:r>
    </w:p>
    <w:p w:rsidR="00000000" w:rsidRPr="001D7B22" w:rsidP="001D7B22">
      <w:pPr>
        <w:pStyle w:val="ListBullet"/>
      </w:pPr>
      <w:r w:rsidRPr="001D7B22">
        <w:t>comply with legislative and regulatory requirements and organisational policies and procedures when determining compliance of retirement income streams.</w:t>
      </w:r>
    </w:p>
    <w:p w:rsidR="00000000" w:rsidRPr="001D7B22" w:rsidP="001D7B22">
      <w:pPr>
        <w:pStyle w:val="AllowPageBreak"/>
      </w:pPr>
    </w:p>
    <w:p w:rsidR="00000000" w:rsidRPr="001D7B22" w:rsidP="001D7B22">
      <w:pPr>
        <w:pStyle w:val="Heading1"/>
      </w:pPr>
      <w:bookmarkStart w:id="3" w:name="O_1133879"/>
      <w:bookmarkEnd w:id="3"/>
      <w:r w:rsidRPr="001D7B22">
        <w:t>Knowledge Evidence</w:t>
      </w:r>
    </w:p>
    <w:p w:rsidR="00000000" w:rsidRPr="001D7B22" w:rsidP="000F1FEE">
      <w:pPr>
        <w:pStyle w:val="BodyText"/>
      </w:pPr>
      <w:r w:rsidRPr="001D7B22">
        <w:t>The candidate must be able to demonstrate knowledge to complete the tasks outlined in the elements, performance criteria and foundation skills of this unit, including knowledge of:</w:t>
      </w:r>
    </w:p>
    <w:p w:rsidR="00000000" w:rsidRPr="001D7B22" w:rsidP="001D7B22">
      <w:pPr>
        <w:pStyle w:val="ListBullet"/>
      </w:pPr>
      <w:r w:rsidRPr="001D7B22">
        <w:t>legislative and regulatory requirements relating</w:t>
      </w:r>
      <w:r w:rsidRPr="001D7B22">
        <w:t xml:space="preserve"> to:</w:t>
      </w:r>
    </w:p>
    <w:p w:rsidR="00000000" w:rsidRPr="001D7B22" w:rsidP="001D7B22">
      <w:pPr>
        <w:pStyle w:val="ListBullet2"/>
      </w:pPr>
      <w:r w:rsidRPr="001D7B22">
        <w:t>establishing retirement income streams</w:t>
      </w:r>
    </w:p>
    <w:p w:rsidR="00000000" w:rsidRPr="001D7B22" w:rsidP="001D7B22">
      <w:pPr>
        <w:pStyle w:val="ListBullet2"/>
      </w:pPr>
      <w:r w:rsidRPr="001D7B22">
        <w:t>key features of Australian privacy principles</w:t>
      </w:r>
    </w:p>
    <w:p w:rsidR="00000000" w:rsidRPr="001D7B22" w:rsidP="001D7B22">
      <w:pPr>
        <w:pStyle w:val="ListBullet2"/>
      </w:pPr>
      <w:r w:rsidRPr="001D7B22">
        <w:t>data protection</w:t>
      </w:r>
    </w:p>
    <w:p w:rsidR="00000000" w:rsidRPr="001D7B22" w:rsidP="001D7B22">
      <w:pPr>
        <w:pStyle w:val="ListBullet"/>
      </w:pPr>
      <w:r w:rsidRPr="001D7B22">
        <w:t>organisational policies, procedures and guidelines relating to establishing and administering retirement income streams, including the steps in:</w:t>
      </w:r>
    </w:p>
    <w:p w:rsidR="00000000" w:rsidRPr="001D7B22" w:rsidP="001D7B22">
      <w:pPr>
        <w:pStyle w:val="ListBullet2"/>
      </w:pPr>
      <w:r w:rsidRPr="001D7B22">
        <w:t>setting up an income stream and the documents required, including the verification process</w:t>
      </w:r>
    </w:p>
    <w:p w:rsidR="00000000" w:rsidRPr="001D7B22" w:rsidP="001D7B22">
      <w:pPr>
        <w:pStyle w:val="ListBullet2"/>
      </w:pPr>
      <w:r w:rsidRPr="001D7B22">
        <w:t>maintaining an income stream and the documents required, including proof of life for non-account based income streams</w:t>
      </w:r>
    </w:p>
    <w:p w:rsidR="00000000" w:rsidRPr="001D7B22" w:rsidP="001D7B22">
      <w:pPr>
        <w:pStyle w:val="ListBullet"/>
      </w:pPr>
      <w:r w:rsidRPr="001D7B22">
        <w:t>types of income streams earned by clients, inc</w:t>
      </w:r>
      <w:r w:rsidRPr="001D7B22">
        <w:t>luding:</w:t>
      </w:r>
    </w:p>
    <w:p w:rsidR="00000000" w:rsidRPr="001D7B22" w:rsidP="001D7B22">
      <w:pPr>
        <w:pStyle w:val="ListBullet2"/>
      </w:pPr>
      <w:r w:rsidRPr="001D7B22">
        <w:t>those included in pay as you go (PAYG) documentation</w:t>
      </w:r>
    </w:p>
    <w:p w:rsidR="00000000" w:rsidRPr="001D7B22" w:rsidP="001D7B22">
      <w:pPr>
        <w:pStyle w:val="ListBullet2"/>
      </w:pPr>
      <w:r w:rsidRPr="001D7B22">
        <w:t>reversionary pensions</w:t>
      </w:r>
    </w:p>
    <w:p w:rsidR="00000000" w:rsidRPr="001D7B22" w:rsidP="001D7B22">
      <w:pPr>
        <w:pStyle w:val="ListBullet"/>
      </w:pPr>
      <w:r w:rsidRPr="001D7B22">
        <w:t>retirement income stream products of the organisation</w:t>
      </w:r>
    </w:p>
    <w:p w:rsidR="00000000" w:rsidRPr="001D7B22" w:rsidP="001D7B22">
      <w:pPr>
        <w:pStyle w:val="ListBullet"/>
      </w:pPr>
      <w:r w:rsidRPr="001D7B22">
        <w:t>ethical considerations in handling confidential and private client information</w:t>
      </w:r>
    </w:p>
    <w:p w:rsidR="00000000" w:rsidRPr="001D7B22" w:rsidP="001D7B22">
      <w:pPr>
        <w:pStyle w:val="ListBullet"/>
      </w:pPr>
      <w:r w:rsidRPr="001D7B22">
        <w:t>ways and processes by which a person c</w:t>
      </w:r>
      <w:r w:rsidRPr="001D7B22">
        <w:t>an purchase a retirement pension or annuity</w:t>
      </w:r>
    </w:p>
    <w:p w:rsidR="00000000" w:rsidRPr="001D7B22" w:rsidP="001D7B22">
      <w:pPr>
        <w:pStyle w:val="ListBullet"/>
      </w:pPr>
      <w:r w:rsidRPr="001D7B22">
        <w:t>retirement pension or annuity options available to clients, including hybrid fund options</w:t>
      </w:r>
    </w:p>
    <w:p w:rsidR="00000000" w:rsidRPr="001D7B22" w:rsidP="001D7B22">
      <w:pPr>
        <w:pStyle w:val="ListBullet"/>
      </w:pPr>
      <w:r w:rsidRPr="001D7B22">
        <w:t>position and implications for beneficiaries in establishing a retirement income stream, including:</w:t>
      </w:r>
    </w:p>
    <w:p w:rsidR="00000000" w:rsidRPr="001D7B22" w:rsidP="001D7B22">
      <w:pPr>
        <w:pStyle w:val="ListBullet2"/>
      </w:pPr>
      <w:r w:rsidRPr="001D7B22">
        <w:t>relevance to reversion</w:t>
      </w:r>
      <w:r w:rsidRPr="001D7B22">
        <w:t>ary pensions</w:t>
      </w:r>
    </w:p>
    <w:p w:rsidR="00000000" w:rsidRPr="001D7B22" w:rsidP="001D7B22">
      <w:pPr>
        <w:pStyle w:val="ListBullet2"/>
      </w:pPr>
      <w:r w:rsidRPr="001D7B22">
        <w:t>account-based income streams</w:t>
      </w:r>
    </w:p>
    <w:p w:rsidR="00000000" w:rsidRPr="001D7B22" w:rsidP="001D7B22">
      <w:pPr>
        <w:pStyle w:val="ListBullet2"/>
      </w:pPr>
      <w:r w:rsidRPr="001D7B22">
        <w:t>death benefit nominations</w:t>
      </w:r>
    </w:p>
    <w:p w:rsidR="00000000" w:rsidRPr="001D7B22" w:rsidP="001D7B22">
      <w:pPr>
        <w:pStyle w:val="ListBullet2"/>
      </w:pPr>
      <w:r w:rsidRPr="001D7B22">
        <w:t>estate planning</w:t>
      </w:r>
    </w:p>
    <w:p w:rsidR="00000000" w:rsidRPr="001D7B22" w:rsidP="001D7B22">
      <w:pPr>
        <w:pStyle w:val="ListBullet"/>
      </w:pPr>
      <w:r w:rsidRPr="001D7B22">
        <w:t>key features and benefits of retirement income stream products</w:t>
      </w:r>
    </w:p>
    <w:p w:rsidR="00000000" w:rsidRPr="001D7B22" w:rsidP="001D7B22">
      <w:pPr>
        <w:pStyle w:val="ListBullet"/>
      </w:pPr>
      <w:r w:rsidRPr="001D7B22">
        <w:t>documentation required to establish retirement income streams, including certified copies of appropriate identification</w:t>
      </w:r>
    </w:p>
    <w:p w:rsidR="00000000" w:rsidRPr="001D7B22" w:rsidP="001D7B22">
      <w:pPr>
        <w:pStyle w:val="ListBullet"/>
      </w:pPr>
      <w:r w:rsidRPr="001D7B22">
        <w:t>requirements for accessing an income stream</w:t>
      </w:r>
    </w:p>
    <w:p w:rsidR="00000000" w:rsidRPr="001D7B22" w:rsidP="001D7B22">
      <w:pPr>
        <w:pStyle w:val="ListBullet"/>
      </w:pPr>
      <w:r w:rsidRPr="001D7B22">
        <w:t>methods used to perform calculations relating to retirement income streams</w:t>
      </w:r>
    </w:p>
    <w:p w:rsidR="00000000" w:rsidRPr="001D7B22" w:rsidP="001D7B22">
      <w:pPr>
        <w:pStyle w:val="ListBullet"/>
      </w:pPr>
      <w:r w:rsidRPr="001D7B22">
        <w:t>consequences of i</w:t>
      </w:r>
      <w:r w:rsidRPr="001D7B22">
        <w:t>ncorrect processing of income stream payments, incorrect maintenance of the income stream, and of other breaches</w:t>
      </w:r>
    </w:p>
    <w:p w:rsidR="00000000" w:rsidRPr="001D7B22" w:rsidP="001D7B22">
      <w:pPr>
        <w:pStyle w:val="ListBullet"/>
      </w:pPr>
      <w:r w:rsidRPr="001D7B22">
        <w:t>key features of policy documents for investment clients, including:</w:t>
      </w:r>
    </w:p>
    <w:p w:rsidR="00000000" w:rsidRPr="001D7B22" w:rsidP="001D7B22">
      <w:pPr>
        <w:pStyle w:val="ListBullet2"/>
      </w:pPr>
      <w:r w:rsidRPr="001D7B22">
        <w:t>confirmations</w:t>
      </w:r>
    </w:p>
    <w:p w:rsidR="00000000" w:rsidRPr="001D7B22" w:rsidP="001D7B22">
      <w:pPr>
        <w:pStyle w:val="ListBullet2"/>
      </w:pPr>
      <w:r w:rsidRPr="001D7B22">
        <w:t>investor certificates</w:t>
      </w:r>
    </w:p>
    <w:p w:rsidR="00000000" w:rsidRPr="001D7B22" w:rsidP="001D7B22">
      <w:pPr>
        <w:pStyle w:val="ListBullet2"/>
      </w:pPr>
      <w:r w:rsidRPr="001D7B22">
        <w:t>details regarding cooling off periods.</w:t>
      </w:r>
    </w:p>
    <w:p w:rsidR="00000000" w:rsidRPr="001D7B22" w:rsidP="001D7B22">
      <w:pPr>
        <w:pStyle w:val="AllowPageBreak"/>
      </w:pPr>
    </w:p>
    <w:p w:rsidR="00000000" w:rsidRPr="001D7B22" w:rsidP="001D7B22">
      <w:pPr>
        <w:pStyle w:val="Heading1"/>
      </w:pPr>
      <w:bookmarkStart w:id="4" w:name="O_1133878"/>
      <w:bookmarkEnd w:id="4"/>
      <w:r w:rsidRPr="001D7B22">
        <w:t>Assessment Conditions</w:t>
      </w:r>
    </w:p>
    <w:p w:rsidR="00000000" w:rsidRPr="001D7B22" w:rsidP="000F1FEE">
      <w:pPr>
        <w:pStyle w:val="BodyText"/>
      </w:pPr>
      <w:r w:rsidRPr="001D7B22">
        <w:t>Skills in this unit must be demonstrated in a workplace or simulated environment where the conditions are typical of those in a working environment in this industry.</w:t>
      </w:r>
    </w:p>
    <w:p w:rsidR="00000000" w:rsidRPr="001D7B22" w:rsidP="000F1FEE">
      <w:pPr>
        <w:pStyle w:val="BodyText"/>
      </w:pPr>
      <w:r w:rsidRPr="001D7B22">
        <w:t>This includes access to:</w:t>
      </w:r>
    </w:p>
    <w:p w:rsidR="00000000" w:rsidRPr="001D7B22" w:rsidP="001D7B22">
      <w:pPr>
        <w:pStyle w:val="ListBullet"/>
      </w:pPr>
      <w:r w:rsidRPr="001D7B22">
        <w:t>organisational equipme</w:t>
      </w:r>
      <w:r w:rsidRPr="001D7B22">
        <w:t>nt, technology, software and consumables</w:t>
      </w:r>
    </w:p>
    <w:p w:rsidR="00000000" w:rsidRPr="001D7B22" w:rsidP="001D7B22">
      <w:pPr>
        <w:pStyle w:val="ListBullet"/>
      </w:pPr>
      <w:r w:rsidRPr="001D7B22">
        <w:t>financial services product information</w:t>
      </w:r>
    </w:p>
    <w:p w:rsidR="00000000" w:rsidRPr="001D7B22" w:rsidP="001D7B22">
      <w:pPr>
        <w:pStyle w:val="ListBullet"/>
      </w:pPr>
      <w:r w:rsidRPr="001D7B22">
        <w:t>client documentation required to establish and administer retirement income streams, including PAYG summary documentation with income stream details</w:t>
      </w:r>
    </w:p>
    <w:p w:rsidR="00000000" w:rsidRPr="001D7B22" w:rsidP="001D7B22">
      <w:pPr>
        <w:pStyle w:val="ListBullet"/>
      </w:pPr>
      <w:r w:rsidRPr="001D7B22">
        <w:t xml:space="preserve">publicly available information required to establish and administer retirement income streams, including the latest consumer price index (CPI) information available </w:t>
      </w:r>
    </w:p>
    <w:p w:rsidR="00000000" w:rsidRPr="001D7B22" w:rsidP="001D7B22">
      <w:pPr>
        <w:pStyle w:val="ListBullet"/>
      </w:pPr>
      <w:r w:rsidRPr="001D7B22">
        <w:t>organisational policies and procedures relevant to establishing and administering retireme</w:t>
      </w:r>
      <w:r w:rsidRPr="001D7B22">
        <w:t>nt income streams.</w:t>
      </w:r>
    </w:p>
    <w:p w:rsidR="00000000" w:rsidRPr="001D7B22" w:rsidP="001D7B22">
      <w:pPr>
        <w:pStyle w:val="List"/>
      </w:pPr>
    </w:p>
    <w:p w:rsidR="00000000" w:rsidRPr="001D7B22" w:rsidP="000F1FEE">
      <w:pPr>
        <w:pStyle w:val="BodyText"/>
      </w:pPr>
      <w:r w:rsidRPr="001D7B22">
        <w:t>Assessors of this unit must satisfy the requirements for assessors in applicable vocational education and training legislation, frameworks and/or standards.</w:t>
      </w:r>
    </w:p>
    <w:p w:rsidR="00000000" w:rsidRPr="001D7B22" w:rsidP="001D7B22">
      <w:pPr>
        <w:pStyle w:val="Heading1"/>
      </w:pPr>
      <w:bookmarkStart w:id="5" w:name="O_1133876"/>
      <w:bookmarkEnd w:id="5"/>
      <w:r w:rsidRPr="001D7B22">
        <w:t>Links</w:t>
      </w:r>
    </w:p>
    <w:p w:rsidR="00000000" w:rsidRPr="001D7B22" w:rsidP="000F1FEE">
      <w:pPr>
        <w:pStyle w:val="BodyText"/>
      </w:pPr>
      <w:r w:rsidRPr="001D7B22">
        <w:t>Companion Volume Implementation Guide is found on VETN</w:t>
      </w:r>
      <w:r w:rsidRPr="001D7B22">
        <w:t xml:space="preserve">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461709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1D7B22" w:rsidP="001D7B22"/>
    <w:sectPr w:rsidSect="001D7B2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7B2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7B22" w:rsidRPr="000F1FEE" w:rsidP="000F1FE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7B2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1FEE" w:rsidP="001D7B2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F1FEE" w:rsidP="001D7B2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F1FEE" w:rsidP="001D7B2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7B2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1FE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D7B22" w:rsidRPr="000F1FEE" w:rsidP="000F1FE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7B2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1FEE" w:rsidRPr="002D2AF8" w:rsidP="001D7B2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FNSSUP420 Establish and administer retirement income streams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0F1FEE" w:rsidP="001D7B2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75C4D9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A62D2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6C6020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7B2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D7B2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D7B2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D7B2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D7B2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D7B2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D7B2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D7B2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D7B2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D7B2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D7B2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D7B22"/>
  </w:style>
  <w:style w:type="character" w:customStyle="1" w:styleId="Heading1Char">
    <w:name w:val="Heading 1 Char"/>
    <w:basedOn w:val="DefaultParagraphFont"/>
    <w:link w:val="Heading1"/>
    <w:rsid w:val="001D7B2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D7B2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D7B2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D7B2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D7B2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D7B22"/>
    <w:rPr>
      <w:b/>
      <w:spacing w:val="0"/>
    </w:rPr>
  </w:style>
  <w:style w:type="paragraph" w:styleId="ListBullet2">
    <w:name w:val="List Bullet 2"/>
    <w:basedOn w:val="List2"/>
    <w:rsid w:val="001D7B2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D7B2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D7B2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D7B2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D7B2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D7B2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D7B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D7B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D7B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D7B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D7B2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D7B2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D7B2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D7B2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D7B2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D7B2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D7B2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D7B2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D7B2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D7B2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D7B2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D7B2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D7B2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D7B2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D7B2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D7B2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D7B2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D7B2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D7B2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D7B2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D7B2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D7B2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D7B2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D7B2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D7B22"/>
    <w:rPr>
      <w:i/>
    </w:rPr>
  </w:style>
  <w:style w:type="paragraph" w:styleId="Caption">
    <w:name w:val="caption"/>
    <w:basedOn w:val="BodyText"/>
    <w:next w:val="Normal"/>
    <w:qFormat/>
    <w:rsid w:val="001D7B2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D7B2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D7B2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D7B22"/>
  </w:style>
  <w:style w:type="paragraph" w:styleId="TableofFigures">
    <w:name w:val="table of figures"/>
    <w:basedOn w:val="Normal"/>
    <w:next w:val="Normal"/>
    <w:semiHidden/>
    <w:rsid w:val="001D7B2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D7B2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D7B22"/>
    <w:rPr>
      <w:rFonts w:ascii="Wingdings" w:hAnsi="Wingdings"/>
    </w:rPr>
  </w:style>
  <w:style w:type="paragraph" w:customStyle="1" w:styleId="TableHeading">
    <w:name w:val="Table Heading"/>
    <w:basedOn w:val="HeadingBase"/>
    <w:rsid w:val="001D7B2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D7B22"/>
    <w:rPr>
      <w:color w:val="0033CC"/>
      <w:u w:val="none"/>
    </w:rPr>
  </w:style>
  <w:style w:type="paragraph" w:customStyle="1" w:styleId="BodyTextRight">
    <w:name w:val="Body Text Right"/>
    <w:basedOn w:val="BodyText"/>
    <w:rsid w:val="001D7B2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D7B2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D7B2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D7B2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D7B2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D7B2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D7B22"/>
    <w:rPr>
      <w:sz w:val="32"/>
    </w:rPr>
  </w:style>
  <w:style w:type="paragraph" w:customStyle="1" w:styleId="HeadingProcedure">
    <w:name w:val="Heading Procedure"/>
    <w:basedOn w:val="HeadingBase"/>
    <w:next w:val="Normal"/>
    <w:rsid w:val="001D7B2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D7B22"/>
    <w:pPr>
      <w:spacing w:before="60" w:after="60"/>
    </w:pPr>
  </w:style>
  <w:style w:type="paragraph" w:styleId="ListContinue">
    <w:name w:val="List Continue"/>
    <w:basedOn w:val="List"/>
    <w:rsid w:val="001D7B22"/>
    <w:pPr>
      <w:ind w:firstLine="0"/>
    </w:pPr>
  </w:style>
  <w:style w:type="paragraph" w:customStyle="1" w:styleId="ListNote">
    <w:name w:val="List Note"/>
    <w:basedOn w:val="List"/>
    <w:rsid w:val="001D7B2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D7B2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D7B2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D7B22"/>
    <w:rPr>
      <w:rFonts w:ascii="Courier New" w:hAnsi="Courier New"/>
    </w:rPr>
  </w:style>
  <w:style w:type="paragraph" w:customStyle="1" w:styleId="NoteBullet">
    <w:name w:val="Note Bullet"/>
    <w:basedOn w:val="Note"/>
    <w:rsid w:val="001D7B2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D7B2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D7B2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D7B2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D7B2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D7B2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D7B2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D7B22"/>
    <w:rPr>
      <w:b/>
      <w:smallCaps/>
    </w:rPr>
  </w:style>
  <w:style w:type="paragraph" w:customStyle="1" w:styleId="TableListNumber">
    <w:name w:val="Table List Number"/>
    <w:basedOn w:val="ListNumber"/>
    <w:rsid w:val="001D7B2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D7B2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D7B22"/>
    <w:pPr>
      <w:numPr>
        <w:numId w:val="9"/>
      </w:numPr>
    </w:pPr>
  </w:style>
  <w:style w:type="paragraph" w:customStyle="1" w:styleId="ListAlpha2">
    <w:name w:val="List Alpha 2"/>
    <w:basedOn w:val="List2"/>
    <w:rsid w:val="001D7B22"/>
    <w:pPr>
      <w:numPr>
        <w:numId w:val="8"/>
      </w:numPr>
    </w:pPr>
  </w:style>
  <w:style w:type="paragraph" w:styleId="List2">
    <w:name w:val="List 2"/>
    <w:basedOn w:val="BodyText"/>
    <w:rsid w:val="001D7B2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D7B2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D7B2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D7B2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D7B2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D7B2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D7B22"/>
    <w:pPr>
      <w:numPr>
        <w:numId w:val="4"/>
      </w:numPr>
    </w:pPr>
  </w:style>
  <w:style w:type="paragraph" w:styleId="ListContinue2">
    <w:name w:val="List Continue 2"/>
    <w:basedOn w:val="List2"/>
    <w:rsid w:val="001D7B22"/>
    <w:pPr>
      <w:ind w:firstLine="0"/>
    </w:pPr>
  </w:style>
  <w:style w:type="paragraph" w:styleId="ListContinue3">
    <w:name w:val="List Continue 3"/>
    <w:basedOn w:val="List3"/>
    <w:rsid w:val="001D7B22"/>
    <w:pPr>
      <w:ind w:left="1021" w:firstLine="0"/>
    </w:pPr>
  </w:style>
  <w:style w:type="paragraph" w:styleId="ListContinue4">
    <w:name w:val="List Continue 4"/>
    <w:basedOn w:val="List4"/>
    <w:rsid w:val="001D7B22"/>
    <w:pPr>
      <w:ind w:firstLine="0"/>
    </w:pPr>
  </w:style>
  <w:style w:type="paragraph" w:styleId="ListContinue5">
    <w:name w:val="List Continue 5"/>
    <w:basedOn w:val="List5"/>
    <w:rsid w:val="001D7B22"/>
    <w:pPr>
      <w:ind w:firstLine="0"/>
    </w:pPr>
  </w:style>
  <w:style w:type="paragraph" w:styleId="ListNumber3">
    <w:name w:val="List Number 3"/>
    <w:basedOn w:val="List3"/>
    <w:rsid w:val="001D7B22"/>
    <w:pPr>
      <w:numPr>
        <w:numId w:val="5"/>
      </w:numPr>
    </w:pPr>
  </w:style>
  <w:style w:type="paragraph" w:styleId="ListNumber4">
    <w:name w:val="List Number 4"/>
    <w:basedOn w:val="List4"/>
    <w:rsid w:val="001D7B22"/>
    <w:pPr>
      <w:numPr>
        <w:numId w:val="6"/>
      </w:numPr>
    </w:pPr>
  </w:style>
  <w:style w:type="paragraph" w:styleId="ListNumber5">
    <w:name w:val="List Number 5"/>
    <w:basedOn w:val="List5"/>
    <w:rsid w:val="001D7B22"/>
    <w:pPr>
      <w:numPr>
        <w:numId w:val="7"/>
      </w:numPr>
    </w:pPr>
  </w:style>
  <w:style w:type="paragraph" w:styleId="BlockText">
    <w:name w:val="Block Text"/>
    <w:basedOn w:val="Normal"/>
    <w:rsid w:val="001D7B2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D7B2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D7B22"/>
    <w:rPr>
      <w:sz w:val="16"/>
      <w:vertAlign w:val="superscript"/>
    </w:rPr>
  </w:style>
  <w:style w:type="character" w:customStyle="1" w:styleId="Symbols">
    <w:name w:val="Symbols"/>
    <w:basedOn w:val="DefaultParagraphFont"/>
    <w:rsid w:val="001D7B22"/>
    <w:rPr>
      <w:rFonts w:ascii="Symbol" w:hAnsi="Symbol"/>
    </w:rPr>
  </w:style>
  <w:style w:type="character" w:customStyle="1" w:styleId="MenuOptions">
    <w:name w:val="Menu Options"/>
    <w:basedOn w:val="DefaultParagraphFont"/>
    <w:rsid w:val="001D7B2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D7B22"/>
    <w:rPr>
      <w:b/>
    </w:rPr>
  </w:style>
  <w:style w:type="character" w:customStyle="1" w:styleId="Underlined">
    <w:name w:val="Underlined"/>
    <w:basedOn w:val="DefaultParagraphFont"/>
    <w:rsid w:val="001D7B22"/>
    <w:rPr>
      <w:u w:val="single"/>
    </w:rPr>
  </w:style>
  <w:style w:type="paragraph" w:customStyle="1" w:styleId="TableBodyTextRight">
    <w:name w:val="Table Body Text Right"/>
    <w:basedOn w:val="TableBodyText"/>
    <w:rsid w:val="001D7B2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D7B22"/>
    <w:rPr>
      <w:sz w:val="18"/>
    </w:rPr>
  </w:style>
  <w:style w:type="paragraph" w:customStyle="1" w:styleId="BodySmallRight">
    <w:name w:val="Body Small Right"/>
    <w:basedOn w:val="BodyTextRight"/>
    <w:rsid w:val="001D7B22"/>
    <w:rPr>
      <w:sz w:val="18"/>
      <w:szCs w:val="18"/>
    </w:rPr>
  </w:style>
  <w:style w:type="paragraph" w:customStyle="1" w:styleId="MarginEdition">
    <w:name w:val="Margin Edition"/>
    <w:basedOn w:val="MarginNote"/>
    <w:rsid w:val="001D7B2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D7B22"/>
    <w:rPr>
      <w:sz w:val="2"/>
      <w:szCs w:val="2"/>
    </w:rPr>
  </w:style>
  <w:style w:type="character" w:customStyle="1" w:styleId="Small">
    <w:name w:val="Small"/>
    <w:basedOn w:val="DefaultParagraphFont"/>
    <w:rsid w:val="001D7B22"/>
    <w:rPr>
      <w:sz w:val="16"/>
    </w:rPr>
  </w:style>
  <w:style w:type="paragraph" w:customStyle="1" w:styleId="WideTable">
    <w:name w:val="Wide Table"/>
    <w:basedOn w:val="Normal"/>
    <w:rsid w:val="001D7B2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D7B22"/>
  </w:style>
  <w:style w:type="paragraph" w:styleId="Quote">
    <w:name w:val="Quote"/>
    <w:basedOn w:val="Heading1"/>
    <w:link w:val="QuoteChar"/>
    <w:qFormat/>
    <w:rsid w:val="001D7B2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D7B2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D7B22"/>
    <w:pPr>
      <w:pageBreakBefore/>
    </w:pPr>
  </w:style>
  <w:style w:type="paragraph" w:customStyle="1" w:styleId="Border">
    <w:name w:val="Border"/>
    <w:basedOn w:val="Normal"/>
    <w:qFormat/>
    <w:rsid w:val="001D7B2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D7B2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7B2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7B2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D7B2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D7B2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D7B2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D7B2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D7B2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D7B22"/>
    <w:rPr>
      <w:u w:val="single"/>
    </w:rPr>
  </w:style>
  <w:style w:type="character" w:customStyle="1" w:styleId="BoldandItalics">
    <w:name w:val="Bold and Italics"/>
    <w:qFormat/>
    <w:rsid w:val="001D7B22"/>
    <w:rPr>
      <w:b/>
      <w:i/>
      <w:u w:val="none"/>
    </w:rPr>
  </w:style>
  <w:style w:type="paragraph" w:styleId="BalloonText">
    <w:name w:val="Balloon Text"/>
    <w:basedOn w:val="Normal"/>
    <w:link w:val="BalloonTextChar"/>
    <w:rsid w:val="001D7B2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D7B2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D7B2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D7B2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D7B2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D7B2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D7B22"/>
    <w:pPr>
      <w:spacing w:before="0" w:after="0"/>
    </w:pPr>
  </w:style>
  <w:style w:type="paragraph" w:customStyle="1" w:styleId="BodyTextBold">
    <w:name w:val="Body Text Bold"/>
    <w:basedOn w:val="BodyText"/>
    <w:qFormat/>
    <w:rsid w:val="001D7B22"/>
    <w:rPr>
      <w:b/>
    </w:rPr>
  </w:style>
  <w:style w:type="character" w:styleId="Hyperlink">
    <w:name w:val="Hyperlink"/>
    <w:basedOn w:val="DefaultParagraphFont"/>
    <w:uiPriority w:val="99"/>
    <w:unhideWhenUsed/>
    <w:rsid w:val="000F1FE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535</Words>
  <Characters>3667</Characters>
  <Application>Microsoft Office Word</Application>
  <DocSecurity>0</DocSecurity>
  <Lines>87</Lines>
  <Paragraphs>66</Paragraphs>
  <ScaleCrop>false</ScaleCrop>
  <Company>Author-it Software Corporation Ltd.</Company>
  <LinksUpToDate>false</LinksUpToDate>
  <CharactersWithSpaces>4136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FNSSUP420 Establish and administer retirement income streams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2022-11-03T07:35:00Z</dcterms:created>
  <dcterms:modified xsi:type="dcterms:W3CDTF">2022-11-03T07:35:00Z</dcterms:modified>
</cp:coreProperties>
</file>