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00F4" w:rsidP="00CB00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FNSSUP402 Assist in meeting superannuation compliance requirements</w:t>
      </w:r>
      <w:r>
        <w:fldChar w:fldCharType="end"/>
      </w:r>
    </w:p>
    <w:p w:rsidR="00CB00F4" w:rsidP="00CB00F4">
      <w:pPr>
        <w:pStyle w:val="Version"/>
        <w:sectPr w:rsidSect="00C865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65A8" w:rsidP="00C865A8">
      <w:pPr>
        <w:pStyle w:val="SuperHeading"/>
      </w:pPr>
      <w:r w:rsidRPr="00C865A8">
        <w:t>Assessment Requirements for FNSSUP402 Assist in meeting superannuation compliance requirements</w:t>
      </w:r>
    </w:p>
    <w:p w:rsidR="00000000" w:rsidRPr="00C865A8" w:rsidP="00C865A8">
      <w:pPr>
        <w:pStyle w:val="Heading1"/>
      </w:pPr>
      <w:bookmarkStart w:id="1" w:name="O_707045"/>
      <w:bookmarkEnd w:id="1"/>
      <w:r w:rsidRPr="00C865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86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5A8" w:rsidP="00C865A8">
            <w:pPr>
              <w:pStyle w:val="BodyText"/>
            </w:pPr>
            <w:r w:rsidRPr="00C865A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A8">
            <w:pPr>
              <w:pStyle w:val="BodyText"/>
              <w:rPr>
                <w:lang w:val="en-NZ"/>
              </w:rPr>
            </w:pPr>
            <w:r w:rsidRPr="00C865A8">
              <w:rPr>
                <w:rStyle w:val="SpecialBold"/>
              </w:rPr>
              <w:t>Comments</w:t>
            </w:r>
          </w:p>
        </w:tc>
      </w:tr>
      <w:tr w:rsidTr="00C86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5A8">
            <w:pPr>
              <w:pStyle w:val="BodyText"/>
              <w:rPr>
                <w:lang w:val="en-NZ"/>
              </w:rPr>
            </w:pPr>
            <w:r w:rsidRPr="00C865A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5A8" w:rsidP="00C865A8">
            <w:pPr>
              <w:pStyle w:val="BodyText"/>
            </w:pPr>
            <w:r w:rsidRPr="00C865A8">
              <w:t>This version first released with FNS Financial Services Training Package Version 1.0.</w:t>
            </w:r>
          </w:p>
        </w:tc>
      </w:tr>
    </w:tbl>
    <w:p w:rsidR="00000000" w:rsidRPr="00C865A8" w:rsidP="00C865A8">
      <w:pPr>
        <w:pStyle w:val="BodyText"/>
      </w:pPr>
    </w:p>
    <w:p w:rsidR="00000000" w:rsidRPr="00C865A8" w:rsidP="00C865A8">
      <w:pPr>
        <w:pStyle w:val="AllowPageBreak"/>
      </w:pPr>
    </w:p>
    <w:p w:rsidR="00000000" w:rsidRPr="00C865A8" w:rsidP="00C865A8">
      <w:pPr>
        <w:pStyle w:val="Heading1"/>
      </w:pPr>
      <w:bookmarkStart w:id="2" w:name="O_707046"/>
      <w:bookmarkEnd w:id="2"/>
      <w:r w:rsidRPr="00C865A8">
        <w:t>Performance Evidence</w:t>
      </w:r>
    </w:p>
    <w:p w:rsidR="00000000" w:rsidRPr="00C865A8" w:rsidP="00CB00F4">
      <w:pPr>
        <w:pStyle w:val="BodyText"/>
      </w:pPr>
      <w:r w:rsidRPr="00C865A8">
        <w:t>Evidence of the ability to:</w:t>
      </w:r>
    </w:p>
    <w:p w:rsidR="00000000" w:rsidRPr="00C865A8" w:rsidP="00C865A8">
      <w:pPr>
        <w:pStyle w:val="ListBullet"/>
      </w:pPr>
      <w:r w:rsidRPr="00C865A8">
        <w:t>provide support to ensure compliance requirements</w:t>
      </w:r>
    </w:p>
    <w:p w:rsidR="00000000" w:rsidRPr="00C865A8" w:rsidP="00C865A8">
      <w:pPr>
        <w:pStyle w:val="ListBullet"/>
      </w:pPr>
      <w:r w:rsidRPr="00C865A8">
        <w:t>prepare documentation according to compliance requirements</w:t>
      </w:r>
    </w:p>
    <w:p w:rsidR="00000000" w:rsidRPr="00C865A8" w:rsidP="00C865A8">
      <w:pPr>
        <w:pStyle w:val="ListBullet"/>
      </w:pPr>
      <w:r w:rsidRPr="00C865A8">
        <w:t>prepare member communications according to compliance requirements and informatio</w:t>
      </w:r>
      <w:r w:rsidRPr="00C865A8">
        <w:t>n for statutory returns</w:t>
      </w:r>
    </w:p>
    <w:p w:rsidR="00000000" w:rsidRPr="00C865A8" w:rsidP="00C865A8">
      <w:pPr>
        <w:pStyle w:val="ListBullet"/>
      </w:pPr>
      <w:r w:rsidRPr="00C865A8">
        <w:t>implement quality assurance practices including integration of new compliance requirements and processing checks.</w:t>
      </w:r>
    </w:p>
    <w:p w:rsidR="00000000" w:rsidRPr="00C865A8" w:rsidP="00C865A8">
      <w:pPr>
        <w:pStyle w:val="BodyText"/>
      </w:pPr>
    </w:p>
    <w:p w:rsidR="00000000" w:rsidRPr="00C865A8" w:rsidP="00CB00F4">
      <w:pPr>
        <w:pStyle w:val="BodyText"/>
      </w:pPr>
      <w:r w:rsidRPr="00C865A8">
        <w:t>Note: If a specific volume or frequency is not stated, then evidence must be provided at least once.</w:t>
      </w:r>
    </w:p>
    <w:p w:rsidR="00000000" w:rsidRPr="00C865A8" w:rsidP="00C865A8">
      <w:pPr>
        <w:pStyle w:val="Heading1"/>
      </w:pPr>
      <w:bookmarkStart w:id="3" w:name="O_707047"/>
      <w:bookmarkEnd w:id="3"/>
      <w:r w:rsidRPr="00C865A8">
        <w:t>Knowledge Evidence</w:t>
      </w:r>
    </w:p>
    <w:p w:rsidR="00000000" w:rsidRPr="00C865A8" w:rsidP="00CB00F4">
      <w:pPr>
        <w:pStyle w:val="BodyText"/>
      </w:pPr>
      <w:r w:rsidRPr="00C865A8">
        <w:t>To complete the unit requirements safely and effectively, the individual must:</w:t>
      </w:r>
    </w:p>
    <w:p w:rsidR="00000000" w:rsidRPr="00C865A8" w:rsidP="00C865A8">
      <w:pPr>
        <w:pStyle w:val="ListBullet"/>
      </w:pPr>
      <w:r w:rsidRPr="00C865A8">
        <w:t>identify key compliance requirements of legislation and regulations relating to:</w:t>
      </w:r>
    </w:p>
    <w:p w:rsidR="00000000" w:rsidRPr="00C865A8" w:rsidP="00C865A8">
      <w:pPr>
        <w:pStyle w:val="ListBullet2"/>
      </w:pPr>
      <w:r w:rsidRPr="00C865A8">
        <w:t>superannuation industry</w:t>
      </w:r>
    </w:p>
    <w:p w:rsidR="00000000" w:rsidRPr="00C865A8" w:rsidP="00C865A8">
      <w:pPr>
        <w:pStyle w:val="ListBullet2"/>
      </w:pPr>
      <w:r w:rsidRPr="00C865A8">
        <w:t>taxation</w:t>
      </w:r>
    </w:p>
    <w:p w:rsidR="00000000" w:rsidRPr="00C865A8" w:rsidP="00C865A8">
      <w:pPr>
        <w:pStyle w:val="ListBullet2"/>
      </w:pPr>
      <w:r w:rsidRPr="00C865A8">
        <w:t>privacy</w:t>
      </w:r>
    </w:p>
    <w:p w:rsidR="00000000" w:rsidRPr="00C865A8" w:rsidP="00C865A8">
      <w:pPr>
        <w:pStyle w:val="ListBullet2"/>
      </w:pPr>
      <w:r w:rsidRPr="00C865A8">
        <w:t>Australian Prudential Regu</w:t>
      </w:r>
      <w:r w:rsidRPr="00C865A8">
        <w:t>lation Authority (APRA) Prudential Standards</w:t>
      </w:r>
    </w:p>
    <w:p w:rsidR="00000000" w:rsidRPr="00C865A8" w:rsidP="00C865A8">
      <w:pPr>
        <w:pStyle w:val="ListBullet2"/>
      </w:pPr>
      <w:r w:rsidRPr="00C865A8">
        <w:t>corporations</w:t>
      </w:r>
    </w:p>
    <w:p w:rsidR="00000000" w:rsidRPr="00C865A8" w:rsidP="00C865A8">
      <w:pPr>
        <w:pStyle w:val="ListBullet2"/>
      </w:pPr>
      <w:r w:rsidRPr="00C865A8">
        <w:t>other relevant legislation</w:t>
      </w:r>
    </w:p>
    <w:p w:rsidR="00000000" w:rsidRPr="00C865A8" w:rsidP="00C865A8">
      <w:pPr>
        <w:pStyle w:val="ListBullet"/>
      </w:pPr>
      <w:r w:rsidRPr="00C865A8">
        <w:t>describe the roles of compliance regulatory bodies</w:t>
      </w:r>
    </w:p>
    <w:p w:rsidR="00000000" w:rsidRPr="00C865A8" w:rsidP="00C865A8">
      <w:pPr>
        <w:pStyle w:val="ListBullet"/>
      </w:pPr>
      <w:r w:rsidRPr="00C865A8">
        <w:t>describe the key features, compliance and reporting requirements for the Australian Taxation Office (ATO), APRA, Austra</w:t>
      </w:r>
      <w:r w:rsidRPr="00C865A8">
        <w:t>lian Transaction Reports and Analysis Centre (AUSTRAC) and Australian Securities and Investments Commission (ASIC), including timeframe requirements for compliance reports and the lodgement of statutory reports</w:t>
      </w:r>
    </w:p>
    <w:p w:rsidR="00000000" w:rsidRPr="00C865A8" w:rsidP="00C865A8">
      <w:pPr>
        <w:pStyle w:val="ListBullet"/>
      </w:pPr>
      <w:r w:rsidRPr="00C865A8">
        <w:t>explain the key compliance responsibilities for fund administrators and consequences of non-compliance</w:t>
      </w:r>
    </w:p>
    <w:p w:rsidR="00000000" w:rsidRPr="00C865A8" w:rsidP="00C865A8">
      <w:pPr>
        <w:pStyle w:val="ListBullet"/>
      </w:pPr>
      <w:r w:rsidRPr="00C865A8">
        <w:t>outline the key features and obligations of trusts</w:t>
      </w:r>
    </w:p>
    <w:p w:rsidR="00000000" w:rsidRPr="00C865A8" w:rsidP="00C865A8">
      <w:pPr>
        <w:pStyle w:val="ListBullet"/>
      </w:pPr>
      <w:r w:rsidRPr="00C865A8">
        <w:t>explain the legal implications of trust deeds and contracts</w:t>
      </w:r>
    </w:p>
    <w:p w:rsidR="00000000" w:rsidRPr="00C865A8" w:rsidP="00C865A8">
      <w:pPr>
        <w:pStyle w:val="ListBullet"/>
      </w:pPr>
      <w:r w:rsidRPr="00C865A8">
        <w:t>explain the relationship between duties, r</w:t>
      </w:r>
      <w:r w:rsidRPr="00C865A8">
        <w:t>ights, powers, liabilities and remedies</w:t>
      </w:r>
    </w:p>
    <w:p w:rsidR="00000000" w:rsidRPr="00C865A8" w:rsidP="00C865A8">
      <w:pPr>
        <w:pStyle w:val="ListBullet"/>
      </w:pPr>
      <w:r w:rsidRPr="00C865A8">
        <w:t>outline the key role, rights and responsibilities of trustees in compliance</w:t>
      </w:r>
    </w:p>
    <w:p w:rsidR="00000000" w:rsidRPr="00C865A8" w:rsidP="00C865A8">
      <w:pPr>
        <w:pStyle w:val="ListBullet"/>
      </w:pPr>
      <w:r w:rsidRPr="00C865A8">
        <w:t>outline circumstances in which advice should be sought</w:t>
      </w:r>
    </w:p>
    <w:p w:rsidR="00000000" w:rsidRPr="00C865A8" w:rsidP="00C865A8">
      <w:pPr>
        <w:pStyle w:val="ListBullet"/>
      </w:pPr>
      <w:r w:rsidRPr="00C865A8">
        <w:t>explain the relationship between the actuary or auditor and trustee under superannuat</w:t>
      </w:r>
      <w:r w:rsidRPr="00C865A8">
        <w:t>ion legislation</w:t>
      </w:r>
    </w:p>
    <w:p w:rsidR="00000000" w:rsidRPr="00C865A8" w:rsidP="00C865A8">
      <w:pPr>
        <w:pStyle w:val="ListBullet"/>
      </w:pPr>
      <w:r w:rsidRPr="00C865A8">
        <w:t>explain the requirements and procedures for preparing statutory reports and taxation returns</w:t>
      </w:r>
    </w:p>
    <w:p w:rsidR="00000000" w:rsidRPr="00C865A8" w:rsidP="00C865A8">
      <w:pPr>
        <w:pStyle w:val="ListBullet"/>
      </w:pPr>
      <w:r w:rsidRPr="00C865A8">
        <w:t>outline the procedures for obtaining information on financial transactions, lost member records, contributions and benefits</w:t>
      </w:r>
    </w:p>
    <w:p w:rsidR="00000000" w:rsidRPr="00C865A8" w:rsidP="00C865A8">
      <w:pPr>
        <w:pStyle w:val="ListBullet"/>
      </w:pPr>
      <w:r w:rsidRPr="00C865A8">
        <w:t>outline the consequence</w:t>
      </w:r>
      <w:r w:rsidRPr="00C865A8">
        <w:t>s of incorrect processing of contributions or benefits and other member information</w:t>
      </w:r>
    </w:p>
    <w:p w:rsidR="00000000" w:rsidRPr="00C865A8" w:rsidP="00C865A8">
      <w:pPr>
        <w:pStyle w:val="ListBullet"/>
      </w:pPr>
      <w:r w:rsidRPr="00C865A8">
        <w:t>discuss fraud deterrence practices.</w:t>
      </w:r>
    </w:p>
    <w:p w:rsidR="00000000" w:rsidRPr="00C865A8" w:rsidP="00C865A8">
      <w:pPr>
        <w:pStyle w:val="AllowPageBreak"/>
      </w:pPr>
    </w:p>
    <w:p w:rsidR="00000000" w:rsidRPr="00C865A8" w:rsidP="00C865A8">
      <w:pPr>
        <w:pStyle w:val="Heading1"/>
      </w:pPr>
      <w:bookmarkStart w:id="4" w:name="O_707048"/>
      <w:bookmarkEnd w:id="4"/>
      <w:r w:rsidRPr="00C865A8">
        <w:t>Assessment Conditions</w:t>
      </w:r>
    </w:p>
    <w:p w:rsidR="00000000" w:rsidRPr="00C865A8" w:rsidP="00CB00F4">
      <w:pPr>
        <w:pStyle w:val="BodyText"/>
      </w:pPr>
      <w:r w:rsidRPr="00C865A8">
        <w:t>Assessment must be conducted in a safe environment where evidence gathered demonstrates consisten</w:t>
      </w:r>
      <w:r w:rsidRPr="00C865A8">
        <w:t>t performance of typical activities experienced in the superannuation field of work and include access to:</w:t>
      </w:r>
    </w:p>
    <w:p w:rsidR="00000000" w:rsidRPr="00C865A8" w:rsidP="00C865A8">
      <w:pPr>
        <w:pStyle w:val="ListBullet"/>
      </w:pPr>
      <w:r w:rsidRPr="00C865A8">
        <w:t>common office equipment, technology, software and consumables</w:t>
      </w:r>
    </w:p>
    <w:p w:rsidR="00000000" w:rsidRPr="00C865A8" w:rsidP="00C865A8">
      <w:pPr>
        <w:pStyle w:val="ListBullet"/>
      </w:pPr>
      <w:r w:rsidRPr="00C865A8">
        <w:t>organisational financial records</w:t>
      </w:r>
    </w:p>
    <w:p w:rsidR="00000000" w:rsidRPr="00C865A8" w:rsidP="00C865A8">
      <w:pPr>
        <w:pStyle w:val="ListBullet"/>
      </w:pPr>
      <w:r w:rsidRPr="00C865A8">
        <w:t>organisational policy and procedures.</w:t>
      </w:r>
    </w:p>
    <w:p w:rsidR="00000000" w:rsidRPr="00C865A8" w:rsidP="00C865A8">
      <w:pPr>
        <w:pStyle w:val="BodyText"/>
      </w:pPr>
    </w:p>
    <w:p w:rsidR="00000000" w:rsidRPr="00C865A8" w:rsidP="00CB00F4">
      <w:pPr>
        <w:pStyle w:val="BodyText"/>
      </w:pPr>
      <w:r w:rsidRPr="00C865A8">
        <w:t>Assessors must</w:t>
      </w:r>
      <w:r w:rsidRPr="00C865A8">
        <w:t xml:space="preserve"> satisfy NVR/AQTF assessor requirements.</w:t>
      </w:r>
    </w:p>
    <w:p w:rsidR="00000000" w:rsidRPr="00C865A8" w:rsidP="00C865A8">
      <w:pPr>
        <w:pStyle w:val="Heading1"/>
      </w:pPr>
      <w:bookmarkStart w:id="5" w:name="O_707051"/>
      <w:bookmarkEnd w:id="5"/>
      <w:r w:rsidRPr="00C865A8">
        <w:t>Links</w:t>
      </w:r>
    </w:p>
    <w:p w:rsidR="00000000" w:rsidRPr="00C865A8" w:rsidP="00CB00F4">
      <w:pPr>
        <w:pStyle w:val="BodyText"/>
      </w:pPr>
      <w:r w:rsidRPr="00C865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01E9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865A8" w:rsidP="00C865A8"/>
    <w:sectPr w:rsidSect="00C865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5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5A8" w:rsidRPr="00CB00F4" w:rsidP="00CB00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5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0F4" w:rsidP="00C865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00F4" w:rsidP="00C865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00F4" w:rsidP="00C865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5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0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65A8" w:rsidRPr="00CB00F4" w:rsidP="00CB00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5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0F4" w:rsidRPr="002D2AF8" w:rsidP="00C865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FNSSUP402 Assist in meeting superannuation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CB00F4" w:rsidP="00C865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DCA4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F630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0A92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5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65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65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65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65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65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65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65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65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65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65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65A8"/>
  </w:style>
  <w:style w:type="character" w:customStyle="1" w:styleId="Heading1Char">
    <w:name w:val="Heading 1 Char"/>
    <w:basedOn w:val="DefaultParagraphFont"/>
    <w:link w:val="Heading1"/>
    <w:rsid w:val="00C865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65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65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65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65A8"/>
    <w:rPr>
      <w:b/>
      <w:spacing w:val="0"/>
    </w:rPr>
  </w:style>
  <w:style w:type="paragraph" w:styleId="ListBullet2">
    <w:name w:val="List Bullet 2"/>
    <w:basedOn w:val="List2"/>
    <w:rsid w:val="00C865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65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65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65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65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65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6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6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6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6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65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65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65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65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65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65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65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65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65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65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65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65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65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65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65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65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65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65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65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65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65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65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65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65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65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65A8"/>
    <w:rPr>
      <w:i/>
    </w:rPr>
  </w:style>
  <w:style w:type="paragraph" w:styleId="Caption">
    <w:name w:val="caption"/>
    <w:basedOn w:val="BodyText"/>
    <w:next w:val="Normal"/>
    <w:qFormat/>
    <w:rsid w:val="00C865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65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65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65A8"/>
  </w:style>
  <w:style w:type="paragraph" w:styleId="TableofFigures">
    <w:name w:val="table of figures"/>
    <w:basedOn w:val="Normal"/>
    <w:next w:val="Normal"/>
    <w:semiHidden/>
    <w:rsid w:val="00C865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65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65A8"/>
    <w:rPr>
      <w:rFonts w:ascii="Wingdings" w:hAnsi="Wingdings"/>
    </w:rPr>
  </w:style>
  <w:style w:type="paragraph" w:customStyle="1" w:styleId="TableHeading">
    <w:name w:val="Table Heading"/>
    <w:basedOn w:val="HeadingBase"/>
    <w:rsid w:val="00C865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65A8"/>
    <w:rPr>
      <w:color w:val="0033CC"/>
      <w:u w:val="none"/>
    </w:rPr>
  </w:style>
  <w:style w:type="paragraph" w:customStyle="1" w:styleId="BodyTextRight">
    <w:name w:val="Body Text Right"/>
    <w:basedOn w:val="BodyText"/>
    <w:rsid w:val="00C865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65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65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65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65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65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65A8"/>
    <w:rPr>
      <w:sz w:val="32"/>
    </w:rPr>
  </w:style>
  <w:style w:type="paragraph" w:customStyle="1" w:styleId="HeadingProcedure">
    <w:name w:val="Heading Procedure"/>
    <w:basedOn w:val="HeadingBase"/>
    <w:next w:val="Normal"/>
    <w:rsid w:val="00C865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65A8"/>
    <w:pPr>
      <w:spacing w:before="60" w:after="60"/>
    </w:pPr>
  </w:style>
  <w:style w:type="paragraph" w:styleId="ListContinue">
    <w:name w:val="List Continue"/>
    <w:basedOn w:val="List"/>
    <w:rsid w:val="00C865A8"/>
    <w:pPr>
      <w:ind w:firstLine="0"/>
    </w:pPr>
  </w:style>
  <w:style w:type="paragraph" w:customStyle="1" w:styleId="ListNote">
    <w:name w:val="List Note"/>
    <w:basedOn w:val="List"/>
    <w:rsid w:val="00C865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65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65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65A8"/>
    <w:rPr>
      <w:rFonts w:ascii="Courier New" w:hAnsi="Courier New"/>
    </w:rPr>
  </w:style>
  <w:style w:type="paragraph" w:customStyle="1" w:styleId="NoteBullet">
    <w:name w:val="Note Bullet"/>
    <w:basedOn w:val="Note"/>
    <w:rsid w:val="00C865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65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65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65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65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65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65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65A8"/>
    <w:rPr>
      <w:b/>
      <w:smallCaps/>
    </w:rPr>
  </w:style>
  <w:style w:type="paragraph" w:customStyle="1" w:styleId="TableListNumber">
    <w:name w:val="Table List Number"/>
    <w:basedOn w:val="ListNumber"/>
    <w:rsid w:val="00C865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65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65A8"/>
    <w:pPr>
      <w:numPr>
        <w:numId w:val="9"/>
      </w:numPr>
    </w:pPr>
  </w:style>
  <w:style w:type="paragraph" w:customStyle="1" w:styleId="ListAlpha2">
    <w:name w:val="List Alpha 2"/>
    <w:basedOn w:val="List2"/>
    <w:rsid w:val="00C865A8"/>
    <w:pPr>
      <w:numPr>
        <w:numId w:val="8"/>
      </w:numPr>
    </w:pPr>
  </w:style>
  <w:style w:type="paragraph" w:styleId="List2">
    <w:name w:val="List 2"/>
    <w:basedOn w:val="BodyText"/>
    <w:rsid w:val="00C865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65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65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65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65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65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65A8"/>
    <w:pPr>
      <w:numPr>
        <w:numId w:val="4"/>
      </w:numPr>
    </w:pPr>
  </w:style>
  <w:style w:type="paragraph" w:styleId="ListContinue2">
    <w:name w:val="List Continue 2"/>
    <w:basedOn w:val="List2"/>
    <w:rsid w:val="00C865A8"/>
    <w:pPr>
      <w:ind w:firstLine="0"/>
    </w:pPr>
  </w:style>
  <w:style w:type="paragraph" w:styleId="ListContinue3">
    <w:name w:val="List Continue 3"/>
    <w:basedOn w:val="List3"/>
    <w:rsid w:val="00C865A8"/>
    <w:pPr>
      <w:ind w:left="1021" w:firstLine="0"/>
    </w:pPr>
  </w:style>
  <w:style w:type="paragraph" w:styleId="ListContinue4">
    <w:name w:val="List Continue 4"/>
    <w:basedOn w:val="List4"/>
    <w:rsid w:val="00C865A8"/>
    <w:pPr>
      <w:ind w:firstLine="0"/>
    </w:pPr>
  </w:style>
  <w:style w:type="paragraph" w:styleId="ListContinue5">
    <w:name w:val="List Continue 5"/>
    <w:basedOn w:val="List5"/>
    <w:rsid w:val="00C865A8"/>
    <w:pPr>
      <w:ind w:firstLine="0"/>
    </w:pPr>
  </w:style>
  <w:style w:type="paragraph" w:styleId="ListNumber3">
    <w:name w:val="List Number 3"/>
    <w:basedOn w:val="List3"/>
    <w:rsid w:val="00C865A8"/>
    <w:pPr>
      <w:numPr>
        <w:numId w:val="5"/>
      </w:numPr>
    </w:pPr>
  </w:style>
  <w:style w:type="paragraph" w:styleId="ListNumber4">
    <w:name w:val="List Number 4"/>
    <w:basedOn w:val="List4"/>
    <w:rsid w:val="00C865A8"/>
    <w:pPr>
      <w:numPr>
        <w:numId w:val="6"/>
      </w:numPr>
    </w:pPr>
  </w:style>
  <w:style w:type="paragraph" w:styleId="ListNumber5">
    <w:name w:val="List Number 5"/>
    <w:basedOn w:val="List5"/>
    <w:rsid w:val="00C865A8"/>
    <w:pPr>
      <w:numPr>
        <w:numId w:val="7"/>
      </w:numPr>
    </w:pPr>
  </w:style>
  <w:style w:type="paragraph" w:styleId="BlockText">
    <w:name w:val="Block Text"/>
    <w:basedOn w:val="Normal"/>
    <w:rsid w:val="00C865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65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65A8"/>
    <w:rPr>
      <w:sz w:val="16"/>
      <w:vertAlign w:val="superscript"/>
    </w:rPr>
  </w:style>
  <w:style w:type="character" w:customStyle="1" w:styleId="Symbols">
    <w:name w:val="Symbols"/>
    <w:basedOn w:val="DefaultParagraphFont"/>
    <w:rsid w:val="00C865A8"/>
    <w:rPr>
      <w:rFonts w:ascii="Symbol" w:hAnsi="Symbol"/>
    </w:rPr>
  </w:style>
  <w:style w:type="character" w:customStyle="1" w:styleId="MenuOptions">
    <w:name w:val="Menu Options"/>
    <w:basedOn w:val="DefaultParagraphFont"/>
    <w:rsid w:val="00C865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65A8"/>
    <w:rPr>
      <w:b/>
    </w:rPr>
  </w:style>
  <w:style w:type="character" w:customStyle="1" w:styleId="Underlined">
    <w:name w:val="Underlined"/>
    <w:basedOn w:val="DefaultParagraphFont"/>
    <w:rsid w:val="00C865A8"/>
    <w:rPr>
      <w:u w:val="single"/>
    </w:rPr>
  </w:style>
  <w:style w:type="paragraph" w:customStyle="1" w:styleId="TableBodyTextRight">
    <w:name w:val="Table Body Text Right"/>
    <w:basedOn w:val="TableBodyText"/>
    <w:rsid w:val="00C865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65A8"/>
    <w:rPr>
      <w:sz w:val="18"/>
    </w:rPr>
  </w:style>
  <w:style w:type="paragraph" w:customStyle="1" w:styleId="BodySmallRight">
    <w:name w:val="Body Small Right"/>
    <w:basedOn w:val="BodyTextRight"/>
    <w:rsid w:val="00C865A8"/>
    <w:rPr>
      <w:sz w:val="18"/>
      <w:szCs w:val="18"/>
    </w:rPr>
  </w:style>
  <w:style w:type="paragraph" w:customStyle="1" w:styleId="MarginEdition">
    <w:name w:val="Margin Edition"/>
    <w:basedOn w:val="MarginNote"/>
    <w:rsid w:val="00C865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65A8"/>
    <w:rPr>
      <w:sz w:val="2"/>
      <w:szCs w:val="2"/>
    </w:rPr>
  </w:style>
  <w:style w:type="character" w:customStyle="1" w:styleId="Small">
    <w:name w:val="Small"/>
    <w:basedOn w:val="DefaultParagraphFont"/>
    <w:rsid w:val="00C865A8"/>
    <w:rPr>
      <w:sz w:val="16"/>
    </w:rPr>
  </w:style>
  <w:style w:type="paragraph" w:customStyle="1" w:styleId="WideTable">
    <w:name w:val="Wide Table"/>
    <w:basedOn w:val="Normal"/>
    <w:rsid w:val="00C865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65A8"/>
  </w:style>
  <w:style w:type="paragraph" w:styleId="Quote">
    <w:name w:val="Quote"/>
    <w:basedOn w:val="Heading1"/>
    <w:link w:val="QuoteChar"/>
    <w:qFormat/>
    <w:rsid w:val="00C865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65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65A8"/>
    <w:pPr>
      <w:pageBreakBefore/>
    </w:pPr>
  </w:style>
  <w:style w:type="paragraph" w:customStyle="1" w:styleId="Border">
    <w:name w:val="Border"/>
    <w:basedOn w:val="Normal"/>
    <w:qFormat/>
    <w:rsid w:val="00C865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65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5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5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65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65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65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65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65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65A8"/>
    <w:rPr>
      <w:u w:val="single"/>
    </w:rPr>
  </w:style>
  <w:style w:type="character" w:customStyle="1" w:styleId="BoldandItalics">
    <w:name w:val="Bold and Italics"/>
    <w:qFormat/>
    <w:rsid w:val="00C865A8"/>
    <w:rPr>
      <w:b/>
      <w:i/>
      <w:u w:val="none"/>
    </w:rPr>
  </w:style>
  <w:style w:type="paragraph" w:styleId="BalloonText">
    <w:name w:val="Balloon Text"/>
    <w:basedOn w:val="Normal"/>
    <w:link w:val="BalloonTextChar"/>
    <w:rsid w:val="00C865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5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65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65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65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65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65A8"/>
    <w:pPr>
      <w:spacing w:before="0" w:after="0"/>
    </w:pPr>
  </w:style>
  <w:style w:type="paragraph" w:customStyle="1" w:styleId="BodyTextBold">
    <w:name w:val="Body Text Bold"/>
    <w:basedOn w:val="BodyText"/>
    <w:qFormat/>
    <w:rsid w:val="00C865A8"/>
    <w:rPr>
      <w:b/>
    </w:rPr>
  </w:style>
  <w:style w:type="character" w:styleId="Hyperlink">
    <w:name w:val="Hyperlink"/>
    <w:basedOn w:val="DefaultParagraphFont"/>
    <w:uiPriority w:val="99"/>
    <w:unhideWhenUsed/>
    <w:rsid w:val="00CB00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2774</Characters>
  <Application>Microsoft Office Word</Application>
  <DocSecurity>0</DocSecurity>
  <Lines>74</Lines>
  <Paragraphs>53</Paragraphs>
  <ScaleCrop>false</ScaleCrop>
  <Company>Author-it Software Corporation Ltd.</Company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FNSSUP402 Assist in meeting superannuation compliance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2020-06-30T16:32:00Z</dcterms:created>
  <dcterms:modified xsi:type="dcterms:W3CDTF">2020-06-30T16:32:00Z</dcterms:modified>
</cp:coreProperties>
</file>