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41DFD" w:rsidP="00E41DF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FNSSUP401 Process complex superannuation benefit or insurance claim</w:t>
      </w:r>
      <w:r>
        <w:fldChar w:fldCharType="end"/>
      </w:r>
    </w:p>
    <w:p w:rsidR="00E41DFD" w:rsidP="00E41DFD">
      <w:pPr>
        <w:pStyle w:val="Version"/>
        <w:sectPr w:rsidSect="006C3C7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C3C72" w:rsidP="006C3C72">
      <w:pPr>
        <w:pStyle w:val="SuperHeading"/>
      </w:pPr>
      <w:r w:rsidRPr="006C3C72">
        <w:t>Assessment Requirements for FNSSUP401 Process complex superannuation benefit or insurance claim</w:t>
      </w:r>
    </w:p>
    <w:p w:rsidR="00000000" w:rsidRPr="006C3C72" w:rsidP="006C3C72">
      <w:pPr>
        <w:pStyle w:val="Heading1"/>
      </w:pPr>
      <w:bookmarkStart w:id="1" w:name="O_707007"/>
      <w:bookmarkEnd w:id="1"/>
      <w:r w:rsidRPr="006C3C7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C3C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C72" w:rsidP="006C3C72">
            <w:pPr>
              <w:pStyle w:val="BodyText"/>
            </w:pPr>
            <w:r w:rsidRPr="006C3C7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C72">
            <w:pPr>
              <w:pStyle w:val="BodyText"/>
              <w:rPr>
                <w:lang w:val="en-NZ"/>
              </w:rPr>
            </w:pPr>
            <w:r w:rsidRPr="006C3C72">
              <w:rPr>
                <w:rStyle w:val="SpecialBold"/>
              </w:rPr>
              <w:t>Comments</w:t>
            </w:r>
          </w:p>
        </w:tc>
      </w:tr>
      <w:tr w:rsidTr="006C3C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C72">
            <w:pPr>
              <w:pStyle w:val="BodyText"/>
              <w:rPr>
                <w:lang w:val="en-NZ"/>
              </w:rPr>
            </w:pPr>
            <w:r w:rsidRPr="006C3C7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C72" w:rsidP="006C3C72">
            <w:pPr>
              <w:pStyle w:val="BodyText"/>
            </w:pPr>
            <w:r w:rsidRPr="006C3C72">
              <w:t>This version first released with FNS Financial Services Training Package Version 1.0.</w:t>
            </w:r>
          </w:p>
        </w:tc>
      </w:tr>
    </w:tbl>
    <w:p w:rsidR="00000000" w:rsidRPr="006C3C72" w:rsidP="006C3C72">
      <w:pPr>
        <w:pStyle w:val="BodyText"/>
      </w:pPr>
    </w:p>
    <w:p w:rsidR="00000000" w:rsidRPr="006C3C72" w:rsidP="006C3C72">
      <w:pPr>
        <w:pStyle w:val="AllowPageBreak"/>
      </w:pPr>
    </w:p>
    <w:p w:rsidR="00000000" w:rsidRPr="006C3C72" w:rsidP="006C3C72">
      <w:pPr>
        <w:pStyle w:val="Heading1"/>
      </w:pPr>
      <w:bookmarkStart w:id="2" w:name="O_707008"/>
      <w:bookmarkEnd w:id="2"/>
      <w:r w:rsidRPr="006C3C72">
        <w:t>Performance Evidence</w:t>
      </w:r>
    </w:p>
    <w:p w:rsidR="00000000" w:rsidRPr="006C3C72" w:rsidP="00E41DFD">
      <w:pPr>
        <w:pStyle w:val="BodyText"/>
      </w:pPr>
      <w:r w:rsidRPr="006C3C72">
        <w:t>Evidence of the ability to:</w:t>
      </w:r>
    </w:p>
    <w:p w:rsidR="00000000" w:rsidRPr="006C3C72" w:rsidP="006C3C72">
      <w:pPr>
        <w:pStyle w:val="ListBullet"/>
      </w:pPr>
      <w:r w:rsidRPr="006C3C72">
        <w:t>process complex superannuation or insurance claims in accordance with conditions contained in the trust deed and organisational requirements</w:t>
      </w:r>
    </w:p>
    <w:p w:rsidR="00000000" w:rsidRPr="006C3C72" w:rsidP="006C3C72">
      <w:pPr>
        <w:pStyle w:val="ListBullet"/>
      </w:pPr>
      <w:r w:rsidRPr="006C3C72">
        <w:t>manage applications and claim errors</w:t>
      </w:r>
    </w:p>
    <w:p w:rsidR="00000000" w:rsidRPr="006C3C72" w:rsidP="006C3C72">
      <w:pPr>
        <w:pStyle w:val="ListBullet"/>
      </w:pPr>
      <w:r w:rsidRPr="006C3C72">
        <w:t>identify, so</w:t>
      </w:r>
      <w:r w:rsidRPr="006C3C72">
        <w:t>urce and interpret required information to process benefits for lump sum payments, death claims and disablement claims</w:t>
      </w:r>
    </w:p>
    <w:p w:rsidR="00000000" w:rsidRPr="006C3C72" w:rsidP="006C3C72">
      <w:pPr>
        <w:pStyle w:val="ListBullet"/>
      </w:pPr>
      <w:r w:rsidRPr="006C3C72">
        <w:t>calculate payments including taxation requirements as required</w:t>
      </w:r>
    </w:p>
    <w:p w:rsidR="00000000" w:rsidRPr="006C3C72" w:rsidP="006C3C72">
      <w:pPr>
        <w:pStyle w:val="ListBullet"/>
      </w:pPr>
      <w:r w:rsidRPr="006C3C72">
        <w:t>assess and determine benefit entitlements for death and disablement claims using computer programs.</w:t>
      </w:r>
    </w:p>
    <w:p w:rsidR="00000000" w:rsidRPr="006C3C72" w:rsidP="006C3C72">
      <w:pPr>
        <w:pStyle w:val="BodyText"/>
      </w:pPr>
    </w:p>
    <w:p w:rsidR="00000000" w:rsidRPr="006C3C72" w:rsidP="00E41DFD">
      <w:pPr>
        <w:pStyle w:val="BodyText"/>
      </w:pPr>
      <w:r w:rsidRPr="006C3C72">
        <w:t>Note: If a specific volume or frequency is not stated, then evidence must be provided at least once.</w:t>
      </w:r>
    </w:p>
    <w:p w:rsidR="00000000" w:rsidRPr="006C3C72" w:rsidP="006C3C72">
      <w:pPr>
        <w:pStyle w:val="Heading1"/>
      </w:pPr>
      <w:bookmarkStart w:id="3" w:name="O_707009"/>
      <w:bookmarkEnd w:id="3"/>
      <w:r w:rsidRPr="006C3C72">
        <w:t>Knowledge Evidence</w:t>
      </w:r>
    </w:p>
    <w:p w:rsidR="00000000" w:rsidRPr="006C3C72" w:rsidP="00E41DFD">
      <w:pPr>
        <w:pStyle w:val="BodyText"/>
      </w:pPr>
      <w:r w:rsidRPr="006C3C72">
        <w:t>To complete the un</w:t>
      </w:r>
      <w:r w:rsidRPr="006C3C72">
        <w:t>it requirements safely and effectively, the individual must:</w:t>
      </w:r>
    </w:p>
    <w:p w:rsidR="00000000" w:rsidRPr="006C3C72" w:rsidP="006C3C72">
      <w:pPr>
        <w:pStyle w:val="ListBullet"/>
      </w:pPr>
      <w:r w:rsidRPr="006C3C72">
        <w:t>describe the key features of organisational policy, objectives and procedures relating to processing complex superannuation benefit or insurance claims</w:t>
      </w:r>
    </w:p>
    <w:p w:rsidR="00000000" w:rsidRPr="006C3C72" w:rsidP="006C3C72">
      <w:pPr>
        <w:pStyle w:val="ListBullet"/>
      </w:pPr>
      <w:r w:rsidRPr="006C3C72">
        <w:t xml:space="preserve">identify features and differences between </w:t>
      </w:r>
      <w:r w:rsidRPr="006C3C72">
        <w:t>payment types</w:t>
      </w:r>
    </w:p>
    <w:p w:rsidR="00000000" w:rsidRPr="006C3C72" w:rsidP="006C3C72">
      <w:pPr>
        <w:pStyle w:val="ListBullet"/>
      </w:pPr>
      <w:r w:rsidRPr="006C3C72">
        <w:t>describe documentation requirements for processing death and disability payments</w:t>
      </w:r>
    </w:p>
    <w:p w:rsidR="00000000" w:rsidRPr="006C3C72" w:rsidP="006C3C72">
      <w:pPr>
        <w:pStyle w:val="ListBullet"/>
      </w:pPr>
      <w:r w:rsidRPr="006C3C72">
        <w:t>outline the steps and procedures for:</w:t>
      </w:r>
    </w:p>
    <w:p w:rsidR="00000000" w:rsidRPr="006C3C72" w:rsidP="006C3C72">
      <w:pPr>
        <w:pStyle w:val="ListBullet2"/>
      </w:pPr>
      <w:r w:rsidRPr="006C3C72">
        <w:t>assessing claims and calculating and processing payments</w:t>
      </w:r>
    </w:p>
    <w:p w:rsidR="00000000" w:rsidRPr="006C3C72" w:rsidP="006C3C72">
      <w:pPr>
        <w:pStyle w:val="ListBullet2"/>
      </w:pPr>
      <w:r w:rsidRPr="006C3C72">
        <w:t>monitoring pension and annuity payments</w:t>
      </w:r>
    </w:p>
    <w:p w:rsidR="00000000" w:rsidRPr="006C3C72" w:rsidP="006C3C72">
      <w:pPr>
        <w:pStyle w:val="ListBullet"/>
      </w:pPr>
      <w:r w:rsidRPr="006C3C72">
        <w:t>outline the taxation req</w:t>
      </w:r>
      <w:r w:rsidRPr="006C3C72">
        <w:t>uirements for:</w:t>
      </w:r>
    </w:p>
    <w:p w:rsidR="00000000" w:rsidRPr="006C3C72" w:rsidP="006C3C72">
      <w:pPr>
        <w:pStyle w:val="ListBullet2"/>
      </w:pPr>
      <w:r w:rsidRPr="006C3C72">
        <w:t>death</w:t>
      </w:r>
    </w:p>
    <w:p w:rsidR="00000000" w:rsidRPr="006C3C72" w:rsidP="006C3C72">
      <w:pPr>
        <w:pStyle w:val="ListBullet2"/>
      </w:pPr>
      <w:r w:rsidRPr="006C3C72">
        <w:t>deductions for payments</w:t>
      </w:r>
    </w:p>
    <w:p w:rsidR="00000000" w:rsidRPr="006C3C72" w:rsidP="006C3C72">
      <w:pPr>
        <w:pStyle w:val="ListBullet2"/>
      </w:pPr>
      <w:r w:rsidRPr="006C3C72">
        <w:t>income protection</w:t>
      </w:r>
    </w:p>
    <w:p w:rsidR="00000000" w:rsidRPr="006C3C72" w:rsidP="006C3C72">
      <w:pPr>
        <w:pStyle w:val="ListBullet2"/>
      </w:pPr>
      <w:r w:rsidRPr="006C3C72">
        <w:t>total and permanent disablement benefits</w:t>
      </w:r>
    </w:p>
    <w:p w:rsidR="00000000" w:rsidRPr="006C3C72" w:rsidP="006C3C72">
      <w:pPr>
        <w:pStyle w:val="ListBullet2"/>
      </w:pPr>
      <w:r w:rsidRPr="006C3C72">
        <w:t>terminal illness benefit</w:t>
      </w:r>
    </w:p>
    <w:p w:rsidR="00000000" w:rsidRPr="006C3C72" w:rsidP="006C3C72">
      <w:pPr>
        <w:pStyle w:val="ListBullet2"/>
      </w:pPr>
      <w:r w:rsidRPr="006C3C72">
        <w:t>financial hardship payment.</w:t>
      </w:r>
    </w:p>
    <w:p w:rsidR="00000000" w:rsidRPr="006C3C72" w:rsidP="006C3C72">
      <w:pPr>
        <w:pStyle w:val="AllowPageBreak"/>
      </w:pPr>
    </w:p>
    <w:p w:rsidR="00000000" w:rsidRPr="006C3C72" w:rsidP="006C3C72">
      <w:pPr>
        <w:pStyle w:val="Heading1"/>
      </w:pPr>
      <w:bookmarkStart w:id="4" w:name="O_707010"/>
      <w:bookmarkEnd w:id="4"/>
      <w:r w:rsidRPr="006C3C72">
        <w:t>Assessment Conditions</w:t>
      </w:r>
    </w:p>
    <w:p w:rsidR="00000000" w:rsidRPr="006C3C72" w:rsidP="00E41DFD">
      <w:pPr>
        <w:pStyle w:val="BodyText"/>
      </w:pPr>
      <w:r w:rsidRPr="006C3C72">
        <w:t>Assessment must be conducted in a safe environment where evidence gathered demonstrates consistent performance of typical activities experienced in the superannuation field of work and include access to:</w:t>
      </w:r>
    </w:p>
    <w:p w:rsidR="00000000" w:rsidRPr="006C3C72" w:rsidP="006C3C72">
      <w:pPr>
        <w:pStyle w:val="ListBullet"/>
      </w:pPr>
      <w:r w:rsidRPr="006C3C72">
        <w:t>common office equipment, technology, software and c</w:t>
      </w:r>
      <w:r w:rsidRPr="006C3C72">
        <w:t>onsumables</w:t>
      </w:r>
    </w:p>
    <w:p w:rsidR="00000000" w:rsidRPr="006C3C72" w:rsidP="006C3C72">
      <w:pPr>
        <w:pStyle w:val="ListBullet"/>
      </w:pPr>
      <w:r w:rsidRPr="006C3C72">
        <w:t>organisational financial records</w:t>
      </w:r>
    </w:p>
    <w:p w:rsidR="00000000" w:rsidRPr="006C3C72" w:rsidP="006C3C72">
      <w:pPr>
        <w:pStyle w:val="ListBullet"/>
      </w:pPr>
      <w:r w:rsidRPr="006C3C72">
        <w:t>organisational policy and procedures.</w:t>
      </w:r>
    </w:p>
    <w:p w:rsidR="00000000" w:rsidRPr="006C3C72" w:rsidP="006C3C72">
      <w:pPr>
        <w:pStyle w:val="BodyText"/>
      </w:pPr>
    </w:p>
    <w:p w:rsidR="00000000" w:rsidRPr="006C3C72" w:rsidP="00E41DFD">
      <w:pPr>
        <w:pStyle w:val="BodyText"/>
      </w:pPr>
      <w:r w:rsidRPr="006C3C72">
        <w:t>Assessors must satisfy NVR/AQTF assessor requirements.</w:t>
      </w:r>
    </w:p>
    <w:p w:rsidR="00000000" w:rsidRPr="006C3C72" w:rsidP="006C3C72">
      <w:pPr>
        <w:pStyle w:val="Heading1"/>
      </w:pPr>
      <w:bookmarkStart w:id="5" w:name="O_707013"/>
      <w:bookmarkEnd w:id="5"/>
      <w:r w:rsidRPr="006C3C72">
        <w:t>Links</w:t>
      </w:r>
    </w:p>
    <w:p w:rsidR="00000000" w:rsidRPr="006C3C72" w:rsidP="00E41DFD">
      <w:pPr>
        <w:pStyle w:val="BodyText"/>
      </w:pPr>
      <w:r w:rsidRPr="006C3C7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E91023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6C3C72" w:rsidP="006C3C72"/>
    <w:sectPr w:rsidSect="006C3C7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C7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C72" w:rsidRPr="00E41DFD" w:rsidP="00E41DF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C7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1DFD" w:rsidP="006C3C7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41DFD" w:rsidP="006C3C7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41DFD" w:rsidP="006C3C7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C7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1DF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C3C72" w:rsidRPr="00E41DFD" w:rsidP="00E41DF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C7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1DFD" w:rsidRPr="002D2AF8" w:rsidP="006C3C7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FNSSUP401 Process complex superannuation benefit or insurance claim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2020</w:t>
    </w:r>
    <w:r>
      <w:fldChar w:fldCharType="end"/>
    </w:r>
  </w:p>
  <w:p w:rsidR="00E41DFD" w:rsidP="006C3C7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B8677F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F1495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31AD68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3C7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C3C7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C3C7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C3C7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C3C7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C3C7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C3C7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C3C7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C3C7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C3C7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C3C7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C3C72"/>
  </w:style>
  <w:style w:type="character" w:customStyle="1" w:styleId="Heading1Char">
    <w:name w:val="Heading 1 Char"/>
    <w:basedOn w:val="DefaultParagraphFont"/>
    <w:link w:val="Heading1"/>
    <w:rsid w:val="006C3C7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C3C7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C3C7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C3C7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C3C72"/>
    <w:rPr>
      <w:b/>
      <w:spacing w:val="0"/>
    </w:rPr>
  </w:style>
  <w:style w:type="paragraph" w:styleId="ListBullet2">
    <w:name w:val="List Bullet 2"/>
    <w:basedOn w:val="List2"/>
    <w:rsid w:val="006C3C7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C3C7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C3C7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C3C7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C3C7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C3C7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C3C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C3C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C3C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C3C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C3C7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C3C7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C3C7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C3C7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C3C7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C3C7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C3C7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C3C7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C3C7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C3C7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C3C7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C3C7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C3C7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C3C7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C3C7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C3C7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C3C7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C3C7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C3C7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C3C7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C3C7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C3C7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C3C7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C3C7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C3C7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C3C72"/>
    <w:rPr>
      <w:i/>
    </w:rPr>
  </w:style>
  <w:style w:type="paragraph" w:styleId="Caption">
    <w:name w:val="caption"/>
    <w:basedOn w:val="BodyText"/>
    <w:next w:val="Normal"/>
    <w:qFormat/>
    <w:rsid w:val="006C3C7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C3C7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C3C7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C3C72"/>
  </w:style>
  <w:style w:type="paragraph" w:styleId="TableofFigures">
    <w:name w:val="table of figures"/>
    <w:basedOn w:val="Normal"/>
    <w:next w:val="Normal"/>
    <w:semiHidden/>
    <w:rsid w:val="006C3C7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C3C7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C3C72"/>
    <w:rPr>
      <w:rFonts w:ascii="Wingdings" w:hAnsi="Wingdings"/>
    </w:rPr>
  </w:style>
  <w:style w:type="paragraph" w:customStyle="1" w:styleId="TableHeading">
    <w:name w:val="Table Heading"/>
    <w:basedOn w:val="HeadingBase"/>
    <w:rsid w:val="006C3C7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C3C72"/>
    <w:rPr>
      <w:color w:val="0033CC"/>
      <w:u w:val="none"/>
    </w:rPr>
  </w:style>
  <w:style w:type="paragraph" w:customStyle="1" w:styleId="BodyTextRight">
    <w:name w:val="Body Text Right"/>
    <w:basedOn w:val="BodyText"/>
    <w:rsid w:val="006C3C7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C3C7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C3C7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C3C7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C3C7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C3C7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C3C72"/>
    <w:rPr>
      <w:sz w:val="32"/>
    </w:rPr>
  </w:style>
  <w:style w:type="paragraph" w:customStyle="1" w:styleId="HeadingProcedure">
    <w:name w:val="Heading Procedure"/>
    <w:basedOn w:val="HeadingBase"/>
    <w:next w:val="Normal"/>
    <w:rsid w:val="006C3C7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C3C72"/>
    <w:pPr>
      <w:spacing w:before="60" w:after="60"/>
    </w:pPr>
  </w:style>
  <w:style w:type="paragraph" w:styleId="ListContinue">
    <w:name w:val="List Continue"/>
    <w:basedOn w:val="List"/>
    <w:rsid w:val="006C3C72"/>
    <w:pPr>
      <w:ind w:firstLine="0"/>
    </w:pPr>
  </w:style>
  <w:style w:type="paragraph" w:customStyle="1" w:styleId="ListNote">
    <w:name w:val="List Note"/>
    <w:basedOn w:val="List"/>
    <w:rsid w:val="006C3C7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C3C7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C3C7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C3C72"/>
    <w:rPr>
      <w:rFonts w:ascii="Courier New" w:hAnsi="Courier New"/>
    </w:rPr>
  </w:style>
  <w:style w:type="paragraph" w:customStyle="1" w:styleId="NoteBullet">
    <w:name w:val="Note Bullet"/>
    <w:basedOn w:val="Note"/>
    <w:rsid w:val="006C3C7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C3C7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C3C7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C3C7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C3C7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C3C7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C3C7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C3C72"/>
    <w:rPr>
      <w:b/>
      <w:smallCaps/>
    </w:rPr>
  </w:style>
  <w:style w:type="paragraph" w:customStyle="1" w:styleId="TableListNumber">
    <w:name w:val="Table List Number"/>
    <w:basedOn w:val="ListNumber"/>
    <w:rsid w:val="006C3C7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C3C7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C3C72"/>
    <w:pPr>
      <w:numPr>
        <w:numId w:val="9"/>
      </w:numPr>
    </w:pPr>
  </w:style>
  <w:style w:type="paragraph" w:customStyle="1" w:styleId="ListAlpha2">
    <w:name w:val="List Alpha 2"/>
    <w:basedOn w:val="List2"/>
    <w:rsid w:val="006C3C72"/>
    <w:pPr>
      <w:numPr>
        <w:numId w:val="8"/>
      </w:numPr>
    </w:pPr>
  </w:style>
  <w:style w:type="paragraph" w:styleId="List2">
    <w:name w:val="List 2"/>
    <w:basedOn w:val="BodyText"/>
    <w:rsid w:val="006C3C7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C3C7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C3C7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C3C7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C3C7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C3C7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C3C72"/>
    <w:pPr>
      <w:numPr>
        <w:numId w:val="4"/>
      </w:numPr>
    </w:pPr>
  </w:style>
  <w:style w:type="paragraph" w:styleId="ListContinue2">
    <w:name w:val="List Continue 2"/>
    <w:basedOn w:val="List2"/>
    <w:rsid w:val="006C3C72"/>
    <w:pPr>
      <w:ind w:firstLine="0"/>
    </w:pPr>
  </w:style>
  <w:style w:type="paragraph" w:styleId="ListContinue3">
    <w:name w:val="List Continue 3"/>
    <w:basedOn w:val="List3"/>
    <w:rsid w:val="006C3C72"/>
    <w:pPr>
      <w:ind w:left="1021" w:firstLine="0"/>
    </w:pPr>
  </w:style>
  <w:style w:type="paragraph" w:styleId="ListContinue4">
    <w:name w:val="List Continue 4"/>
    <w:basedOn w:val="List4"/>
    <w:rsid w:val="006C3C72"/>
    <w:pPr>
      <w:ind w:firstLine="0"/>
    </w:pPr>
  </w:style>
  <w:style w:type="paragraph" w:styleId="ListContinue5">
    <w:name w:val="List Continue 5"/>
    <w:basedOn w:val="List5"/>
    <w:rsid w:val="006C3C72"/>
    <w:pPr>
      <w:ind w:firstLine="0"/>
    </w:pPr>
  </w:style>
  <w:style w:type="paragraph" w:styleId="ListNumber3">
    <w:name w:val="List Number 3"/>
    <w:basedOn w:val="List3"/>
    <w:rsid w:val="006C3C72"/>
    <w:pPr>
      <w:numPr>
        <w:numId w:val="5"/>
      </w:numPr>
    </w:pPr>
  </w:style>
  <w:style w:type="paragraph" w:styleId="ListNumber4">
    <w:name w:val="List Number 4"/>
    <w:basedOn w:val="List4"/>
    <w:rsid w:val="006C3C72"/>
    <w:pPr>
      <w:numPr>
        <w:numId w:val="6"/>
      </w:numPr>
    </w:pPr>
  </w:style>
  <w:style w:type="paragraph" w:styleId="ListNumber5">
    <w:name w:val="List Number 5"/>
    <w:basedOn w:val="List5"/>
    <w:rsid w:val="006C3C72"/>
    <w:pPr>
      <w:numPr>
        <w:numId w:val="7"/>
      </w:numPr>
    </w:pPr>
  </w:style>
  <w:style w:type="paragraph" w:styleId="BlockText">
    <w:name w:val="Block Text"/>
    <w:basedOn w:val="Normal"/>
    <w:rsid w:val="006C3C7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C3C7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C3C72"/>
    <w:rPr>
      <w:sz w:val="16"/>
      <w:vertAlign w:val="superscript"/>
    </w:rPr>
  </w:style>
  <w:style w:type="character" w:customStyle="1" w:styleId="Symbols">
    <w:name w:val="Symbols"/>
    <w:basedOn w:val="DefaultParagraphFont"/>
    <w:rsid w:val="006C3C72"/>
    <w:rPr>
      <w:rFonts w:ascii="Symbol" w:hAnsi="Symbol"/>
    </w:rPr>
  </w:style>
  <w:style w:type="character" w:customStyle="1" w:styleId="MenuOptions">
    <w:name w:val="Menu Options"/>
    <w:basedOn w:val="DefaultParagraphFont"/>
    <w:rsid w:val="006C3C7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C3C72"/>
    <w:rPr>
      <w:b/>
    </w:rPr>
  </w:style>
  <w:style w:type="character" w:customStyle="1" w:styleId="Underlined">
    <w:name w:val="Underlined"/>
    <w:basedOn w:val="DefaultParagraphFont"/>
    <w:rsid w:val="006C3C72"/>
    <w:rPr>
      <w:u w:val="single"/>
    </w:rPr>
  </w:style>
  <w:style w:type="paragraph" w:customStyle="1" w:styleId="TableBodyTextRight">
    <w:name w:val="Table Body Text Right"/>
    <w:basedOn w:val="TableBodyText"/>
    <w:rsid w:val="006C3C7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C3C72"/>
    <w:rPr>
      <w:sz w:val="18"/>
    </w:rPr>
  </w:style>
  <w:style w:type="paragraph" w:customStyle="1" w:styleId="BodySmallRight">
    <w:name w:val="Body Small Right"/>
    <w:basedOn w:val="BodyTextRight"/>
    <w:rsid w:val="006C3C72"/>
    <w:rPr>
      <w:sz w:val="18"/>
      <w:szCs w:val="18"/>
    </w:rPr>
  </w:style>
  <w:style w:type="paragraph" w:customStyle="1" w:styleId="MarginEdition">
    <w:name w:val="Margin Edition"/>
    <w:basedOn w:val="MarginNote"/>
    <w:rsid w:val="006C3C7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C3C72"/>
    <w:rPr>
      <w:sz w:val="2"/>
      <w:szCs w:val="2"/>
    </w:rPr>
  </w:style>
  <w:style w:type="character" w:customStyle="1" w:styleId="Small">
    <w:name w:val="Small"/>
    <w:basedOn w:val="DefaultParagraphFont"/>
    <w:rsid w:val="006C3C72"/>
    <w:rPr>
      <w:sz w:val="16"/>
    </w:rPr>
  </w:style>
  <w:style w:type="paragraph" w:customStyle="1" w:styleId="WideTable">
    <w:name w:val="Wide Table"/>
    <w:basedOn w:val="Normal"/>
    <w:rsid w:val="006C3C7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C3C72"/>
  </w:style>
  <w:style w:type="paragraph" w:styleId="Quote">
    <w:name w:val="Quote"/>
    <w:basedOn w:val="Heading1"/>
    <w:link w:val="QuoteChar"/>
    <w:qFormat/>
    <w:rsid w:val="006C3C7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C3C7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C3C72"/>
    <w:pPr>
      <w:pageBreakBefore/>
    </w:pPr>
  </w:style>
  <w:style w:type="paragraph" w:customStyle="1" w:styleId="Border">
    <w:name w:val="Border"/>
    <w:basedOn w:val="Normal"/>
    <w:qFormat/>
    <w:rsid w:val="006C3C7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C3C7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3C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3C7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C3C7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C3C7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C3C7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C3C7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C3C7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C3C72"/>
    <w:rPr>
      <w:u w:val="single"/>
    </w:rPr>
  </w:style>
  <w:style w:type="character" w:customStyle="1" w:styleId="BoldandItalics">
    <w:name w:val="Bold and Italics"/>
    <w:qFormat/>
    <w:rsid w:val="006C3C72"/>
    <w:rPr>
      <w:b/>
      <w:i/>
      <w:u w:val="none"/>
    </w:rPr>
  </w:style>
  <w:style w:type="paragraph" w:styleId="BalloonText">
    <w:name w:val="Balloon Text"/>
    <w:basedOn w:val="Normal"/>
    <w:link w:val="BalloonTextChar"/>
    <w:rsid w:val="006C3C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C3C7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C3C7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C3C7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C3C7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C3C7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C3C72"/>
    <w:pPr>
      <w:spacing w:before="0" w:after="0"/>
    </w:pPr>
  </w:style>
  <w:style w:type="paragraph" w:customStyle="1" w:styleId="BodyTextBold">
    <w:name w:val="Body Text Bold"/>
    <w:basedOn w:val="BodyText"/>
    <w:qFormat/>
    <w:rsid w:val="006C3C72"/>
    <w:rPr>
      <w:b/>
    </w:rPr>
  </w:style>
  <w:style w:type="character" w:styleId="Hyperlink">
    <w:name w:val="Hyperlink"/>
    <w:basedOn w:val="DefaultParagraphFont"/>
    <w:uiPriority w:val="99"/>
    <w:unhideWhenUsed/>
    <w:rsid w:val="00E41DF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296</Words>
  <Characters>2110</Characters>
  <Application>Microsoft Office Word</Application>
  <DocSecurity>0</DocSecurity>
  <Lines>63</Lines>
  <Paragraphs>47</Paragraphs>
  <ScaleCrop>false</ScaleCrop>
  <Company>Author-it Software Corporation Ltd.</Company>
  <LinksUpToDate>false</LinksUpToDate>
  <CharactersWithSpaces>2359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FNSSUP401 Process complex superannuation benefit or insurance claim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2020-06-30T16:32:00Z</dcterms:created>
  <dcterms:modified xsi:type="dcterms:W3CDTF">2020-06-30T16:32:00Z</dcterms:modified>
</cp:coreProperties>
</file>