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D6C4D" w:rsidP="003D6C4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FNSSUP314 Process superannuation rollover benefits</w:t>
      </w:r>
      <w:r>
        <w:fldChar w:fldCharType="end"/>
      </w:r>
    </w:p>
    <w:p w:rsidR="003D6C4D" w:rsidP="003D6C4D">
      <w:pPr>
        <w:pStyle w:val="Version"/>
        <w:sectPr w:rsidSect="003D092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D0924" w:rsidP="003D0924">
      <w:pPr>
        <w:pStyle w:val="SuperHeading"/>
      </w:pPr>
      <w:r w:rsidRPr="003D0924">
        <w:t>Assessment Requirements for FNSSUP314 Process superannuation rollover benefits</w:t>
      </w:r>
    </w:p>
    <w:p w:rsidR="00000000" w:rsidRPr="003D0924" w:rsidP="003D0924">
      <w:pPr>
        <w:pStyle w:val="Heading1"/>
      </w:pPr>
      <w:bookmarkStart w:id="1" w:name="O_1133595"/>
      <w:bookmarkEnd w:id="1"/>
      <w:r w:rsidRPr="003D092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3D09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0924" w:rsidP="003D0924">
            <w:pPr>
              <w:pStyle w:val="BodyText"/>
            </w:pPr>
            <w:r w:rsidRPr="003D0924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924">
            <w:pPr>
              <w:pStyle w:val="BodyText"/>
              <w:rPr>
                <w:lang w:val="en-NZ"/>
              </w:rPr>
            </w:pPr>
            <w:r w:rsidRPr="003D0924">
              <w:rPr>
                <w:rStyle w:val="SpecialBold"/>
              </w:rPr>
              <w:t>Comments</w:t>
            </w:r>
          </w:p>
        </w:tc>
      </w:tr>
      <w:tr w:rsidTr="003D09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924">
            <w:pPr>
              <w:pStyle w:val="BodyText"/>
              <w:rPr>
                <w:lang w:val="en-NZ"/>
              </w:rPr>
            </w:pPr>
            <w:r w:rsidRPr="003D0924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0924" w:rsidP="003D0924">
            <w:pPr>
              <w:pStyle w:val="BodyText"/>
            </w:pPr>
            <w:r w:rsidRPr="003D0924">
              <w:t>This version first released with FNS Financial Services Training Package Version 5.0.</w:t>
            </w:r>
          </w:p>
        </w:tc>
      </w:tr>
    </w:tbl>
    <w:p w:rsidR="00000000" w:rsidRPr="003D0924" w:rsidP="003D0924">
      <w:pPr>
        <w:pStyle w:val="BodyText"/>
      </w:pPr>
    </w:p>
    <w:p w:rsidR="00000000" w:rsidRPr="003D0924" w:rsidP="003D0924">
      <w:pPr>
        <w:pStyle w:val="AllowPageBreak"/>
      </w:pPr>
    </w:p>
    <w:p w:rsidR="00000000" w:rsidRPr="003D0924" w:rsidP="003D0924">
      <w:pPr>
        <w:pStyle w:val="Heading1"/>
      </w:pPr>
      <w:bookmarkStart w:id="2" w:name="O_1133598"/>
      <w:bookmarkEnd w:id="2"/>
      <w:r w:rsidRPr="003D0924">
        <w:t>Performance Evidence</w:t>
      </w:r>
    </w:p>
    <w:p w:rsidR="00000000" w:rsidRPr="003D0924" w:rsidP="003D6C4D">
      <w:pPr>
        <w:pStyle w:val="BodyText"/>
      </w:pPr>
      <w:r w:rsidRPr="003D0924">
        <w:t>The candidate must demonstrate the ability to complete the tasks outlined in the elements, performance criteria and foundation skills of this unit, including evidence of the ability to:</w:t>
      </w:r>
    </w:p>
    <w:p w:rsidR="00000000" w:rsidRPr="003D0924" w:rsidP="003D0924">
      <w:pPr>
        <w:pStyle w:val="ListBullet"/>
      </w:pPr>
      <w:r w:rsidRPr="003D0924">
        <w:t>process at least three different applications fo</w:t>
      </w:r>
      <w:r w:rsidRPr="003D0924">
        <w:t>r superannuation rollover benefits according to organisational policies and procedures.</w:t>
      </w:r>
    </w:p>
    <w:p w:rsidR="00000000" w:rsidRPr="003D0924" w:rsidP="003D0924">
      <w:pPr>
        <w:pStyle w:val="AllowPageBreak"/>
      </w:pPr>
    </w:p>
    <w:p w:rsidR="00000000" w:rsidRPr="003D0924" w:rsidP="003D0924">
      <w:pPr>
        <w:pStyle w:val="Heading1"/>
      </w:pPr>
      <w:bookmarkStart w:id="3" w:name="O_1133597"/>
      <w:bookmarkEnd w:id="3"/>
      <w:r w:rsidRPr="003D0924">
        <w:t>Knowledge Evidence</w:t>
      </w:r>
    </w:p>
    <w:p w:rsidR="00000000" w:rsidRPr="003D0924" w:rsidP="003D6C4D">
      <w:pPr>
        <w:pStyle w:val="BodyText"/>
      </w:pPr>
      <w:r w:rsidRPr="003D0924">
        <w:t>The candidate must be able to demonstrate knowledge to complete the tasks outlined in the elements, performance criteria and found</w:t>
      </w:r>
      <w:r w:rsidRPr="003D0924">
        <w:t>ation skills of this unit, including knowledge of:</w:t>
      </w:r>
    </w:p>
    <w:p w:rsidR="00000000" w:rsidRPr="003D0924" w:rsidP="003D0924">
      <w:pPr>
        <w:pStyle w:val="ListBullet"/>
      </w:pPr>
      <w:r w:rsidRPr="003D0924">
        <w:t>legislative and regulatory requirements relating to processing superannuation rollover benefits, including privacy legislation</w:t>
      </w:r>
    </w:p>
    <w:p w:rsidR="00000000" w:rsidRPr="003D0924" w:rsidP="003D0924">
      <w:pPr>
        <w:pStyle w:val="ListBullet"/>
      </w:pPr>
      <w:r w:rsidRPr="003D0924">
        <w:t>organisational policies, objectives and guidelines relating to processing superannuation rollover benefits, including for:</w:t>
      </w:r>
    </w:p>
    <w:p w:rsidR="00000000" w:rsidRPr="003D0924" w:rsidP="003D0924">
      <w:pPr>
        <w:pStyle w:val="ListBullet2"/>
      </w:pPr>
      <w:r w:rsidRPr="003D0924">
        <w:t>receiving and documenting applications</w:t>
      </w:r>
    </w:p>
    <w:p w:rsidR="00000000" w:rsidRPr="003D0924" w:rsidP="003D0924">
      <w:pPr>
        <w:pStyle w:val="ListBullet2"/>
      </w:pPr>
      <w:r w:rsidRPr="003D0924">
        <w:t>identifying and addressing incomplete or incorrect applications</w:t>
      </w:r>
    </w:p>
    <w:p w:rsidR="00000000" w:rsidRPr="003D0924" w:rsidP="003D0924">
      <w:pPr>
        <w:pStyle w:val="ListBullet2"/>
      </w:pPr>
      <w:r w:rsidRPr="003D0924">
        <w:t>assessing the integrity of in</w:t>
      </w:r>
      <w:r w:rsidRPr="003D0924">
        <w:t>formation</w:t>
      </w:r>
    </w:p>
    <w:p w:rsidR="00000000" w:rsidRPr="003D0924" w:rsidP="003D0924">
      <w:pPr>
        <w:pStyle w:val="ListBullet2"/>
      </w:pPr>
      <w:r w:rsidRPr="003D0924">
        <w:t>calculating and processing benefits, including fees and charges</w:t>
      </w:r>
    </w:p>
    <w:p w:rsidR="00000000" w:rsidRPr="003D0924" w:rsidP="003D0924">
      <w:pPr>
        <w:pStyle w:val="ListBullet2"/>
      </w:pPr>
      <w:r w:rsidRPr="003D0924">
        <w:t>quality assurance procedures and practices</w:t>
      </w:r>
    </w:p>
    <w:p w:rsidR="00000000" w:rsidRPr="003D0924" w:rsidP="003D0924">
      <w:pPr>
        <w:pStyle w:val="ListBullet2"/>
      </w:pPr>
      <w:r w:rsidRPr="003D0924">
        <w:t>storing documentation relating to processed benefit</w:t>
      </w:r>
    </w:p>
    <w:p w:rsidR="00000000" w:rsidRPr="003D0924" w:rsidP="003D0924">
      <w:pPr>
        <w:pStyle w:val="ListBullet2"/>
      </w:pPr>
      <w:r w:rsidRPr="003D0924">
        <w:t>issuing benefit payments to fund members, Australian Taxation Office (ATO), and rollove</w:t>
      </w:r>
      <w:r w:rsidRPr="003D0924">
        <w:t>r funds</w:t>
      </w:r>
    </w:p>
    <w:p w:rsidR="00000000" w:rsidRPr="003D0924" w:rsidP="003D0924">
      <w:pPr>
        <w:pStyle w:val="ListBullet"/>
      </w:pPr>
      <w:r w:rsidRPr="003D0924">
        <w:t>components of a superannuation rollover benefits statement (RBS)</w:t>
      </w:r>
    </w:p>
    <w:p w:rsidR="00000000" w:rsidRPr="003D0924" w:rsidP="003D0924">
      <w:pPr>
        <w:pStyle w:val="ListBullet"/>
      </w:pPr>
      <w:r w:rsidRPr="003D0924">
        <w:t>documentation required to process rollover benefit payments and their key components, including:</w:t>
      </w:r>
    </w:p>
    <w:p w:rsidR="00000000" w:rsidRPr="003D0924" w:rsidP="003D0924">
      <w:pPr>
        <w:pStyle w:val="ListBullet2"/>
      </w:pPr>
      <w:r w:rsidRPr="003D0924">
        <w:t>taxation documentation, including pay as you go (PAYG) payment summaries</w:t>
      </w:r>
    </w:p>
    <w:p w:rsidR="00000000" w:rsidRPr="003D0924" w:rsidP="003D0924">
      <w:pPr>
        <w:pStyle w:val="ListBullet2"/>
      </w:pPr>
      <w:r w:rsidRPr="003D0924">
        <w:t>trust deeds</w:t>
      </w:r>
    </w:p>
    <w:p w:rsidR="00000000" w:rsidRPr="003D0924" w:rsidP="003D0924">
      <w:pPr>
        <w:pStyle w:val="ListBullet"/>
      </w:pPr>
      <w:r w:rsidRPr="003D0924">
        <w:t>content to be included in superannuation rollover benefit statements.</w:t>
      </w:r>
    </w:p>
    <w:p w:rsidR="00000000" w:rsidRPr="003D0924" w:rsidP="003D0924">
      <w:pPr>
        <w:pStyle w:val="AllowPageBreak"/>
      </w:pPr>
    </w:p>
    <w:p w:rsidR="00000000" w:rsidRPr="003D0924" w:rsidP="003D0924">
      <w:pPr>
        <w:pStyle w:val="Heading1"/>
      </w:pPr>
      <w:bookmarkStart w:id="4" w:name="O_1133596"/>
      <w:bookmarkEnd w:id="4"/>
      <w:r w:rsidRPr="003D0924">
        <w:t>Assessment Conditions</w:t>
      </w:r>
    </w:p>
    <w:p w:rsidR="00000000" w:rsidRPr="003D0924" w:rsidP="003D6C4D">
      <w:pPr>
        <w:pStyle w:val="BodyText"/>
      </w:pPr>
      <w:r w:rsidRPr="003D0924">
        <w:t>Skills in this unit must be demonstrated in a workplace or simulated environment where the conditions are typical of those in a working environment in this industry.</w:t>
      </w:r>
    </w:p>
    <w:p w:rsidR="00000000" w:rsidRPr="003D0924" w:rsidP="003D6C4D">
      <w:pPr>
        <w:pStyle w:val="BodyText"/>
      </w:pPr>
      <w:r w:rsidRPr="003D0924">
        <w:t>This includes access to:</w:t>
      </w:r>
    </w:p>
    <w:p w:rsidR="00000000" w:rsidRPr="003D0924" w:rsidP="003D0924">
      <w:pPr>
        <w:pStyle w:val="ListBullet"/>
      </w:pPr>
      <w:r w:rsidRPr="003D0924">
        <w:t>organisational equipment, technology, software and consumables</w:t>
      </w:r>
    </w:p>
    <w:p w:rsidR="00000000" w:rsidRPr="003D0924" w:rsidP="003D0924">
      <w:pPr>
        <w:pStyle w:val="ListBullet"/>
      </w:pPr>
      <w:r w:rsidRPr="003D0924">
        <w:t>o</w:t>
      </w:r>
      <w:r w:rsidRPr="003D0924">
        <w:t>rganisational policies and procedures.</w:t>
      </w:r>
    </w:p>
    <w:p w:rsidR="00000000" w:rsidRPr="003D0924" w:rsidP="003D0924">
      <w:pPr>
        <w:pStyle w:val="List"/>
      </w:pPr>
    </w:p>
    <w:p w:rsidR="00000000" w:rsidRPr="003D0924" w:rsidP="003D6C4D">
      <w:pPr>
        <w:pStyle w:val="BodyText"/>
      </w:pPr>
      <w:r w:rsidRPr="003D0924">
        <w:t>Assessors of this unit must satisfy the requirements for assessors in applicable vocational education and training legislation, frameworks and/or standards.</w:t>
      </w:r>
    </w:p>
    <w:p w:rsidR="00000000" w:rsidRPr="003D0924" w:rsidP="003D0924">
      <w:pPr>
        <w:pStyle w:val="Heading1"/>
      </w:pPr>
      <w:bookmarkStart w:id="5" w:name="O_1133594"/>
      <w:bookmarkEnd w:id="5"/>
      <w:r w:rsidRPr="003D0924">
        <w:t>Links</w:t>
      </w:r>
    </w:p>
    <w:p w:rsidR="00000000" w:rsidRPr="003D0924" w:rsidP="003D6C4D">
      <w:pPr>
        <w:pStyle w:val="BodyText"/>
      </w:pPr>
      <w:r w:rsidRPr="003D0924">
        <w:t>Companion Volume Implementation Gu</w:t>
      </w:r>
      <w:r w:rsidRPr="003D0924">
        <w:t xml:space="preserve">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230AB4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3D0924" w:rsidP="003D0924"/>
    <w:sectPr w:rsidSect="003D092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092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0924" w:rsidRPr="003D6C4D" w:rsidP="003D6C4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092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6C4D" w:rsidP="003D092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D6C4D" w:rsidP="003D092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D6C4D" w:rsidP="003D092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092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6C4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D0924" w:rsidRPr="003D6C4D" w:rsidP="003D6C4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092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6C4D" w:rsidRPr="002D2AF8" w:rsidP="003D092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FNSSUP314 Process superannuation rollover benefits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3D6C4D" w:rsidP="003D092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016A7B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7FA517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5C0415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092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D092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D092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D092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D092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D092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D092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D092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D092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D092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D092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D0924"/>
  </w:style>
  <w:style w:type="character" w:customStyle="1" w:styleId="Heading1Char">
    <w:name w:val="Heading 1 Char"/>
    <w:basedOn w:val="DefaultParagraphFont"/>
    <w:link w:val="Heading1"/>
    <w:rsid w:val="003D092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D092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D092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D092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D092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D0924"/>
    <w:rPr>
      <w:b/>
      <w:spacing w:val="0"/>
    </w:rPr>
  </w:style>
  <w:style w:type="paragraph" w:styleId="ListBullet2">
    <w:name w:val="List Bullet 2"/>
    <w:basedOn w:val="List2"/>
    <w:rsid w:val="003D092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D092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D092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D092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D092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D092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D092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D092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D092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D092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D092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D092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D092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D092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D092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D092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D092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D092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D092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D092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D092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D092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D092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D092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D092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D092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D092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D092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D092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D092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D092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D092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D092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D092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D0924"/>
    <w:rPr>
      <w:i/>
    </w:rPr>
  </w:style>
  <w:style w:type="paragraph" w:styleId="Caption">
    <w:name w:val="caption"/>
    <w:basedOn w:val="BodyText"/>
    <w:next w:val="Normal"/>
    <w:qFormat/>
    <w:rsid w:val="003D092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D092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D092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D0924"/>
  </w:style>
  <w:style w:type="paragraph" w:styleId="TableofFigures">
    <w:name w:val="table of figures"/>
    <w:basedOn w:val="Normal"/>
    <w:next w:val="Normal"/>
    <w:semiHidden/>
    <w:rsid w:val="003D092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D092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D0924"/>
    <w:rPr>
      <w:rFonts w:ascii="Wingdings" w:hAnsi="Wingdings"/>
    </w:rPr>
  </w:style>
  <w:style w:type="paragraph" w:customStyle="1" w:styleId="TableHeading">
    <w:name w:val="Table Heading"/>
    <w:basedOn w:val="HeadingBase"/>
    <w:rsid w:val="003D092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D0924"/>
    <w:rPr>
      <w:color w:val="0033CC"/>
      <w:u w:val="none"/>
    </w:rPr>
  </w:style>
  <w:style w:type="paragraph" w:customStyle="1" w:styleId="BodyTextRight">
    <w:name w:val="Body Text Right"/>
    <w:basedOn w:val="BodyText"/>
    <w:rsid w:val="003D092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D092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D092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D092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D092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D092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D0924"/>
    <w:rPr>
      <w:sz w:val="32"/>
    </w:rPr>
  </w:style>
  <w:style w:type="paragraph" w:customStyle="1" w:styleId="HeadingProcedure">
    <w:name w:val="Heading Procedure"/>
    <w:basedOn w:val="HeadingBase"/>
    <w:next w:val="Normal"/>
    <w:rsid w:val="003D092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D0924"/>
    <w:pPr>
      <w:spacing w:before="60" w:after="60"/>
    </w:pPr>
  </w:style>
  <w:style w:type="paragraph" w:styleId="ListContinue">
    <w:name w:val="List Continue"/>
    <w:basedOn w:val="List"/>
    <w:rsid w:val="003D0924"/>
    <w:pPr>
      <w:ind w:firstLine="0"/>
    </w:pPr>
  </w:style>
  <w:style w:type="paragraph" w:customStyle="1" w:styleId="ListNote">
    <w:name w:val="List Note"/>
    <w:basedOn w:val="List"/>
    <w:rsid w:val="003D092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D092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D092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D0924"/>
    <w:rPr>
      <w:rFonts w:ascii="Courier New" w:hAnsi="Courier New"/>
    </w:rPr>
  </w:style>
  <w:style w:type="paragraph" w:customStyle="1" w:styleId="NoteBullet">
    <w:name w:val="Note Bullet"/>
    <w:basedOn w:val="Note"/>
    <w:rsid w:val="003D092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D092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D092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D092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D092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D092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D092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D0924"/>
    <w:rPr>
      <w:b/>
      <w:smallCaps/>
    </w:rPr>
  </w:style>
  <w:style w:type="paragraph" w:customStyle="1" w:styleId="TableListNumber">
    <w:name w:val="Table List Number"/>
    <w:basedOn w:val="ListNumber"/>
    <w:rsid w:val="003D092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D092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D0924"/>
    <w:pPr>
      <w:numPr>
        <w:numId w:val="9"/>
      </w:numPr>
    </w:pPr>
  </w:style>
  <w:style w:type="paragraph" w:customStyle="1" w:styleId="ListAlpha2">
    <w:name w:val="List Alpha 2"/>
    <w:basedOn w:val="List2"/>
    <w:rsid w:val="003D0924"/>
    <w:pPr>
      <w:numPr>
        <w:numId w:val="8"/>
      </w:numPr>
    </w:pPr>
  </w:style>
  <w:style w:type="paragraph" w:styleId="List2">
    <w:name w:val="List 2"/>
    <w:basedOn w:val="BodyText"/>
    <w:rsid w:val="003D092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D092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D092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D092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D092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D092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D0924"/>
    <w:pPr>
      <w:numPr>
        <w:numId w:val="4"/>
      </w:numPr>
    </w:pPr>
  </w:style>
  <w:style w:type="paragraph" w:styleId="ListContinue2">
    <w:name w:val="List Continue 2"/>
    <w:basedOn w:val="List2"/>
    <w:rsid w:val="003D0924"/>
    <w:pPr>
      <w:ind w:firstLine="0"/>
    </w:pPr>
  </w:style>
  <w:style w:type="paragraph" w:styleId="ListContinue3">
    <w:name w:val="List Continue 3"/>
    <w:basedOn w:val="List3"/>
    <w:rsid w:val="003D0924"/>
    <w:pPr>
      <w:ind w:left="1021" w:firstLine="0"/>
    </w:pPr>
  </w:style>
  <w:style w:type="paragraph" w:styleId="ListContinue4">
    <w:name w:val="List Continue 4"/>
    <w:basedOn w:val="List4"/>
    <w:rsid w:val="003D0924"/>
    <w:pPr>
      <w:ind w:firstLine="0"/>
    </w:pPr>
  </w:style>
  <w:style w:type="paragraph" w:styleId="ListContinue5">
    <w:name w:val="List Continue 5"/>
    <w:basedOn w:val="List5"/>
    <w:rsid w:val="003D0924"/>
    <w:pPr>
      <w:ind w:firstLine="0"/>
    </w:pPr>
  </w:style>
  <w:style w:type="paragraph" w:styleId="ListNumber3">
    <w:name w:val="List Number 3"/>
    <w:basedOn w:val="List3"/>
    <w:rsid w:val="003D0924"/>
    <w:pPr>
      <w:numPr>
        <w:numId w:val="5"/>
      </w:numPr>
    </w:pPr>
  </w:style>
  <w:style w:type="paragraph" w:styleId="ListNumber4">
    <w:name w:val="List Number 4"/>
    <w:basedOn w:val="List4"/>
    <w:rsid w:val="003D0924"/>
    <w:pPr>
      <w:numPr>
        <w:numId w:val="6"/>
      </w:numPr>
    </w:pPr>
  </w:style>
  <w:style w:type="paragraph" w:styleId="ListNumber5">
    <w:name w:val="List Number 5"/>
    <w:basedOn w:val="List5"/>
    <w:rsid w:val="003D0924"/>
    <w:pPr>
      <w:numPr>
        <w:numId w:val="7"/>
      </w:numPr>
    </w:pPr>
  </w:style>
  <w:style w:type="paragraph" w:styleId="BlockText">
    <w:name w:val="Block Text"/>
    <w:basedOn w:val="Normal"/>
    <w:rsid w:val="003D092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D092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D0924"/>
    <w:rPr>
      <w:sz w:val="16"/>
      <w:vertAlign w:val="superscript"/>
    </w:rPr>
  </w:style>
  <w:style w:type="character" w:customStyle="1" w:styleId="Symbols">
    <w:name w:val="Symbols"/>
    <w:basedOn w:val="DefaultParagraphFont"/>
    <w:rsid w:val="003D0924"/>
    <w:rPr>
      <w:rFonts w:ascii="Symbol" w:hAnsi="Symbol"/>
    </w:rPr>
  </w:style>
  <w:style w:type="character" w:customStyle="1" w:styleId="MenuOptions">
    <w:name w:val="Menu Options"/>
    <w:basedOn w:val="DefaultParagraphFont"/>
    <w:rsid w:val="003D092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D0924"/>
    <w:rPr>
      <w:b/>
    </w:rPr>
  </w:style>
  <w:style w:type="character" w:customStyle="1" w:styleId="Underlined">
    <w:name w:val="Underlined"/>
    <w:basedOn w:val="DefaultParagraphFont"/>
    <w:rsid w:val="003D0924"/>
    <w:rPr>
      <w:u w:val="single"/>
    </w:rPr>
  </w:style>
  <w:style w:type="paragraph" w:customStyle="1" w:styleId="TableBodyTextRight">
    <w:name w:val="Table Body Text Right"/>
    <w:basedOn w:val="TableBodyText"/>
    <w:rsid w:val="003D092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D0924"/>
    <w:rPr>
      <w:sz w:val="18"/>
    </w:rPr>
  </w:style>
  <w:style w:type="paragraph" w:customStyle="1" w:styleId="BodySmallRight">
    <w:name w:val="Body Small Right"/>
    <w:basedOn w:val="BodyTextRight"/>
    <w:rsid w:val="003D0924"/>
    <w:rPr>
      <w:sz w:val="18"/>
      <w:szCs w:val="18"/>
    </w:rPr>
  </w:style>
  <w:style w:type="paragraph" w:customStyle="1" w:styleId="MarginEdition">
    <w:name w:val="Margin Edition"/>
    <w:basedOn w:val="MarginNote"/>
    <w:rsid w:val="003D092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D0924"/>
    <w:rPr>
      <w:sz w:val="2"/>
      <w:szCs w:val="2"/>
    </w:rPr>
  </w:style>
  <w:style w:type="character" w:customStyle="1" w:styleId="Small">
    <w:name w:val="Small"/>
    <w:basedOn w:val="DefaultParagraphFont"/>
    <w:rsid w:val="003D0924"/>
    <w:rPr>
      <w:sz w:val="16"/>
    </w:rPr>
  </w:style>
  <w:style w:type="paragraph" w:customStyle="1" w:styleId="WideTable">
    <w:name w:val="Wide Table"/>
    <w:basedOn w:val="Normal"/>
    <w:rsid w:val="003D092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D0924"/>
  </w:style>
  <w:style w:type="paragraph" w:styleId="Quote">
    <w:name w:val="Quote"/>
    <w:basedOn w:val="Heading1"/>
    <w:link w:val="QuoteChar"/>
    <w:qFormat/>
    <w:rsid w:val="003D092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D092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D0924"/>
    <w:pPr>
      <w:pageBreakBefore/>
    </w:pPr>
  </w:style>
  <w:style w:type="paragraph" w:customStyle="1" w:styleId="Border">
    <w:name w:val="Border"/>
    <w:basedOn w:val="Normal"/>
    <w:qFormat/>
    <w:rsid w:val="003D092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D092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D092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D092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D092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D092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D092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D092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D092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D0924"/>
    <w:rPr>
      <w:u w:val="single"/>
    </w:rPr>
  </w:style>
  <w:style w:type="character" w:customStyle="1" w:styleId="BoldandItalics">
    <w:name w:val="Bold and Italics"/>
    <w:qFormat/>
    <w:rsid w:val="003D0924"/>
    <w:rPr>
      <w:b/>
      <w:i/>
      <w:u w:val="none"/>
    </w:rPr>
  </w:style>
  <w:style w:type="paragraph" w:styleId="BalloonText">
    <w:name w:val="Balloon Text"/>
    <w:basedOn w:val="Normal"/>
    <w:link w:val="BalloonTextChar"/>
    <w:rsid w:val="003D092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D092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D092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D092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D092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D092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D0924"/>
    <w:pPr>
      <w:spacing w:before="0" w:after="0"/>
    </w:pPr>
  </w:style>
  <w:style w:type="paragraph" w:customStyle="1" w:styleId="BodyTextBold">
    <w:name w:val="Body Text Bold"/>
    <w:basedOn w:val="BodyText"/>
    <w:qFormat/>
    <w:rsid w:val="003D0924"/>
    <w:rPr>
      <w:b/>
    </w:rPr>
  </w:style>
  <w:style w:type="character" w:styleId="Hyperlink">
    <w:name w:val="Hyperlink"/>
    <w:basedOn w:val="DefaultParagraphFont"/>
    <w:uiPriority w:val="99"/>
    <w:unhideWhenUsed/>
    <w:rsid w:val="003D6C4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319</Words>
  <Characters>2291</Characters>
  <Application>Microsoft Office Word</Application>
  <DocSecurity>0</DocSecurity>
  <Lines>58</Lines>
  <Paragraphs>42</Paragraphs>
  <ScaleCrop>false</ScaleCrop>
  <Company>Author-it Software Corporation Ltd.</Company>
  <LinksUpToDate>false</LinksUpToDate>
  <CharactersWithSpaces>2568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FNSSUP314 Process superannuation rollover benefits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2022-11-03T07:25:00Z</dcterms:created>
  <dcterms:modified xsi:type="dcterms:W3CDTF">2022-11-03T07:25:00Z</dcterms:modified>
</cp:coreProperties>
</file>